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51E069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BF0333D" w14:textId="77777777">
      <w:pPr>
        <w:pStyle w:val="StyleBoldCentered"/>
      </w:pPr>
      <w:r>
        <w:t>F</w:t>
      </w:r>
      <w:r>
        <w:rPr>
          <w:caps w:val="0"/>
        </w:rPr>
        <w:t>ederal Communications Commission</w:t>
      </w:r>
    </w:p>
    <w:p w:rsidR="004C2EE3" w:rsidP="00096D8C" w14:paraId="68EA7736" w14:textId="77777777">
      <w:pPr>
        <w:pStyle w:val="StyleBoldCentered"/>
      </w:pPr>
      <w:r>
        <w:rPr>
          <w:caps w:val="0"/>
        </w:rPr>
        <w:t>Washington, D.C. 20554</w:t>
      </w:r>
    </w:p>
    <w:p w:rsidR="004C2EE3" w:rsidP="0070224F" w14:paraId="05EC3A79" w14:textId="77777777"/>
    <w:p w:rsidR="004C2EE3" w:rsidP="0070224F" w14:paraId="528BDDFE" w14:textId="77777777"/>
    <w:tbl>
      <w:tblPr>
        <w:tblW w:w="0" w:type="auto"/>
        <w:tblLayout w:type="fixed"/>
        <w:tblLook w:val="0000"/>
      </w:tblPr>
      <w:tblGrid>
        <w:gridCol w:w="4698"/>
        <w:gridCol w:w="630"/>
        <w:gridCol w:w="4248"/>
      </w:tblGrid>
      <w:tr w14:paraId="110B356E" w14:textId="77777777">
        <w:tblPrEx>
          <w:tblW w:w="0" w:type="auto"/>
          <w:tblLayout w:type="fixed"/>
          <w:tblLook w:val="0000"/>
        </w:tblPrEx>
        <w:tc>
          <w:tcPr>
            <w:tcW w:w="4698" w:type="dxa"/>
          </w:tcPr>
          <w:p w:rsidR="004C2EE3" w14:paraId="5AD02F4A" w14:textId="77777777">
            <w:pPr>
              <w:tabs>
                <w:tab w:val="center" w:pos="4680"/>
              </w:tabs>
              <w:suppressAutoHyphens/>
              <w:rPr>
                <w:spacing w:val="-2"/>
              </w:rPr>
            </w:pPr>
            <w:r>
              <w:rPr>
                <w:spacing w:val="-2"/>
              </w:rPr>
              <w:t>In the Matter of</w:t>
            </w:r>
          </w:p>
          <w:p w:rsidR="00A90D9A" w:rsidP="007115F7" w14:paraId="5E6824AE" w14:textId="77777777">
            <w:pPr>
              <w:tabs>
                <w:tab w:val="center" w:pos="4680"/>
              </w:tabs>
              <w:suppressAutoHyphens/>
              <w:rPr>
                <w:spacing w:val="-2"/>
              </w:rPr>
            </w:pPr>
          </w:p>
          <w:p w:rsidR="00A90D9A" w:rsidP="007115F7" w14:paraId="61265D11" w14:textId="77777777">
            <w:pPr>
              <w:tabs>
                <w:tab w:val="center" w:pos="4680"/>
              </w:tabs>
              <w:suppressAutoHyphens/>
              <w:rPr>
                <w:spacing w:val="-2"/>
              </w:rPr>
            </w:pPr>
            <w:r>
              <w:rPr>
                <w:spacing w:val="-2"/>
              </w:rPr>
              <w:t>Connect America Fund</w:t>
            </w:r>
          </w:p>
          <w:p w:rsidR="00A90D9A" w:rsidP="007115F7" w14:paraId="388E1BBA" w14:textId="77777777">
            <w:pPr>
              <w:tabs>
                <w:tab w:val="center" w:pos="4680"/>
              </w:tabs>
              <w:suppressAutoHyphens/>
              <w:rPr>
                <w:spacing w:val="-2"/>
              </w:rPr>
            </w:pPr>
          </w:p>
          <w:p w:rsidR="00A90D9A" w:rsidP="007115F7" w14:paraId="6C9E82CD" w14:textId="77777777">
            <w:pPr>
              <w:tabs>
                <w:tab w:val="center" w:pos="4680"/>
              </w:tabs>
              <w:suppressAutoHyphens/>
              <w:rPr>
                <w:spacing w:val="-2"/>
              </w:rPr>
            </w:pPr>
            <w:r>
              <w:rPr>
                <w:spacing w:val="-2"/>
              </w:rPr>
              <w:t>ETC Annual Reports and Certifications</w:t>
            </w:r>
          </w:p>
          <w:p w:rsidR="00A90D9A" w:rsidP="007115F7" w14:paraId="43596D82" w14:textId="77777777">
            <w:pPr>
              <w:tabs>
                <w:tab w:val="center" w:pos="4680"/>
              </w:tabs>
              <w:suppressAutoHyphens/>
              <w:rPr>
                <w:spacing w:val="-2"/>
              </w:rPr>
            </w:pPr>
          </w:p>
          <w:p w:rsidR="00A90D9A" w:rsidP="007115F7" w14:paraId="6CDFE886" w14:textId="77777777">
            <w:pPr>
              <w:tabs>
                <w:tab w:val="center" w:pos="4680"/>
              </w:tabs>
              <w:suppressAutoHyphens/>
              <w:rPr>
                <w:spacing w:val="-2"/>
              </w:rPr>
            </w:pPr>
            <w:r>
              <w:rPr>
                <w:spacing w:val="-2"/>
              </w:rPr>
              <w:t>Establishing Just and Reasonable Rates for Local Exchange Carriers</w:t>
            </w:r>
          </w:p>
          <w:p w:rsidR="00A90D9A" w:rsidP="007115F7" w14:paraId="3EAAF998" w14:textId="77777777">
            <w:pPr>
              <w:tabs>
                <w:tab w:val="center" w:pos="4680"/>
              </w:tabs>
              <w:suppressAutoHyphens/>
              <w:rPr>
                <w:spacing w:val="-2"/>
              </w:rPr>
            </w:pPr>
          </w:p>
          <w:p w:rsidR="00A90D9A" w:rsidRPr="007115F7" w:rsidP="007115F7" w14:paraId="14A4FF39" w14:textId="3AE49BF1">
            <w:pPr>
              <w:tabs>
                <w:tab w:val="center" w:pos="4680"/>
              </w:tabs>
              <w:suppressAutoHyphens/>
              <w:rPr>
                <w:spacing w:val="-2"/>
              </w:rPr>
            </w:pPr>
            <w:r>
              <w:rPr>
                <w:spacing w:val="-2"/>
              </w:rPr>
              <w:t>Developing a Unified Intercarrier Compensation Regime</w:t>
            </w:r>
          </w:p>
        </w:tc>
        <w:tc>
          <w:tcPr>
            <w:tcW w:w="630" w:type="dxa"/>
          </w:tcPr>
          <w:p w:rsidR="004C2EE3" w14:paraId="60881267" w14:textId="15D84C88">
            <w:pPr>
              <w:tabs>
                <w:tab w:val="center" w:pos="4680"/>
              </w:tabs>
              <w:suppressAutoHyphens/>
              <w:rPr>
                <w:b/>
                <w:spacing w:val="-2"/>
              </w:rPr>
            </w:pPr>
            <w:r>
              <w:rPr>
                <w:b/>
                <w:spacing w:val="-2"/>
              </w:rPr>
              <w:t>)</w:t>
            </w:r>
          </w:p>
          <w:p w:rsidR="004C2EE3" w14:paraId="5F36EE9B" w14:textId="77777777">
            <w:pPr>
              <w:tabs>
                <w:tab w:val="center" w:pos="4680"/>
              </w:tabs>
              <w:suppressAutoHyphens/>
              <w:rPr>
                <w:b/>
                <w:spacing w:val="-2"/>
              </w:rPr>
            </w:pPr>
            <w:r>
              <w:rPr>
                <w:b/>
                <w:spacing w:val="-2"/>
              </w:rPr>
              <w:t>)</w:t>
            </w:r>
          </w:p>
          <w:p w:rsidR="004C2EE3" w14:paraId="596C8D71" w14:textId="77777777">
            <w:pPr>
              <w:tabs>
                <w:tab w:val="center" w:pos="4680"/>
              </w:tabs>
              <w:suppressAutoHyphens/>
              <w:rPr>
                <w:b/>
                <w:spacing w:val="-2"/>
              </w:rPr>
            </w:pPr>
            <w:r>
              <w:rPr>
                <w:b/>
                <w:spacing w:val="-2"/>
              </w:rPr>
              <w:t>)</w:t>
            </w:r>
          </w:p>
          <w:p w:rsidR="004C2EE3" w14:paraId="347B1FCA" w14:textId="77777777">
            <w:pPr>
              <w:tabs>
                <w:tab w:val="center" w:pos="4680"/>
              </w:tabs>
              <w:suppressAutoHyphens/>
              <w:rPr>
                <w:b/>
                <w:spacing w:val="-2"/>
              </w:rPr>
            </w:pPr>
            <w:r>
              <w:rPr>
                <w:b/>
                <w:spacing w:val="-2"/>
              </w:rPr>
              <w:t>)</w:t>
            </w:r>
          </w:p>
          <w:p w:rsidR="004C2EE3" w14:paraId="727F45E5" w14:textId="77777777">
            <w:pPr>
              <w:tabs>
                <w:tab w:val="center" w:pos="4680"/>
              </w:tabs>
              <w:suppressAutoHyphens/>
              <w:rPr>
                <w:b/>
                <w:spacing w:val="-2"/>
              </w:rPr>
            </w:pPr>
            <w:r>
              <w:rPr>
                <w:b/>
                <w:spacing w:val="-2"/>
              </w:rPr>
              <w:t>)</w:t>
            </w:r>
          </w:p>
          <w:p w:rsidR="004C2EE3" w14:paraId="17A96744" w14:textId="77777777">
            <w:pPr>
              <w:tabs>
                <w:tab w:val="center" w:pos="4680"/>
              </w:tabs>
              <w:suppressAutoHyphens/>
              <w:rPr>
                <w:b/>
                <w:spacing w:val="-2"/>
              </w:rPr>
            </w:pPr>
            <w:r>
              <w:rPr>
                <w:b/>
                <w:spacing w:val="-2"/>
              </w:rPr>
              <w:t>)</w:t>
            </w:r>
          </w:p>
          <w:p w:rsidR="004C2EE3" w14:paraId="65D60607" w14:textId="77777777">
            <w:pPr>
              <w:tabs>
                <w:tab w:val="center" w:pos="4680"/>
              </w:tabs>
              <w:suppressAutoHyphens/>
              <w:rPr>
                <w:b/>
                <w:spacing w:val="-2"/>
              </w:rPr>
            </w:pPr>
            <w:r>
              <w:rPr>
                <w:b/>
                <w:spacing w:val="-2"/>
              </w:rPr>
              <w:t>)</w:t>
            </w:r>
          </w:p>
          <w:p w:rsidR="00A90D9A" w14:paraId="4AE4014E" w14:textId="77777777">
            <w:pPr>
              <w:tabs>
                <w:tab w:val="center" w:pos="4680"/>
              </w:tabs>
              <w:suppressAutoHyphens/>
              <w:rPr>
                <w:b/>
                <w:spacing w:val="-2"/>
              </w:rPr>
            </w:pPr>
            <w:r>
              <w:rPr>
                <w:b/>
                <w:spacing w:val="-2"/>
              </w:rPr>
              <w:t>)</w:t>
            </w:r>
          </w:p>
          <w:p w:rsidR="00A90D9A" w14:paraId="229FF466" w14:textId="77777777">
            <w:pPr>
              <w:tabs>
                <w:tab w:val="center" w:pos="4680"/>
              </w:tabs>
              <w:suppressAutoHyphens/>
              <w:rPr>
                <w:b/>
                <w:spacing w:val="-2"/>
              </w:rPr>
            </w:pPr>
            <w:r>
              <w:rPr>
                <w:b/>
                <w:spacing w:val="-2"/>
              </w:rPr>
              <w:t>)</w:t>
            </w:r>
          </w:p>
          <w:p w:rsidR="00A90D9A" w14:paraId="6D66416C" w14:textId="77777777">
            <w:pPr>
              <w:tabs>
                <w:tab w:val="center" w:pos="4680"/>
              </w:tabs>
              <w:suppressAutoHyphens/>
              <w:rPr>
                <w:b/>
                <w:spacing w:val="-2"/>
              </w:rPr>
            </w:pPr>
            <w:r>
              <w:rPr>
                <w:b/>
                <w:spacing w:val="-2"/>
              </w:rPr>
              <w:t>)</w:t>
            </w:r>
          </w:p>
          <w:p w:rsidR="00A90D9A" w14:paraId="58EB65F5" w14:textId="1CD711AA">
            <w:pPr>
              <w:tabs>
                <w:tab w:val="center" w:pos="4680"/>
              </w:tabs>
              <w:suppressAutoHyphens/>
              <w:rPr>
                <w:spacing w:val="-2"/>
              </w:rPr>
            </w:pPr>
          </w:p>
        </w:tc>
        <w:tc>
          <w:tcPr>
            <w:tcW w:w="4248" w:type="dxa"/>
          </w:tcPr>
          <w:p w:rsidR="004C2EE3" w14:paraId="59B34211" w14:textId="77777777">
            <w:pPr>
              <w:tabs>
                <w:tab w:val="center" w:pos="4680"/>
              </w:tabs>
              <w:suppressAutoHyphens/>
              <w:rPr>
                <w:spacing w:val="-2"/>
              </w:rPr>
            </w:pPr>
          </w:p>
          <w:p w:rsidR="00A90D9A" w14:paraId="753CA9A8" w14:textId="77777777">
            <w:pPr>
              <w:tabs>
                <w:tab w:val="center" w:pos="4680"/>
              </w:tabs>
              <w:suppressAutoHyphens/>
              <w:rPr>
                <w:spacing w:val="-2"/>
              </w:rPr>
            </w:pPr>
          </w:p>
          <w:p w:rsidR="00A90D9A" w14:paraId="6EC56C4F" w14:textId="77777777">
            <w:pPr>
              <w:tabs>
                <w:tab w:val="center" w:pos="4680"/>
              </w:tabs>
              <w:suppressAutoHyphens/>
              <w:rPr>
                <w:spacing w:val="-2"/>
              </w:rPr>
            </w:pPr>
            <w:r>
              <w:rPr>
                <w:spacing w:val="-2"/>
              </w:rPr>
              <w:t>WC Docket No. 10-90</w:t>
            </w:r>
          </w:p>
          <w:p w:rsidR="00A90D9A" w14:paraId="6E91F24A" w14:textId="77777777">
            <w:pPr>
              <w:tabs>
                <w:tab w:val="center" w:pos="4680"/>
              </w:tabs>
              <w:suppressAutoHyphens/>
              <w:rPr>
                <w:spacing w:val="-2"/>
              </w:rPr>
            </w:pPr>
          </w:p>
          <w:p w:rsidR="00A90D9A" w14:paraId="0893D6F4" w14:textId="77777777">
            <w:pPr>
              <w:tabs>
                <w:tab w:val="center" w:pos="4680"/>
              </w:tabs>
              <w:suppressAutoHyphens/>
              <w:rPr>
                <w:spacing w:val="-2"/>
              </w:rPr>
            </w:pPr>
            <w:r>
              <w:rPr>
                <w:spacing w:val="-2"/>
              </w:rPr>
              <w:t>WC Docket No. 14-58</w:t>
            </w:r>
          </w:p>
          <w:p w:rsidR="00A90D9A" w14:paraId="54E6E42D" w14:textId="77777777">
            <w:pPr>
              <w:tabs>
                <w:tab w:val="center" w:pos="4680"/>
              </w:tabs>
              <w:suppressAutoHyphens/>
              <w:rPr>
                <w:spacing w:val="-2"/>
              </w:rPr>
            </w:pPr>
          </w:p>
          <w:p w:rsidR="00A90D9A" w14:paraId="6E44FA79" w14:textId="77777777">
            <w:pPr>
              <w:tabs>
                <w:tab w:val="center" w:pos="4680"/>
              </w:tabs>
              <w:suppressAutoHyphens/>
              <w:rPr>
                <w:spacing w:val="-2"/>
              </w:rPr>
            </w:pPr>
            <w:r>
              <w:rPr>
                <w:spacing w:val="-2"/>
              </w:rPr>
              <w:t>WC Docket No. 07-135</w:t>
            </w:r>
          </w:p>
          <w:p w:rsidR="00A90D9A" w14:paraId="16549241" w14:textId="77777777">
            <w:pPr>
              <w:tabs>
                <w:tab w:val="center" w:pos="4680"/>
              </w:tabs>
              <w:suppressAutoHyphens/>
              <w:rPr>
                <w:spacing w:val="-2"/>
              </w:rPr>
            </w:pPr>
          </w:p>
          <w:p w:rsidR="00A90D9A" w14:paraId="2F41BB1A" w14:textId="77777777">
            <w:pPr>
              <w:tabs>
                <w:tab w:val="center" w:pos="4680"/>
              </w:tabs>
              <w:suppressAutoHyphens/>
              <w:rPr>
                <w:spacing w:val="-2"/>
              </w:rPr>
            </w:pPr>
          </w:p>
          <w:p w:rsidR="00A90D9A" w14:paraId="3E2AF524" w14:textId="5BC59A13">
            <w:pPr>
              <w:tabs>
                <w:tab w:val="center" w:pos="4680"/>
              </w:tabs>
              <w:suppressAutoHyphens/>
              <w:rPr>
                <w:spacing w:val="-2"/>
              </w:rPr>
            </w:pPr>
            <w:r>
              <w:rPr>
                <w:spacing w:val="-2"/>
              </w:rPr>
              <w:t>CC Docket No. 01-92</w:t>
            </w:r>
          </w:p>
        </w:tc>
      </w:tr>
    </w:tbl>
    <w:p w:rsidR="004C2EE3" w:rsidP="0070224F" w14:paraId="760D7E25" w14:textId="77777777"/>
    <w:p w:rsidR="00841AB1" w:rsidP="00F021FA" w14:paraId="7EAD52B0" w14:textId="38F66EDF">
      <w:pPr>
        <w:pStyle w:val="StyleBoldCentered"/>
      </w:pPr>
      <w:r>
        <w:t>Order</w:t>
      </w:r>
    </w:p>
    <w:p w:rsidR="004C2EE3" w14:paraId="5A4A36E0" w14:textId="77777777">
      <w:pPr>
        <w:tabs>
          <w:tab w:val="left" w:pos="-720"/>
        </w:tabs>
        <w:suppressAutoHyphens/>
        <w:spacing w:line="227" w:lineRule="auto"/>
        <w:rPr>
          <w:spacing w:val="-2"/>
        </w:rPr>
      </w:pPr>
    </w:p>
    <w:p w:rsidR="00A51070" w:rsidRPr="00A51070" w:rsidP="00133F79" w14:paraId="2170FFE2" w14:textId="4603177E">
      <w:pPr>
        <w:tabs>
          <w:tab w:val="left" w:pos="720"/>
          <w:tab w:val="right" w:pos="9360"/>
        </w:tabs>
        <w:suppressAutoHyphens/>
        <w:spacing w:line="227" w:lineRule="auto"/>
        <w:rPr>
          <w:b/>
          <w:spacing w:val="-2"/>
        </w:rPr>
      </w:pPr>
      <w:r>
        <w:rPr>
          <w:b/>
          <w:spacing w:val="-2"/>
        </w:rPr>
        <w:t xml:space="preserve">Adopted:  </w:t>
      </w:r>
      <w:r>
        <w:rPr>
          <w:b/>
          <w:spacing w:val="-2"/>
        </w:rPr>
        <w:t>August 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August 5, 2020</w:t>
      </w:r>
      <w:bookmarkStart w:id="0" w:name="_GoBack"/>
      <w:bookmarkEnd w:id="0"/>
    </w:p>
    <w:p w:rsidR="00822CE0" w14:paraId="5ACD686C" w14:textId="77777777"/>
    <w:p w:rsidR="004C2EE3" w14:paraId="152BDAAB" w14:textId="53EB7ABF">
      <w:pPr>
        <w:rPr>
          <w:spacing w:val="-2"/>
        </w:rPr>
      </w:pPr>
      <w:r>
        <w:t xml:space="preserve">By </w:t>
      </w:r>
      <w:r w:rsidR="004E4A22">
        <w:t>the</w:t>
      </w:r>
      <w:r w:rsidR="002A2D2E">
        <w:t xml:space="preserve"> </w:t>
      </w:r>
      <w:r w:rsidR="00C0062E">
        <w:t xml:space="preserve">Chief, </w:t>
      </w:r>
      <w:r w:rsidR="00A90D9A">
        <w:t>Wireline Competition Bureau:</w:t>
      </w:r>
    </w:p>
    <w:p w:rsidR="00822CE0" w14:paraId="4E708705" w14:textId="77777777">
      <w:pPr>
        <w:rPr>
          <w:spacing w:val="-2"/>
        </w:rPr>
      </w:pPr>
    </w:p>
    <w:p w:rsidR="00412FC5" w:rsidP="00C36B4C" w14:paraId="4DF8ADCC" w14:textId="6576A6AD">
      <w:pPr>
        <w:pStyle w:val="Heading1"/>
      </w:pPr>
      <w:r>
        <w:t>Introduction</w:t>
      </w:r>
    </w:p>
    <w:p w:rsidR="00A90D9A" w:rsidP="00A90D9A" w14:paraId="13E53642" w14:textId="27C100AF">
      <w:pPr>
        <w:pStyle w:val="ParaNum"/>
      </w:pPr>
      <w:r>
        <w:t xml:space="preserve">In this Order, the Wireline Competition Bureau </w:t>
      </w:r>
      <w:r w:rsidR="00442410">
        <w:t xml:space="preserve">(Bureau) </w:t>
      </w:r>
      <w:r w:rsidR="560D9347">
        <w:t xml:space="preserve">resolves </w:t>
      </w:r>
      <w:r w:rsidR="00445846">
        <w:t xml:space="preserve">two petitions requesting waiver of the March 1, 2019 deadline to upload and certify geocoded location information data with the </w:t>
      </w:r>
      <w:r w:rsidR="00582929">
        <w:t>Universal</w:t>
      </w:r>
      <w:r w:rsidR="00445846">
        <w:t xml:space="preserve"> Service Administrative </w:t>
      </w:r>
      <w:r w:rsidR="00582929">
        <w:t>Company</w:t>
      </w:r>
      <w:r w:rsidR="00305C38">
        <w:t xml:space="preserve"> (USAC)</w:t>
      </w:r>
      <w:r w:rsidR="251B6224">
        <w:t>, the Commission’s administrator of universal service programs,</w:t>
      </w:r>
      <w:r w:rsidR="00305C38">
        <w:t xml:space="preserve"> through the High Cost Universal Broadband (HUBB) </w:t>
      </w:r>
      <w:r w:rsidR="00582929">
        <w:t>portal.</w:t>
      </w:r>
      <w:r>
        <w:rPr>
          <w:rStyle w:val="FootnoteReference"/>
        </w:rPr>
        <w:footnoteReference w:id="3"/>
      </w:r>
      <w:r w:rsidR="00582929">
        <w:t xml:space="preserve">  </w:t>
      </w:r>
      <w:r w:rsidR="00F668FF">
        <w:t>Specifically, we act on the</w:t>
      </w:r>
      <w:r w:rsidR="00A65336">
        <w:t xml:space="preserve"> joint</w:t>
      </w:r>
      <w:r w:rsidR="00F668FF">
        <w:t xml:space="preserve"> petition filed by </w:t>
      </w:r>
      <w:r w:rsidR="00A65336">
        <w:t>Com</w:t>
      </w:r>
      <w:r w:rsidR="16FD987F">
        <w:t>S</w:t>
      </w:r>
      <w:r w:rsidR="00A65336">
        <w:t>outh</w:t>
      </w:r>
      <w:r w:rsidR="00A65336">
        <w:t xml:space="preserve"> Corporation (</w:t>
      </w:r>
      <w:r w:rsidR="00A65336">
        <w:t>ComSouth</w:t>
      </w:r>
      <w:r w:rsidR="00A65336">
        <w:t>) and Bloomingdale Telephone Company (Bloomingdale)</w:t>
      </w:r>
      <w:r w:rsidR="056E2A4C">
        <w:t>,</w:t>
      </w:r>
      <w:r w:rsidR="00A65336">
        <w:t xml:space="preserve"> and the petition filed by State </w:t>
      </w:r>
      <w:r w:rsidR="004D4C13">
        <w:t>Telephone Company (State)</w:t>
      </w:r>
      <w:r w:rsidR="00B246C1">
        <w:t xml:space="preserve"> (collectively the Petitioners)</w:t>
      </w:r>
      <w:r w:rsidR="004D4C13">
        <w:t>.  Based on the record before us, we find the</w:t>
      </w:r>
      <w:r w:rsidR="00B246C1">
        <w:t xml:space="preserve"> Petitioners have not demonstrated that there is good cause to waive the applicable sections of the Commission’s rules and, accordingly, deny the requested relief. </w:t>
      </w:r>
    </w:p>
    <w:p w:rsidR="005D2A83" w:rsidP="005D2A83" w14:paraId="540206C6" w14:textId="4284B1BD">
      <w:pPr>
        <w:pStyle w:val="Heading1"/>
      </w:pPr>
      <w:r>
        <w:t>Background</w:t>
      </w:r>
    </w:p>
    <w:p w:rsidR="005D2A83" w:rsidP="00C0062E" w14:paraId="77A37899" w14:textId="4F2E73B3">
      <w:pPr>
        <w:pStyle w:val="ParaNum"/>
        <w:widowControl/>
      </w:pPr>
      <w:r>
        <w:t xml:space="preserve">The </w:t>
      </w:r>
      <w:r w:rsidRPr="00306EBD">
        <w:t xml:space="preserve">2016 </w:t>
      </w:r>
      <w:r w:rsidRPr="00306EBD">
        <w:rPr>
          <w:i/>
        </w:rPr>
        <w:t>Rate-of-Return Reform Order</w:t>
      </w:r>
      <w:r w:rsidRPr="00306EBD">
        <w:t xml:space="preserve"> adopted new annual reporting requirements for rate-of-return eligible telecommunications carriers (ETCs).</w:t>
      </w:r>
      <w:r>
        <w:rPr>
          <w:rStyle w:val="FootnoteReference"/>
        </w:rPr>
        <w:footnoteReference w:id="4"/>
      </w:r>
      <w:r w:rsidRPr="00306EBD">
        <w:t xml:space="preserve">  Th</w:t>
      </w:r>
      <w:r>
        <w:t>e</w:t>
      </w:r>
      <w:r w:rsidRPr="00306EBD">
        <w:t xml:space="preserve"> order directed these ETCs “to submit to [USAC] the geocoded locations to which they have newly deployed broadband.”</w:t>
      </w:r>
      <w:r>
        <w:rPr>
          <w:rStyle w:val="FootnoteReference"/>
        </w:rPr>
        <w:footnoteReference w:id="5"/>
      </w:r>
      <w:r w:rsidRPr="00306EBD">
        <w:t xml:space="preserve">  ETCs must provide </w:t>
      </w:r>
      <w:r w:rsidRPr="00306EBD">
        <w:t>annual certifications with this geocoded location information data to demonstrate the ETC is on track to meet its deployment obligations.</w:t>
      </w:r>
      <w:r>
        <w:rPr>
          <w:rStyle w:val="FootnoteReference"/>
        </w:rPr>
        <w:footnoteReference w:id="6"/>
      </w:r>
      <w:r w:rsidRPr="00306EBD">
        <w:t xml:space="preserve">  </w:t>
      </w:r>
    </w:p>
    <w:p w:rsidR="005D2A83" w:rsidRPr="00306EBD" w:rsidP="005D2A83" w14:paraId="1BAD5837" w14:textId="6A33F3B0">
      <w:pPr>
        <w:pStyle w:val="ParaNum"/>
      </w:pPr>
      <w:r w:rsidRPr="00306EBD">
        <w:t xml:space="preserve">The 2016 </w:t>
      </w:r>
      <w:r w:rsidRPr="00306EBD">
        <w:rPr>
          <w:i/>
        </w:rPr>
        <w:t>Rate-of-Return Reform Order</w:t>
      </w:r>
      <w:r w:rsidRPr="00306EBD">
        <w:t xml:space="preserve"> further directed USAC to develop an online </w:t>
      </w:r>
      <w:r>
        <w:t>system</w:t>
      </w:r>
      <w:r w:rsidRPr="00306EBD">
        <w:t xml:space="preserve"> to accept the geocoded location information data and related certifications.</w:t>
      </w:r>
      <w:r>
        <w:rPr>
          <w:rStyle w:val="FootnoteReference"/>
        </w:rPr>
        <w:footnoteReference w:id="7"/>
      </w:r>
      <w:r w:rsidRPr="00306EBD">
        <w:t xml:space="preserve">  In response, USAC developed</w:t>
      </w:r>
      <w:r w:rsidR="007953E4">
        <w:t xml:space="preserve"> and</w:t>
      </w:r>
      <w:r w:rsidRPr="00306EBD">
        <w:t xml:space="preserve"> </w:t>
      </w:r>
      <w:r w:rsidR="00A045C7">
        <w:t>administers</w:t>
      </w:r>
      <w:r w:rsidRPr="00306EBD">
        <w:t xml:space="preserve"> the HUBB portal.  ETCs </w:t>
      </w:r>
      <w:r>
        <w:t>receiving</w:t>
      </w:r>
      <w:r w:rsidRPr="00306EBD">
        <w:t xml:space="preserve"> high-cost support now must file </w:t>
      </w:r>
      <w:r>
        <w:t>their</w:t>
      </w:r>
      <w:r w:rsidRPr="00306EBD">
        <w:t xml:space="preserve"> geocoded location information data and related certifications through the HUBB.</w:t>
      </w:r>
      <w:r>
        <w:rPr>
          <w:rStyle w:val="FootnoteReference"/>
        </w:rPr>
        <w:footnoteReference w:id="8"/>
      </w:r>
      <w:r w:rsidRPr="00306EBD">
        <w:t xml:space="preserve">  Section 54.316 of the Commission’s rules contains the reporting and certification requirements for these ETCs.</w:t>
      </w:r>
      <w:r>
        <w:rPr>
          <w:rStyle w:val="FootnoteReference"/>
        </w:rPr>
        <w:footnoteReference w:id="9"/>
      </w:r>
      <w:r w:rsidRPr="00306EBD">
        <w:t xml:space="preserve">  Sub</w:t>
      </w:r>
      <w:r w:rsidRPr="00306EBD" w:rsidR="3DBB7CD9">
        <w:t>section</w:t>
      </w:r>
      <w:r w:rsidRPr="00306EBD">
        <w:t xml:space="preserve"> (a) sets out the broadband reporting requirements, </w:t>
      </w:r>
      <w:r w:rsidRPr="00306EBD" w:rsidR="4913781E">
        <w:t>sub</w:t>
      </w:r>
      <w:r w:rsidRPr="00306EBD" w:rsidR="575EFA6B">
        <w:t>section</w:t>
      </w:r>
      <w:r w:rsidRPr="00306EBD" w:rsidR="4913781E">
        <w:t xml:space="preserve"> </w:t>
      </w:r>
      <w:r w:rsidRPr="00306EBD">
        <w:t xml:space="preserve">(b) outlines the certification requirements, and </w:t>
      </w:r>
      <w:r w:rsidRPr="00306EBD" w:rsidR="06FDD9A4">
        <w:t xml:space="preserve">subsection </w:t>
      </w:r>
      <w:r w:rsidRPr="00306EBD">
        <w:t>(c) establishes the filing deadlines and penalties if an ETC fails to properly report and certify its geocoded location information data.</w:t>
      </w:r>
      <w:r>
        <w:rPr>
          <w:rStyle w:val="FootnoteReference"/>
        </w:rPr>
        <w:footnoteReference w:id="10"/>
      </w:r>
      <w:r w:rsidRPr="00306EBD">
        <w:t xml:space="preserve">  On December 8, 2016, the Bureau released a Public Notice to provide further guidance on the dual requirements to report both geocoded location information data and the related certification through the HUBB.</w:t>
      </w:r>
      <w:r>
        <w:rPr>
          <w:rStyle w:val="FootnoteReference"/>
        </w:rPr>
        <w:footnoteReference w:id="11"/>
      </w:r>
      <w:r w:rsidRPr="00306EBD">
        <w:t xml:space="preserve"> </w:t>
      </w:r>
    </w:p>
    <w:p w:rsidR="00286B1D" w:rsidP="007A1FF9" w14:paraId="03A4CD36" w14:textId="6FE2F624">
      <w:pPr>
        <w:pStyle w:val="ParaNum"/>
      </w:pPr>
      <w:r w:rsidRPr="00306EBD">
        <w:t>The Commission has consistently encouraged ETCs subject to defined deployment obligations and HUBB reporting obligations to report geocoded location information data on a rolling basis and has adopted a best practice of filing this information within 30 days after the initial offering of service.</w:t>
      </w:r>
      <w:r>
        <w:rPr>
          <w:rStyle w:val="FootnoteReference"/>
        </w:rPr>
        <w:footnoteReference w:id="12"/>
      </w:r>
      <w:r w:rsidRPr="00306EBD">
        <w:t xml:space="preserve">  The Commission recommended this best practice to help minimize errors caused by the filing process.</w:t>
      </w:r>
      <w:r>
        <w:rPr>
          <w:rStyle w:val="FootnoteReference"/>
        </w:rPr>
        <w:footnoteReference w:id="13"/>
      </w:r>
      <w:r>
        <w:t xml:space="preserve">  </w:t>
      </w:r>
      <w:r w:rsidR="3447A889">
        <w:t xml:space="preserve">Any </w:t>
      </w:r>
      <w:r w:rsidR="14427D6C">
        <w:t>c</w:t>
      </w:r>
      <w:r w:rsidR="00210098">
        <w:t xml:space="preserve">arriers that did not deploy to locations in the prior year must still log into the HUBB and certify </w:t>
      </w:r>
      <w:r w:rsidR="2E5EB285">
        <w:t>that</w:t>
      </w:r>
      <w:r w:rsidR="00D626A8">
        <w:t xml:space="preserve"> </w:t>
      </w:r>
      <w:r w:rsidR="00614203">
        <w:t>they have</w:t>
      </w:r>
      <w:r w:rsidR="00D626A8">
        <w:t xml:space="preserve"> </w:t>
      </w:r>
      <w:r w:rsidR="00210098">
        <w:t>no new locations to report.</w:t>
      </w:r>
      <w:r>
        <w:rPr>
          <w:rStyle w:val="FootnoteReference"/>
        </w:rPr>
        <w:footnoteReference w:id="14"/>
      </w:r>
      <w:r w:rsidR="00210098">
        <w:t xml:space="preserve">  </w:t>
      </w:r>
    </w:p>
    <w:p w:rsidR="007A1FF9" w:rsidRPr="00306EBD" w:rsidP="00EB1E6A" w14:paraId="7040D2EF" w14:textId="5C0611BA">
      <w:pPr>
        <w:pStyle w:val="ParaNum"/>
      </w:pPr>
      <w:r>
        <w:t xml:space="preserve">In </w:t>
      </w:r>
      <w:r w:rsidR="007A7744">
        <w:t xml:space="preserve">December </w:t>
      </w:r>
      <w:r w:rsidR="000A4FC7">
        <w:t>2019</w:t>
      </w:r>
      <w:r>
        <w:t>, the Bureau granted several petitions to waive the March 1, 2018 filing deadline for geocoded location information data for locations deployed in 2017.</w:t>
      </w:r>
      <w:r>
        <w:rPr>
          <w:rStyle w:val="FootnoteReference"/>
        </w:rPr>
        <w:footnoteReference w:id="15"/>
      </w:r>
      <w:r>
        <w:t xml:space="preserve">  The Bureau found that waivers were warranted because all of the petitioners reported confusion with </w:t>
      </w:r>
      <w:r w:rsidR="4C1E1D0A">
        <w:t xml:space="preserve">the </w:t>
      </w:r>
      <w:r>
        <w:t>newly instated HUBB filing requirements and the requirement to certify in the HUBB even if carriers had no new locations to report.</w:t>
      </w:r>
      <w:r>
        <w:rPr>
          <w:rStyle w:val="FootnoteReference"/>
        </w:rPr>
        <w:footnoteReference w:id="16"/>
      </w:r>
      <w:r>
        <w:t xml:space="preserve">  The Bureau found it in the public interest to grant the petitions for the filers who failed to certify they had no locations to report because of the carriers’ “reasonable confusion” regarding the filing instructions and because “ultimately, each made the requisite certification.”</w:t>
      </w:r>
      <w:r>
        <w:rPr>
          <w:rStyle w:val="FootnoteReference"/>
        </w:rPr>
        <w:footnoteReference w:id="17"/>
      </w:r>
      <w:r>
        <w:t xml:space="preserve">  </w:t>
      </w:r>
      <w:r w:rsidR="00963DE2">
        <w:t>For the petitioners who e</w:t>
      </w:r>
      <w:r w:rsidR="00FE3B73">
        <w:t xml:space="preserve">xperienced difficulties with accessing or using the HUBB, the Bureau </w:t>
      </w:r>
      <w:r w:rsidR="00FE6493">
        <w:t xml:space="preserve">found it in the public interest to grant the waiver because each petitioner “faced the unique situation of having both new reporting </w:t>
      </w:r>
      <w:r w:rsidR="00FE6493">
        <w:t>requirements and a new method through which to report the geocode location information data.</w:t>
      </w:r>
      <w:r>
        <w:rPr>
          <w:rStyle w:val="FootnoteReference"/>
        </w:rPr>
        <w:footnoteReference w:id="18"/>
      </w:r>
      <w:r w:rsidR="00FE6493">
        <w:t xml:space="preserve">  </w:t>
      </w:r>
      <w:r>
        <w:t>The Bureau emphasized that this waiver applied only to the first round of HUBB reporting and stressed that it was “unlikely to grant future petitions with similar facts.”</w:t>
      </w:r>
      <w:r>
        <w:rPr>
          <w:rStyle w:val="FootnoteReference"/>
        </w:rPr>
        <w:footnoteReference w:id="19"/>
      </w:r>
    </w:p>
    <w:p w:rsidR="00EC6BBB" w:rsidP="005D2A83" w14:paraId="12C62045" w14:textId="35955E92">
      <w:pPr>
        <w:pStyle w:val="ParaNum"/>
      </w:pPr>
      <w:r>
        <w:rPr>
          <w:i/>
          <w:iCs/>
        </w:rPr>
        <w:t>The Joint Petition</w:t>
      </w:r>
      <w:r>
        <w:t xml:space="preserve">.  On April 21, 2020, </w:t>
      </w:r>
      <w:r w:rsidR="00DC78F8">
        <w:t>ComSouth</w:t>
      </w:r>
      <w:r w:rsidR="00DC78F8">
        <w:t xml:space="preserve"> and Bloomingdale</w:t>
      </w:r>
      <w:r>
        <w:t xml:space="preserve"> requested a waiver of the 2019 filing deadline established by section 54.316(c)(1) and the support reductions established by section 54.316(c)(1)(i) of the Commission’s rules.</w:t>
      </w:r>
      <w:r>
        <w:rPr>
          <w:rStyle w:val="FootnoteReference"/>
        </w:rPr>
        <w:footnoteReference w:id="20"/>
      </w:r>
      <w:r>
        <w:t xml:space="preserve">  </w:t>
      </w:r>
      <w:r w:rsidR="00803741">
        <w:t>The deadline for ETCs to report and certify geocoded location information data for new broadband service deployed during 2018 was March 1, 2019.</w:t>
      </w:r>
      <w:r>
        <w:rPr>
          <w:rStyle w:val="FootnoteReference"/>
        </w:rPr>
        <w:footnoteReference w:id="21"/>
      </w:r>
      <w:r w:rsidR="00803741">
        <w:t xml:space="preserve">  </w:t>
      </w:r>
      <w:r>
        <w:t xml:space="preserve">According to the Joint Petition, </w:t>
      </w:r>
      <w:r w:rsidR="00DC78F8">
        <w:t>ComSouth</w:t>
      </w:r>
      <w:r w:rsidR="00DC78F8">
        <w:t xml:space="preserve"> and Bloomingdale</w:t>
      </w:r>
      <w:r>
        <w:t xml:space="preserve"> did not have new geocoded location data information to report to the HUBB for 2018 </w:t>
      </w:r>
      <w:r w:rsidR="002A603C">
        <w:t>becaus</w:t>
      </w:r>
      <w:r>
        <w:t>e they did not deploy broadband service to any new locations during that year.</w:t>
      </w:r>
      <w:r>
        <w:rPr>
          <w:rStyle w:val="FootnoteReference"/>
        </w:rPr>
        <w:footnoteReference w:id="22"/>
      </w:r>
      <w:r>
        <w:t xml:space="preserve">  </w:t>
      </w:r>
      <w:r w:rsidR="00DC78F8">
        <w:t>ComSouth</w:t>
      </w:r>
      <w:r w:rsidR="00DC78F8">
        <w:t xml:space="preserve"> and Bloomingdale</w:t>
      </w:r>
      <w:r>
        <w:t xml:space="preserve"> claim they were not aware of the requirements to certify that they had no locations to report for 2018.</w:t>
      </w:r>
      <w:r>
        <w:rPr>
          <w:rStyle w:val="FootnoteReference"/>
        </w:rPr>
        <w:footnoteReference w:id="23"/>
      </w:r>
      <w:r>
        <w:t xml:space="preserve">  </w:t>
      </w:r>
      <w:r w:rsidR="00CE00D3">
        <w:t>ComSouth</w:t>
      </w:r>
      <w:r w:rsidR="00CE00D3">
        <w:t xml:space="preserve"> and Bloomingdale allege that t</w:t>
      </w:r>
      <w:r>
        <w:t>he missed deadline resulted in significant reductions in support.</w:t>
      </w:r>
      <w:r>
        <w:rPr>
          <w:rStyle w:val="FootnoteReference"/>
        </w:rPr>
        <w:footnoteReference w:id="24"/>
      </w:r>
      <w:r>
        <w:t xml:space="preserve">  </w:t>
      </w:r>
      <w:r w:rsidR="00DC78F8">
        <w:t>They</w:t>
      </w:r>
      <w:r w:rsidR="00AF30FA">
        <w:t xml:space="preserve"> argue that granting the Joint Petition is in the public interest because the “financial penalty that </w:t>
      </w:r>
      <w:r w:rsidR="00DC78F8">
        <w:t>[</w:t>
      </w:r>
      <w:r w:rsidR="00DC78F8">
        <w:t>ComSouth</w:t>
      </w:r>
      <w:r w:rsidR="00DC78F8">
        <w:t xml:space="preserve"> and Bloomingdale]</w:t>
      </w:r>
      <w:r w:rsidR="00AF30FA">
        <w:t xml:space="preserve"> incurred was a drastic adjustment and will directly and negatively impact the rural communities they serve . . .” by “directly affect[</w:t>
      </w:r>
      <w:r w:rsidR="00AF30FA">
        <w:t>ing</w:t>
      </w:r>
      <w:r w:rsidR="00AF30FA">
        <w:t>] [</w:t>
      </w:r>
      <w:r w:rsidR="00DC78F8">
        <w:t>ComSouth</w:t>
      </w:r>
      <w:r w:rsidR="00DC78F8">
        <w:t xml:space="preserve"> and Bloomingdale’s</w:t>
      </w:r>
      <w:r w:rsidR="00AF30FA">
        <w:t>] ability to fund broadband deployment, as well as the day-to-day operations and maintenance of their current networks and infrastructure.”</w:t>
      </w:r>
      <w:r>
        <w:rPr>
          <w:rStyle w:val="FootnoteReference"/>
        </w:rPr>
        <w:footnoteReference w:id="25"/>
      </w:r>
    </w:p>
    <w:p w:rsidR="007A53D2" w:rsidP="005D2A83" w14:paraId="49884433" w14:textId="0CDA34C9">
      <w:pPr>
        <w:pStyle w:val="ParaNum"/>
      </w:pPr>
      <w:r>
        <w:rPr>
          <w:i/>
          <w:iCs/>
        </w:rPr>
        <w:t>The State Petition</w:t>
      </w:r>
      <w:r>
        <w:t xml:space="preserve">.  On June 12, 2020, </w:t>
      </w:r>
      <w:r w:rsidR="003C5797">
        <w:t xml:space="preserve">State Telephone Company requested a waiver of </w:t>
      </w:r>
      <w:r w:rsidR="00812941">
        <w:t xml:space="preserve">both </w:t>
      </w:r>
      <w:r w:rsidR="003C5797">
        <w:t xml:space="preserve">the </w:t>
      </w:r>
      <w:r w:rsidR="00812941">
        <w:t xml:space="preserve">2018 and </w:t>
      </w:r>
      <w:r w:rsidR="003C5797">
        <w:t>2019 filing deadline established by section 54.316(c) of the Commission’s rules.</w:t>
      </w:r>
      <w:r>
        <w:rPr>
          <w:rStyle w:val="FootnoteReference"/>
        </w:rPr>
        <w:footnoteReference w:id="26"/>
      </w:r>
      <w:r w:rsidR="00B07C9B">
        <w:t xml:space="preserve">  State is a rural local exchange carrier the operates two ex</w:t>
      </w:r>
      <w:r w:rsidR="00B120A1">
        <w:t>changes in New York.</w:t>
      </w:r>
      <w:r>
        <w:rPr>
          <w:rStyle w:val="FootnoteReference"/>
        </w:rPr>
        <w:footnoteReference w:id="27"/>
      </w:r>
      <w:r w:rsidR="00B120A1">
        <w:t xml:space="preserve">  </w:t>
      </w:r>
      <w:r w:rsidR="00DD7769">
        <w:t>In 2017</w:t>
      </w:r>
      <w:r w:rsidR="000D2CF1">
        <w:t xml:space="preserve">, the Bureau granted a waiver of the March 1, 2017 HUBB filing deadline for </w:t>
      </w:r>
      <w:r w:rsidR="21526221">
        <w:t xml:space="preserve">Connect America Fund-Broadband </w:t>
      </w:r>
      <w:r w:rsidR="14802192">
        <w:t>Loop Support (</w:t>
      </w:r>
      <w:r w:rsidR="000D2CF1">
        <w:t>CAF-BLS</w:t>
      </w:r>
      <w:r w:rsidR="0A462893">
        <w:t>)</w:t>
      </w:r>
      <w:r w:rsidR="000D2CF1">
        <w:t xml:space="preserve"> and other high-cost support recipients.</w:t>
      </w:r>
      <w:r>
        <w:rPr>
          <w:rStyle w:val="FootnoteReference"/>
        </w:rPr>
        <w:footnoteReference w:id="28"/>
      </w:r>
      <w:r w:rsidR="000D2CF1">
        <w:t xml:space="preserve">  </w:t>
      </w:r>
      <w:r w:rsidR="00B30048">
        <w:t>The Bureau extended the deadline for CAF-BLS recipients to make their first HUBB filing to March 1, 2018.</w:t>
      </w:r>
      <w:r>
        <w:rPr>
          <w:rStyle w:val="FootnoteReference"/>
        </w:rPr>
        <w:footnoteReference w:id="29"/>
      </w:r>
      <w:r w:rsidR="00601407">
        <w:t xml:space="preserve">  State</w:t>
      </w:r>
      <w:r w:rsidR="00926C97">
        <w:t xml:space="preserve"> </w:t>
      </w:r>
      <w:r w:rsidR="006E36C0">
        <w:t>receives legacy CAF-BLS support.</w:t>
      </w:r>
      <w:r>
        <w:rPr>
          <w:rStyle w:val="FootnoteReference"/>
        </w:rPr>
        <w:footnoteReference w:id="30"/>
      </w:r>
      <w:r w:rsidR="00FD329B">
        <w:t xml:space="preserve">  State asserts in </w:t>
      </w:r>
      <w:r w:rsidR="26904C8C">
        <w:t xml:space="preserve">its petition </w:t>
      </w:r>
      <w:r w:rsidR="00FD329B">
        <w:t xml:space="preserve">that it </w:t>
      </w:r>
      <w:r w:rsidR="00C505EE">
        <w:t xml:space="preserve">“erroneously believed that its March 2018 HUBB filing was limited to locations newly deployed during 2017 . . .,” so it did not </w:t>
      </w:r>
      <w:r w:rsidR="008E6715">
        <w:t>report and certify the locations State had deployed broadband service to in prior years</w:t>
      </w:r>
      <w:r w:rsidR="00601407">
        <w:t xml:space="preserve">, which would have originally been reported </w:t>
      </w:r>
      <w:r w:rsidR="00731DE9">
        <w:t>by March 1, 2017.</w:t>
      </w:r>
      <w:r>
        <w:rPr>
          <w:rStyle w:val="FootnoteReference"/>
        </w:rPr>
        <w:footnoteReference w:id="31"/>
      </w:r>
      <w:r w:rsidR="00F15BCB">
        <w:t xml:space="preserve">  State then attempted to complete its 2019 HUBB filing but did not have </w:t>
      </w:r>
      <w:r w:rsidR="00B719B1">
        <w:t>the “geocoded information necessary to make a complete HUBB filing.”</w:t>
      </w:r>
      <w:r>
        <w:rPr>
          <w:rStyle w:val="FootnoteReference"/>
        </w:rPr>
        <w:footnoteReference w:id="32"/>
      </w:r>
      <w:r w:rsidR="00F41006">
        <w:t xml:space="preserve">  State had contracted with a third party to </w:t>
      </w:r>
      <w:r w:rsidR="00F41006">
        <w:t xml:space="preserve">provide </w:t>
      </w:r>
      <w:r w:rsidR="00365279">
        <w:t xml:space="preserve">the geocoded location information for the areas </w:t>
      </w:r>
      <w:r w:rsidR="00B17D0A">
        <w:t>it</w:t>
      </w:r>
      <w:r w:rsidR="00365279">
        <w:t xml:space="preserve"> newly deployed to in 2018 but the third party was ultimately unable to provide this information.</w:t>
      </w:r>
      <w:r>
        <w:rPr>
          <w:rStyle w:val="FootnoteReference"/>
        </w:rPr>
        <w:footnoteReference w:id="33"/>
      </w:r>
      <w:r w:rsidR="002E23B0">
        <w:t xml:space="preserve">  State has since fixed any errors with its filings and recently completed its 2020 HUBB filing on time.</w:t>
      </w:r>
      <w:r>
        <w:rPr>
          <w:rStyle w:val="FootnoteReference"/>
        </w:rPr>
        <w:footnoteReference w:id="34"/>
      </w:r>
      <w:r w:rsidR="00176DA6">
        <w:t xml:space="preserve">  State argues that granting the waiver is in the public interest because </w:t>
      </w:r>
      <w:r w:rsidR="009670D3">
        <w:t>no entity was harmed by its faulty HUBB filings and because State ultimately corrected its filing.</w:t>
      </w:r>
      <w:r>
        <w:rPr>
          <w:rStyle w:val="FootnoteReference"/>
        </w:rPr>
        <w:footnoteReference w:id="35"/>
      </w:r>
    </w:p>
    <w:p w:rsidR="00AF30FA" w:rsidP="00AF30FA" w14:paraId="3C627209" w14:textId="37F2AF16">
      <w:pPr>
        <w:pStyle w:val="Heading1"/>
      </w:pPr>
      <w:r>
        <w:t>Discussion</w:t>
      </w:r>
    </w:p>
    <w:p w:rsidR="00510F1D" w:rsidP="00AF30FA" w14:paraId="3FF4679E" w14:textId="2A27AC75">
      <w:pPr>
        <w:pStyle w:val="ParaNum"/>
      </w:pPr>
      <w:r>
        <w:t>We find that t</w:t>
      </w:r>
      <w:r w:rsidR="00AF30FA">
        <w:t>he Petitioners have not demonstrated that there is good cause to waive the applicable sections of the Commission’s rules.</w:t>
      </w:r>
      <w:r>
        <w:rPr>
          <w:rStyle w:val="FootnoteReference"/>
        </w:rPr>
        <w:footnoteReference w:id="36"/>
      </w:r>
      <w:r w:rsidR="00AF30FA">
        <w:t xml:space="preserve">  As we stated in the </w:t>
      </w:r>
      <w:r w:rsidR="00AF30FA">
        <w:rPr>
          <w:i/>
          <w:iCs/>
        </w:rPr>
        <w:t xml:space="preserve">December </w:t>
      </w:r>
      <w:r w:rsidR="003C7D93">
        <w:rPr>
          <w:i/>
          <w:iCs/>
        </w:rPr>
        <w:t xml:space="preserve">HUBB Waiver </w:t>
      </w:r>
      <w:r w:rsidR="00AF30FA">
        <w:rPr>
          <w:i/>
          <w:iCs/>
        </w:rPr>
        <w:t>Order</w:t>
      </w:r>
      <w:r w:rsidR="00AF30FA">
        <w:t>, “</w:t>
      </w:r>
      <w:r w:rsidRPr="00306EBD" w:rsidR="00AF30FA">
        <w:t>USAC processes a tremendous amount of data each year, making it administratively necessary to require ETCs to meet the filing deadlines absent special circumstances.</w:t>
      </w:r>
      <w:r w:rsidR="00AF30FA">
        <w:t>”</w:t>
      </w:r>
      <w:r>
        <w:rPr>
          <w:rStyle w:val="FootnoteReference"/>
        </w:rPr>
        <w:footnoteReference w:id="37"/>
      </w:r>
      <w:r w:rsidR="00787467">
        <w:t xml:space="preserve">  It is the responsibility of all ETCs</w:t>
      </w:r>
      <w:r w:rsidR="00DC7F97">
        <w:t xml:space="preserve"> to </w:t>
      </w:r>
      <w:r w:rsidR="005725C0">
        <w:t>familiarize</w:t>
      </w:r>
      <w:r w:rsidR="00DC7F97">
        <w:t xml:space="preserve"> themselves with any applicable </w:t>
      </w:r>
      <w:r w:rsidR="15AC2879">
        <w:t xml:space="preserve">rules </w:t>
      </w:r>
      <w:r w:rsidR="00DC7F97">
        <w:t>and ensure that its filings are timely received, regardless of the time and method of their filings.</w:t>
      </w:r>
      <w:r>
        <w:rPr>
          <w:rStyle w:val="FootnoteReference"/>
        </w:rPr>
        <w:footnoteReference w:id="38"/>
      </w:r>
      <w:r w:rsidR="005725C0">
        <w:t xml:space="preserve"> </w:t>
      </w:r>
      <w:r w:rsidR="00C022CE">
        <w:t xml:space="preserve"> </w:t>
      </w:r>
      <w:r w:rsidR="00A13A66">
        <w:t xml:space="preserve">In the December 2014 Connect America Order, the Commission concluded that it would require strict adherence to filing deadlines for the certifications adopted in the </w:t>
      </w:r>
      <w:r w:rsidR="00A13A66">
        <w:rPr>
          <w:i/>
          <w:iCs/>
        </w:rPr>
        <w:t>2011 USF/ICC Transformation Order</w:t>
      </w:r>
      <w:r w:rsidR="00A13A66">
        <w:t>.</w:t>
      </w:r>
      <w:r>
        <w:rPr>
          <w:rStyle w:val="FootnoteReference"/>
        </w:rPr>
        <w:footnoteReference w:id="39"/>
      </w:r>
      <w:r w:rsidR="00A13A66">
        <w:t xml:space="preserve">  Consistent with this</w:t>
      </w:r>
      <w:r w:rsidR="7BFD5CC1">
        <w:t xml:space="preserve"> </w:t>
      </w:r>
      <w:r w:rsidR="1CEC1A9F">
        <w:t>conclusion</w:t>
      </w:r>
      <w:r w:rsidR="00A13A66">
        <w:t>, the Commission has denied petitions for waiver of filing deadlines caused by inadvertent oversight,</w:t>
      </w:r>
      <w:r>
        <w:rPr>
          <w:rStyle w:val="FootnoteReference"/>
        </w:rPr>
        <w:footnoteReference w:id="40"/>
      </w:r>
      <w:r w:rsidR="00A13A66">
        <w:t xml:space="preserve"> internal ETC confusion,</w:t>
      </w:r>
      <w:r>
        <w:rPr>
          <w:rStyle w:val="FootnoteReference"/>
        </w:rPr>
        <w:footnoteReference w:id="41"/>
      </w:r>
      <w:r w:rsidR="00A13A66">
        <w:t xml:space="preserve"> or problems resulting from utilizing third party services to produce the required data.</w:t>
      </w:r>
      <w:r>
        <w:rPr>
          <w:rStyle w:val="FootnoteReference"/>
        </w:rPr>
        <w:footnoteReference w:id="42"/>
      </w:r>
      <w:r w:rsidR="00A13A66">
        <w:t xml:space="preserve">  In the </w:t>
      </w:r>
      <w:r w:rsidR="00A13A66">
        <w:rPr>
          <w:i/>
          <w:iCs/>
        </w:rPr>
        <w:t>December HUBB Waiver Order</w:t>
      </w:r>
      <w:r w:rsidR="00A13A66">
        <w:t>, the Bureau made clear that it was unlikely to grant future petitions to waive the HUBB filing deadline outside special circumstances.</w:t>
      </w:r>
      <w:r>
        <w:rPr>
          <w:rStyle w:val="FootnoteReference"/>
        </w:rPr>
        <w:footnoteReference w:id="43"/>
      </w:r>
      <w:r w:rsidR="00A13A66">
        <w:t xml:space="preserve">  </w:t>
      </w:r>
    </w:p>
    <w:p w:rsidR="0040735E" w:rsidRPr="00314791" w:rsidP="00AF30FA" w14:paraId="158B73D4" w14:textId="0BF206D4">
      <w:pPr>
        <w:pStyle w:val="ParaNum"/>
      </w:pPr>
      <w:r>
        <w:t xml:space="preserve">Though </w:t>
      </w:r>
      <w:r w:rsidR="00A574EA">
        <w:t>ComSouth</w:t>
      </w:r>
      <w:r w:rsidR="00A574EA">
        <w:t xml:space="preserve"> and Bloomingdale</w:t>
      </w:r>
      <w:r>
        <w:t xml:space="preserve"> claim </w:t>
      </w:r>
      <w:r w:rsidR="00B80AC7">
        <w:t xml:space="preserve">it was </w:t>
      </w:r>
      <w:r w:rsidR="000B28D5">
        <w:t xml:space="preserve">“not clear” that they were required to </w:t>
      </w:r>
      <w:r>
        <w:t xml:space="preserve">certify </w:t>
      </w:r>
      <w:r w:rsidR="00955FE7">
        <w:t xml:space="preserve">that they </w:t>
      </w:r>
      <w:r>
        <w:t>had no locations to report</w:t>
      </w:r>
      <w:r w:rsidR="00955FE7">
        <w:t xml:space="preserve"> and that </w:t>
      </w:r>
      <w:r w:rsidR="00245EA7">
        <w:t>guidance was “inadequate</w:t>
      </w:r>
      <w:r>
        <w:t>,</w:t>
      </w:r>
      <w:r w:rsidR="00245EA7">
        <w:t>”</w:t>
      </w:r>
      <w:r>
        <w:rPr>
          <w:rStyle w:val="FootnoteReference"/>
        </w:rPr>
        <w:footnoteReference w:id="44"/>
      </w:r>
      <w:r>
        <w:t xml:space="preserve"> USAC</w:t>
      </w:r>
      <w:r w:rsidR="18227735">
        <w:t xml:space="preserve"> </w:t>
      </w:r>
      <w:r>
        <w:t xml:space="preserve">has made consistent and repeated efforts to inform </w:t>
      </w:r>
      <w:r w:rsidR="003E49B5">
        <w:t>ETCs</w:t>
      </w:r>
      <w:r>
        <w:t xml:space="preserve"> of the reporting and certification deadline, as well as the </w:t>
      </w:r>
      <w:r>
        <w:t>requirement to certify in the HUBB even if the carrier has no new locations to report.</w:t>
      </w:r>
      <w:r>
        <w:rPr>
          <w:rStyle w:val="FootnoteReference"/>
        </w:rPr>
        <w:footnoteReference w:id="45"/>
      </w:r>
      <w:r>
        <w:t xml:space="preserve">  In January 2019, USAC held a webinar outlining the HUBB filing requirements and indicated that “carriers that did not deploy any locations in 2018 must still log into the HUBB and certify ‘no location to upload’ by March 1, 2019.”</w:t>
      </w:r>
      <w:r>
        <w:rPr>
          <w:rStyle w:val="FootnoteReference"/>
        </w:rPr>
        <w:footnoteReference w:id="46"/>
      </w:r>
      <w:r>
        <w:t xml:space="preserve">  The HUBB User Guide, published annually by USAC, instructs ETCs that “[c]</w:t>
      </w:r>
      <w:r>
        <w:t>arriers</w:t>
      </w:r>
      <w:r>
        <w:t xml:space="preserve"> that did not deploy any new locations in the prior year must certify ‘no locations to upload.’”</w:t>
      </w:r>
      <w:r>
        <w:rPr>
          <w:rStyle w:val="FootnoteReference"/>
        </w:rPr>
        <w:footnoteReference w:id="47"/>
      </w:r>
      <w:r>
        <w:t xml:space="preserve">  USAC’s website hosts a Frequently Ask</w:t>
      </w:r>
      <w:r w:rsidR="7D12BFD8">
        <w:t>ed</w:t>
      </w:r>
      <w:r>
        <w:t xml:space="preserve"> Question</w:t>
      </w:r>
      <w:r w:rsidR="15A8670C">
        <w:t>s</w:t>
      </w:r>
      <w:r>
        <w:t xml:space="preserve"> page where, in response to the question of whether carriers still must file with the HUBB even if it did not deploy any new locations in the prior year, USAC responds: “Yes. Carriers that have no new deployments to report must still log into the HUBB and certify ‘no locations to upload’ before the annual March filing deadline.”</w:t>
      </w:r>
      <w:r>
        <w:rPr>
          <w:rStyle w:val="FootnoteReference"/>
        </w:rPr>
        <w:footnoteReference w:id="48"/>
      </w:r>
      <w:r>
        <w:t xml:space="preserve">  </w:t>
      </w:r>
      <w:r w:rsidR="00F51672">
        <w:t>Moreover</w:t>
      </w:r>
      <w:r>
        <w:t>, before the filing deadline, USAC reaches out to each carrier individually that ha</w:t>
      </w:r>
      <w:r w:rsidR="74B82D3F">
        <w:t>s</w:t>
      </w:r>
      <w:r>
        <w:t xml:space="preserve"> </w:t>
      </w:r>
      <w:r w:rsidR="00887541">
        <w:t xml:space="preserve">not </w:t>
      </w:r>
      <w:r>
        <w:t xml:space="preserve">yet submitted its annual reports and certification.  On </w:t>
      </w:r>
      <w:r w:rsidRPr="00314791">
        <w:t>both February 21</w:t>
      </w:r>
      <w:r w:rsidRPr="00314791">
        <w:rPr>
          <w:vertAlign w:val="superscript"/>
        </w:rPr>
        <w:t>st</w:t>
      </w:r>
      <w:r w:rsidRPr="00314791">
        <w:t xml:space="preserve"> and February 26</w:t>
      </w:r>
      <w:r w:rsidRPr="00314791">
        <w:rPr>
          <w:vertAlign w:val="superscript"/>
        </w:rPr>
        <w:t>th</w:t>
      </w:r>
      <w:r w:rsidRPr="00314791">
        <w:t xml:space="preserve"> of 2019, USAC sent emails to </w:t>
      </w:r>
      <w:r w:rsidR="00D80BBA">
        <w:t>ComSouth</w:t>
      </w:r>
      <w:r w:rsidR="00D80BBA">
        <w:t xml:space="preserve"> and Bloomingdale</w:t>
      </w:r>
      <w:r w:rsidRPr="00314791">
        <w:t xml:space="preserve"> that included the following language in </w:t>
      </w:r>
      <w:r w:rsidRPr="00314791" w:rsidR="00173C73">
        <w:t>bold</w:t>
      </w:r>
      <w:r w:rsidRPr="00314791">
        <w:t>, red text:  “Carriers that do not have locations to report must still log into the HUBB and indicate ‘No Locations to Upload’ on the ‘Managing Uploads’ screen of the HUBB.”</w:t>
      </w:r>
      <w:r>
        <w:rPr>
          <w:rStyle w:val="FootnoteReference"/>
        </w:rPr>
        <w:footnoteReference w:id="49"/>
      </w:r>
      <w:r w:rsidRPr="00314791" w:rsidR="00565384">
        <w:t xml:space="preserve">  </w:t>
      </w:r>
      <w:r w:rsidRPr="00314791" w:rsidR="00687A21">
        <w:t xml:space="preserve">Given these </w:t>
      </w:r>
      <w:r w:rsidRPr="00314791" w:rsidR="00F06B13">
        <w:t xml:space="preserve">multiple notifications, </w:t>
      </w:r>
      <w:r w:rsidR="00D80BBA">
        <w:t>ComSouth</w:t>
      </w:r>
      <w:r w:rsidR="00D80BBA">
        <w:t xml:space="preserve"> and Bloomingdale</w:t>
      </w:r>
      <w:r w:rsidRPr="00314791" w:rsidR="00F06B13">
        <w:t xml:space="preserve"> should have been familiar with the filing requirements by Ma</w:t>
      </w:r>
      <w:r w:rsidRPr="00314791" w:rsidR="00594288">
        <w:t>rch 1, 2019.</w:t>
      </w:r>
      <w:r w:rsidRPr="00314791" w:rsidR="005A25E8">
        <w:t xml:space="preserve">  </w:t>
      </w:r>
      <w:r w:rsidRPr="00314791" w:rsidR="00F90BCA">
        <w:t xml:space="preserve">Further, unlike those carriers granted relief in the </w:t>
      </w:r>
      <w:r w:rsidRPr="00314791" w:rsidR="00F90BCA">
        <w:rPr>
          <w:i/>
          <w:iCs/>
        </w:rPr>
        <w:t>December HUBB Waiver Order</w:t>
      </w:r>
      <w:r w:rsidRPr="00314791" w:rsidR="00F90BCA">
        <w:t xml:space="preserve">, </w:t>
      </w:r>
      <w:r w:rsidR="00D80BBA">
        <w:t>ComSouth</w:t>
      </w:r>
      <w:r w:rsidR="00D80BBA">
        <w:t xml:space="preserve"> and Bloomingdale</w:t>
      </w:r>
      <w:r w:rsidRPr="00314791" w:rsidR="00F90BCA">
        <w:t xml:space="preserve"> were not </w:t>
      </w:r>
      <w:r w:rsidRPr="00314791" w:rsidR="00695416">
        <w:t>facing</w:t>
      </w:r>
      <w:r w:rsidRPr="00314791" w:rsidR="00F33AA0">
        <w:t xml:space="preserve"> “</w:t>
      </w:r>
      <w:r w:rsidRPr="00314791" w:rsidR="00695416">
        <w:t>the unique situation of having both new reporting requirements and a new method through which to report the geocoded location information data.</w:t>
      </w:r>
      <w:r w:rsidRPr="00314791" w:rsidR="00F33AA0">
        <w:t>”</w:t>
      </w:r>
      <w:r>
        <w:rPr>
          <w:rStyle w:val="FootnoteReference"/>
        </w:rPr>
        <w:footnoteReference w:id="50"/>
      </w:r>
      <w:r w:rsidRPr="00314791" w:rsidR="00695416">
        <w:t xml:space="preserve">  </w:t>
      </w:r>
    </w:p>
    <w:p w:rsidR="00AF30FA" w:rsidRPr="004567EF" w:rsidP="00776A6C" w14:paraId="7433B143" w14:textId="7B7C64F0">
      <w:pPr>
        <w:pStyle w:val="ParaNum"/>
      </w:pPr>
      <w:r>
        <w:rPr>
          <w:szCs w:val="22"/>
        </w:rPr>
        <w:t>ComSouth</w:t>
      </w:r>
      <w:r>
        <w:rPr>
          <w:szCs w:val="22"/>
        </w:rPr>
        <w:t xml:space="preserve"> and Bloomingdale</w:t>
      </w:r>
      <w:r w:rsidR="009D3509">
        <w:rPr>
          <w:szCs w:val="22"/>
        </w:rPr>
        <w:t>’s</w:t>
      </w:r>
      <w:r w:rsidRPr="0017615E" w:rsidR="00327767">
        <w:rPr>
          <w:szCs w:val="22"/>
        </w:rPr>
        <w:t xml:space="preserve"> claim that </w:t>
      </w:r>
      <w:r w:rsidRPr="00EB1E6A" w:rsidR="00266DF6">
        <w:rPr>
          <w:snapToGrid/>
          <w:kern w:val="0"/>
          <w:szCs w:val="22"/>
        </w:rPr>
        <w:t xml:space="preserve">USAC </w:t>
      </w:r>
      <w:r w:rsidR="0017615E">
        <w:rPr>
          <w:snapToGrid/>
          <w:kern w:val="0"/>
          <w:szCs w:val="22"/>
        </w:rPr>
        <w:t>did not “</w:t>
      </w:r>
      <w:r w:rsidRPr="00EB1E6A" w:rsidR="00266DF6">
        <w:rPr>
          <w:snapToGrid/>
          <w:kern w:val="0"/>
          <w:szCs w:val="22"/>
        </w:rPr>
        <w:t xml:space="preserve">give the </w:t>
      </w:r>
      <w:r w:rsidR="0017615E">
        <w:rPr>
          <w:snapToGrid/>
          <w:kern w:val="0"/>
          <w:szCs w:val="22"/>
        </w:rPr>
        <w:t>‘</w:t>
      </w:r>
      <w:r w:rsidRPr="00EB1E6A" w:rsidR="00266DF6">
        <w:rPr>
          <w:snapToGrid/>
          <w:kern w:val="0"/>
          <w:szCs w:val="22"/>
        </w:rPr>
        <w:t>no location</w:t>
      </w:r>
      <w:r w:rsidR="0017615E">
        <w:rPr>
          <w:snapToGrid/>
          <w:kern w:val="0"/>
          <w:szCs w:val="22"/>
        </w:rPr>
        <w:t>’</w:t>
      </w:r>
      <w:r w:rsidRPr="00EB1E6A" w:rsidR="00266DF6">
        <w:rPr>
          <w:snapToGrid/>
          <w:kern w:val="0"/>
          <w:szCs w:val="22"/>
        </w:rPr>
        <w:t xml:space="preserve"> filers ample time and warning that they would face penalties if they did not certify that they had no information about broadband locations to report on the March 1 deadline</w:t>
      </w:r>
      <w:r w:rsidR="0017615E">
        <w:rPr>
          <w:snapToGrid/>
          <w:kern w:val="0"/>
          <w:szCs w:val="22"/>
        </w:rPr>
        <w:t>”</w:t>
      </w:r>
      <w:r>
        <w:rPr>
          <w:rStyle w:val="FootnoteReference"/>
          <w:snapToGrid/>
          <w:kern w:val="0"/>
          <w:szCs w:val="22"/>
        </w:rPr>
        <w:footnoteReference w:id="51"/>
      </w:r>
      <w:r w:rsidR="0017615E">
        <w:rPr>
          <w:snapToGrid/>
          <w:kern w:val="0"/>
          <w:szCs w:val="22"/>
        </w:rPr>
        <w:t xml:space="preserve"> is also unpersuasive.  </w:t>
      </w:r>
      <w:r w:rsidR="00B923D9">
        <w:rPr>
          <w:snapToGrid/>
          <w:kern w:val="0"/>
          <w:szCs w:val="22"/>
        </w:rPr>
        <w:t>In</w:t>
      </w:r>
      <w:r w:rsidR="0017357B">
        <w:rPr>
          <w:snapToGrid/>
          <w:kern w:val="0"/>
          <w:szCs w:val="22"/>
        </w:rPr>
        <w:t xml:space="preserve"> the individual emails sent to </w:t>
      </w:r>
      <w:r w:rsidR="004567EF">
        <w:rPr>
          <w:snapToGrid/>
          <w:kern w:val="0"/>
          <w:szCs w:val="22"/>
        </w:rPr>
        <w:t>ComSouth</w:t>
      </w:r>
      <w:r w:rsidR="004567EF">
        <w:rPr>
          <w:snapToGrid/>
          <w:kern w:val="0"/>
          <w:szCs w:val="22"/>
        </w:rPr>
        <w:t xml:space="preserve"> and Bloomingdale </w:t>
      </w:r>
      <w:r w:rsidR="00403797">
        <w:rPr>
          <w:snapToGrid/>
          <w:kern w:val="0"/>
          <w:szCs w:val="22"/>
        </w:rPr>
        <w:t xml:space="preserve">noted above, the sentence directly preceding the </w:t>
      </w:r>
      <w:r w:rsidR="00704A39">
        <w:rPr>
          <w:snapToGrid/>
          <w:kern w:val="0"/>
          <w:szCs w:val="22"/>
        </w:rPr>
        <w:t xml:space="preserve">statement that carriers that have no locations to report must still log into the HUBB </w:t>
      </w:r>
      <w:r w:rsidR="00161BC4">
        <w:rPr>
          <w:snapToGrid/>
          <w:kern w:val="0"/>
          <w:szCs w:val="22"/>
        </w:rPr>
        <w:t xml:space="preserve">and indicate “No Locations to Upload” </w:t>
      </w:r>
      <w:r w:rsidR="00724D26">
        <w:rPr>
          <w:snapToGrid/>
          <w:kern w:val="0"/>
          <w:szCs w:val="22"/>
        </w:rPr>
        <w:t xml:space="preserve">noted in </w:t>
      </w:r>
      <w:r w:rsidR="00173C73">
        <w:rPr>
          <w:snapToGrid/>
          <w:kern w:val="0"/>
          <w:szCs w:val="22"/>
        </w:rPr>
        <w:t>bold</w:t>
      </w:r>
      <w:r w:rsidR="00724D26">
        <w:rPr>
          <w:snapToGrid/>
          <w:kern w:val="0"/>
          <w:szCs w:val="22"/>
        </w:rPr>
        <w:t>, red text that “Carriers that do not certify by this deadline [March 1, 2019] may see reductions in support</w:t>
      </w:r>
      <w:r w:rsidRPr="00FC3307" w:rsidR="00724D26">
        <w:rPr>
          <w:snapToGrid/>
          <w:kern w:val="0"/>
          <w:szCs w:val="22"/>
        </w:rPr>
        <w:t>.</w:t>
      </w:r>
      <w:r w:rsidRPr="009A086A" w:rsidR="000E6868">
        <w:rPr>
          <w:snapToGrid/>
          <w:kern w:val="0"/>
          <w:szCs w:val="22"/>
        </w:rPr>
        <w:t>”</w:t>
      </w:r>
      <w:r>
        <w:rPr>
          <w:rStyle w:val="FootnoteReference"/>
          <w:snapToGrid/>
          <w:kern w:val="0"/>
          <w:szCs w:val="22"/>
        </w:rPr>
        <w:footnoteReference w:id="52"/>
      </w:r>
      <w:r w:rsidRPr="009A086A" w:rsidR="000E6868">
        <w:rPr>
          <w:snapToGrid/>
          <w:kern w:val="0"/>
          <w:szCs w:val="22"/>
        </w:rPr>
        <w:t xml:space="preserve">  As </w:t>
      </w:r>
      <w:r w:rsidRPr="009A086A" w:rsidR="00FC2B9E">
        <w:rPr>
          <w:snapToGrid/>
          <w:kern w:val="0"/>
          <w:szCs w:val="22"/>
        </w:rPr>
        <w:t xml:space="preserve">to </w:t>
      </w:r>
      <w:r w:rsidR="004567EF">
        <w:rPr>
          <w:snapToGrid/>
          <w:kern w:val="0"/>
          <w:szCs w:val="22"/>
        </w:rPr>
        <w:t>ComSouth</w:t>
      </w:r>
      <w:r w:rsidR="004567EF">
        <w:rPr>
          <w:snapToGrid/>
          <w:kern w:val="0"/>
          <w:szCs w:val="22"/>
        </w:rPr>
        <w:t xml:space="preserve"> and Bloomingdale</w:t>
      </w:r>
      <w:r w:rsidRPr="009A086A" w:rsidR="00FC2B9E">
        <w:rPr>
          <w:snapToGrid/>
          <w:kern w:val="0"/>
          <w:szCs w:val="22"/>
        </w:rPr>
        <w:t>’</w:t>
      </w:r>
      <w:r w:rsidR="004567EF">
        <w:rPr>
          <w:snapToGrid/>
          <w:kern w:val="0"/>
          <w:szCs w:val="22"/>
        </w:rPr>
        <w:t>s</w:t>
      </w:r>
      <w:r w:rsidRPr="009A086A" w:rsidR="00FC2B9E">
        <w:rPr>
          <w:snapToGrid/>
          <w:kern w:val="0"/>
          <w:szCs w:val="22"/>
        </w:rPr>
        <w:t xml:space="preserve"> argument that they were not informed of</w:t>
      </w:r>
      <w:r w:rsidRPr="009A086A" w:rsidR="009E24AE">
        <w:rPr>
          <w:snapToGrid/>
          <w:kern w:val="0"/>
          <w:szCs w:val="22"/>
        </w:rPr>
        <w:t xml:space="preserve"> “</w:t>
      </w:r>
      <w:r w:rsidRPr="00EB1E6A" w:rsidR="00AC653A">
        <w:rPr>
          <w:snapToGrid/>
          <w:kern w:val="0"/>
          <w:szCs w:val="22"/>
        </w:rPr>
        <w:t xml:space="preserve">the severity of penalty for not </w:t>
      </w:r>
      <w:r w:rsidR="009A086A">
        <w:rPr>
          <w:snapToGrid/>
          <w:kern w:val="0"/>
          <w:szCs w:val="22"/>
        </w:rPr>
        <w:t xml:space="preserve">[meeting the March 1 deadline],” the </w:t>
      </w:r>
      <w:r w:rsidR="0002127E">
        <w:rPr>
          <w:snapToGrid/>
          <w:kern w:val="0"/>
          <w:szCs w:val="22"/>
        </w:rPr>
        <w:t>method of calculating the support reductions</w:t>
      </w:r>
      <w:r w:rsidR="009A086A">
        <w:rPr>
          <w:snapToGrid/>
          <w:kern w:val="0"/>
          <w:szCs w:val="22"/>
        </w:rPr>
        <w:t xml:space="preserve"> is contained </w:t>
      </w:r>
      <w:r w:rsidR="006371E2">
        <w:rPr>
          <w:snapToGrid/>
          <w:kern w:val="0"/>
          <w:szCs w:val="22"/>
        </w:rPr>
        <w:t>in the same Commission rule that sets the March 1 deadline.</w:t>
      </w:r>
      <w:r>
        <w:rPr>
          <w:rStyle w:val="FootnoteReference"/>
          <w:snapToGrid/>
          <w:kern w:val="0"/>
          <w:szCs w:val="22"/>
        </w:rPr>
        <w:footnoteReference w:id="53"/>
      </w:r>
      <w:r w:rsidR="006371E2">
        <w:rPr>
          <w:snapToGrid/>
          <w:kern w:val="0"/>
          <w:szCs w:val="22"/>
        </w:rPr>
        <w:t xml:space="preserve">  </w:t>
      </w:r>
      <w:r w:rsidR="00454EEC">
        <w:rPr>
          <w:snapToGrid/>
          <w:kern w:val="0"/>
          <w:szCs w:val="22"/>
        </w:rPr>
        <w:t xml:space="preserve">Thus, </w:t>
      </w:r>
      <w:r w:rsidR="004567EF">
        <w:rPr>
          <w:snapToGrid/>
          <w:kern w:val="0"/>
          <w:szCs w:val="22"/>
        </w:rPr>
        <w:t>ComSouth</w:t>
      </w:r>
      <w:r w:rsidR="004567EF">
        <w:rPr>
          <w:snapToGrid/>
          <w:kern w:val="0"/>
          <w:szCs w:val="22"/>
        </w:rPr>
        <w:t xml:space="preserve"> and Bloomingdale</w:t>
      </w:r>
      <w:r w:rsidR="00454EEC">
        <w:rPr>
          <w:snapToGrid/>
          <w:kern w:val="0"/>
          <w:szCs w:val="22"/>
        </w:rPr>
        <w:t xml:space="preserve"> should have known </w:t>
      </w:r>
      <w:r w:rsidR="00FF70AA">
        <w:rPr>
          <w:snapToGrid/>
          <w:kern w:val="0"/>
          <w:szCs w:val="22"/>
        </w:rPr>
        <w:t>what the reduction of support would be based on the number of days they filed after the deadline.</w:t>
      </w:r>
    </w:p>
    <w:p w:rsidR="00A46585" w:rsidP="00776A6C" w14:paraId="14124251" w14:textId="04F3D6B0">
      <w:pPr>
        <w:pStyle w:val="ParaNum"/>
      </w:pPr>
      <w:r>
        <w:t xml:space="preserve">Similarly, we are </w:t>
      </w:r>
      <w:r w:rsidR="00595214">
        <w:t xml:space="preserve">not </w:t>
      </w:r>
      <w:r w:rsidR="00677C39">
        <w:t xml:space="preserve">persuaded by State’s argument that granting </w:t>
      </w:r>
      <w:r w:rsidR="003115AA">
        <w:t>its</w:t>
      </w:r>
      <w:r w:rsidR="00677C39">
        <w:t xml:space="preserve"> Petition is in the public interest.  </w:t>
      </w:r>
      <w:r w:rsidR="00AE272C">
        <w:t xml:space="preserve">In its </w:t>
      </w:r>
      <w:r w:rsidRPr="00B06F43" w:rsidR="00AE272C">
        <w:rPr>
          <w:i/>
          <w:iCs/>
        </w:rPr>
        <w:t>HUBB Extension Order</w:t>
      </w:r>
      <w:r w:rsidR="00AE272C">
        <w:t>, the Bureau ma</w:t>
      </w:r>
      <w:r w:rsidR="007E6027">
        <w:t xml:space="preserve">de clear that CAF-BLS carriers </w:t>
      </w:r>
      <w:r w:rsidR="00B06F43">
        <w:t>must</w:t>
      </w:r>
      <w:r w:rsidR="007E6027">
        <w:t xml:space="preserve"> “file, in the HUBB portal . . . broadband information regarding location deployed from May 25, 2016, to December 31, 2016.”</w:t>
      </w:r>
      <w:r>
        <w:rPr>
          <w:rStyle w:val="FootnoteReference"/>
        </w:rPr>
        <w:footnoteReference w:id="54"/>
      </w:r>
      <w:r w:rsidR="007E6027">
        <w:t xml:space="preserve"> </w:t>
      </w:r>
      <w:r w:rsidR="00A40CAC">
        <w:t xml:space="preserve"> To ensure that carriers properly understood their obligations, in January and </w:t>
      </w:r>
      <w:r w:rsidR="00A40CAC">
        <w:t>February 2018, USAC sent emails to all CAF-BLS carriers reminding them of their obligation to file location information for locations deployed from May 2016 through December 2017</w:t>
      </w:r>
      <w:r w:rsidR="00E667DF">
        <w:t xml:space="preserve"> and a further email to those carriers that had not certified by February 13, 2018, including State</w:t>
      </w:r>
      <w:r w:rsidR="001B3ACF">
        <w:t>.</w:t>
      </w:r>
      <w:r>
        <w:rPr>
          <w:rStyle w:val="FootnoteReference"/>
        </w:rPr>
        <w:footnoteReference w:id="55"/>
      </w:r>
      <w:r w:rsidR="001B3ACF">
        <w:t xml:space="preserve"> </w:t>
      </w:r>
      <w:r w:rsidR="009C7369">
        <w:t xml:space="preserve"> </w:t>
      </w:r>
      <w:r>
        <w:t xml:space="preserve">The Bureau </w:t>
      </w:r>
      <w:r w:rsidR="00F74B16">
        <w:t xml:space="preserve">also </w:t>
      </w:r>
      <w:r>
        <w:t>provided clear guidance regarding the need for “a list – in the format required by USAC’s data specification – of the residential and business locations to which they have made broadband service commercially available within their eligible service area within the relevant time period.”</w:t>
      </w:r>
      <w:r>
        <w:rPr>
          <w:rStyle w:val="FootnoteReference"/>
        </w:rPr>
        <w:footnoteReference w:id="56"/>
      </w:r>
      <w:r>
        <w:t xml:space="preserve">  The </w:t>
      </w:r>
      <w:r>
        <w:rPr>
          <w:i/>
          <w:iCs/>
        </w:rPr>
        <w:t>2016 HUBB Guidance Public Notice</w:t>
      </w:r>
      <w:r>
        <w:t xml:space="preserve"> listed the HUBB locations requirements for residential and business locations and reiterated the carriers’ duty to “file accurate and timely locations data so that USAC can determine if carriers have met their interim and final milestones . . . .”</w:t>
      </w:r>
      <w:r>
        <w:rPr>
          <w:rStyle w:val="FootnoteReference"/>
        </w:rPr>
        <w:footnoteReference w:id="57"/>
      </w:r>
      <w:r w:rsidR="0092242F">
        <w:t xml:space="preserve">  We are not persuaded that State </w:t>
      </w:r>
      <w:r w:rsidR="00D0425D">
        <w:t xml:space="preserve">has </w:t>
      </w:r>
      <w:r w:rsidR="0092242F">
        <w:t xml:space="preserve">encountered special circumstances </w:t>
      </w:r>
      <w:r w:rsidR="00D0425D">
        <w:t xml:space="preserve">justifying a waiver </w:t>
      </w:r>
      <w:r w:rsidR="0092242F">
        <w:t>when it failed to properly submit its 2018 and 2019 HUBB filings.</w:t>
      </w:r>
    </w:p>
    <w:p w:rsidR="00AF30FA" w:rsidP="001B6265" w14:paraId="613270E9" w14:textId="5588E4E5">
      <w:pPr>
        <w:pStyle w:val="Heading1"/>
      </w:pPr>
      <w:r>
        <w:t>ORDERING CLAUSES</w:t>
      </w:r>
    </w:p>
    <w:p w:rsidR="00F276DB" w:rsidRPr="00306EBD" w:rsidP="00F276DB" w14:paraId="2955C9B2" w14:textId="77777777">
      <w:pPr>
        <w:pStyle w:val="ParaNum"/>
      </w:pPr>
      <w:r w:rsidRPr="00306EBD">
        <w:t>Accordingly, IT IS ORDERED, pursuant to sections 1, 4(i), 5(c), 214 and 254 of the Communications Act of 1934, as amended, 47 U.S.C. §§ 151, 154(1), 155(c), 214, and 254, and sections 0.91, 0.291, and 1.3 of the Commission’s rules, 47 CFR §§ 0.91, 0.291, 1.3, that this Order IS AD</w:t>
      </w:r>
      <w:r>
        <w:t>O</w:t>
      </w:r>
      <w:r w:rsidRPr="00306EBD">
        <w:t xml:space="preserve">PTED.  </w:t>
      </w:r>
    </w:p>
    <w:p w:rsidR="00F276DB" w:rsidP="00F276DB" w14:paraId="15EC1360" w14:textId="54AA9E90">
      <w:pPr>
        <w:pStyle w:val="ParaNum"/>
      </w:pPr>
      <w:r w:rsidRPr="00306EBD">
        <w:t xml:space="preserve">IT IS FURTHER ORDERED that the </w:t>
      </w:r>
      <w:r>
        <w:t xml:space="preserve">joint </w:t>
      </w:r>
      <w:r w:rsidRPr="00306EBD">
        <w:t>petition for waiver of section 54.316(c)(1) of the Commission’s</w:t>
      </w:r>
      <w:r>
        <w:t xml:space="preserve"> rules</w:t>
      </w:r>
      <w:r w:rsidRPr="00306EBD">
        <w:t xml:space="preserve">, 47 CFR § 54.316(c), filed by </w:t>
      </w:r>
      <w:r>
        <w:t>ComSouth</w:t>
      </w:r>
      <w:r>
        <w:t xml:space="preserve"> Corporation and Bloomingdale Telephone Company is DENIED</w:t>
      </w:r>
      <w:r w:rsidRPr="00306EBD">
        <w:t xml:space="preserve"> as described herein.</w:t>
      </w:r>
    </w:p>
    <w:p w:rsidR="00E52278" w:rsidRPr="00306EBD" w:rsidP="00E52278" w14:paraId="3091ECE1" w14:textId="5467A72F">
      <w:pPr>
        <w:pStyle w:val="ParaNum"/>
      </w:pPr>
      <w:r w:rsidRPr="00306EBD">
        <w:t>IT IS FURTHER ORDERED that the</w:t>
      </w:r>
      <w:r>
        <w:t xml:space="preserve"> </w:t>
      </w:r>
      <w:r w:rsidRPr="00306EBD">
        <w:t>petition for waiver of section 54.316(c)(1) of the Commission’s</w:t>
      </w:r>
      <w:r>
        <w:t xml:space="preserve"> rules</w:t>
      </w:r>
      <w:r w:rsidRPr="00306EBD">
        <w:t xml:space="preserve">, 47 CFR § 54.316(c), filed by </w:t>
      </w:r>
      <w:r>
        <w:t>State Telephone Company is DENIED</w:t>
      </w:r>
      <w:r w:rsidRPr="00306EBD">
        <w:t xml:space="preserve"> as described herein.</w:t>
      </w:r>
    </w:p>
    <w:p w:rsidR="00510D77" w:rsidP="00510D77" w14:paraId="7C7A020F" w14:textId="0BB9297A">
      <w:pPr>
        <w:pStyle w:val="ParaNum"/>
      </w:pPr>
      <w:r w:rsidRPr="00306EBD">
        <w:t xml:space="preserve">IT IS FURTHER ORDERED that, pursuant to section 1.102(b)(1) of the Commission’s rules, 47 CFR § 1.102(b)(1), this Order SHALL BE EFFECTIVE upon release. </w:t>
      </w:r>
    </w:p>
    <w:p w:rsidR="00C03912" w:rsidP="00C03912" w14:paraId="5978F4CD" w14:textId="77777777">
      <w:pPr>
        <w:pStyle w:val="ParaNum"/>
        <w:numPr>
          <w:ilvl w:val="0"/>
          <w:numId w:val="0"/>
        </w:numPr>
      </w:pPr>
    </w:p>
    <w:p w:rsidR="00C03912" w:rsidP="0017296B" w14:paraId="5DD590FF" w14:textId="77777777">
      <w:r>
        <w:tab/>
      </w:r>
      <w:r>
        <w:tab/>
      </w:r>
      <w:r>
        <w:tab/>
      </w:r>
      <w:r>
        <w:tab/>
      </w:r>
      <w:r>
        <w:tab/>
      </w:r>
      <w:r>
        <w:tab/>
        <w:t>FEDERAL COMMUNICATIONS COMMISSION</w:t>
      </w:r>
    </w:p>
    <w:p w:rsidR="00C03912" w:rsidP="0017296B" w14:paraId="65286AD0" w14:textId="77777777"/>
    <w:p w:rsidR="00C03912" w:rsidP="0017296B" w14:paraId="5A96A825" w14:textId="77777777"/>
    <w:p w:rsidR="00C03912" w:rsidP="0017296B" w14:paraId="60BD7393" w14:textId="77777777"/>
    <w:p w:rsidR="00C03912" w:rsidP="0017296B" w14:paraId="5F07A9F7" w14:textId="77777777"/>
    <w:p w:rsidR="00C03912" w:rsidP="00C03912" w14:paraId="3EA2EF0A" w14:textId="379F7B38">
      <w:pPr>
        <w:ind w:left="4320"/>
      </w:pPr>
      <w:r w:rsidRPr="00306EBD">
        <w:t>Kris Anne Monteith</w:t>
      </w:r>
      <w:r w:rsidRPr="00306EBD">
        <w:br/>
        <w:t>Chief</w:t>
      </w:r>
      <w:r w:rsidRPr="00306EBD">
        <w:br/>
        <w:t>Wireline Competition Bureau</w:t>
      </w:r>
    </w:p>
    <w:p w:rsidR="001B6265" w:rsidRPr="001B6265" w:rsidP="00510D77" w14:paraId="7FC208E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C8F" w:rsidP="0055614C" w14:paraId="781068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1C8F" w14:paraId="28925D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C8F" w:rsidP="00801DB7" w14:paraId="5960411F" w14:textId="7969EBA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C8F" w14:paraId="57F0F6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5B4" w14:paraId="153B677C" w14:textId="77777777">
      <w:r>
        <w:separator/>
      </w:r>
    </w:p>
  </w:footnote>
  <w:footnote w:type="continuationSeparator" w:id="1">
    <w:p w:rsidR="002855B4" w:rsidP="00C721AC" w14:paraId="7C527107" w14:textId="77777777">
      <w:pPr>
        <w:spacing w:before="120"/>
        <w:rPr>
          <w:sz w:val="20"/>
        </w:rPr>
      </w:pPr>
      <w:r>
        <w:rPr>
          <w:sz w:val="20"/>
        </w:rPr>
        <w:t xml:space="preserve">(Continued from previous page)  </w:t>
      </w:r>
      <w:r>
        <w:rPr>
          <w:sz w:val="20"/>
        </w:rPr>
        <w:separator/>
      </w:r>
    </w:p>
  </w:footnote>
  <w:footnote w:type="continuationNotice" w:id="2">
    <w:p w:rsidR="002855B4" w:rsidP="00C721AC" w14:paraId="4B1D099F" w14:textId="77777777">
      <w:pPr>
        <w:jc w:val="right"/>
        <w:rPr>
          <w:sz w:val="20"/>
        </w:rPr>
      </w:pPr>
      <w:r>
        <w:rPr>
          <w:sz w:val="20"/>
        </w:rPr>
        <w:t>(continued….)</w:t>
      </w:r>
    </w:p>
  </w:footnote>
  <w:footnote w:id="3">
    <w:p w:rsidR="00582929" w:rsidRPr="00642B82" w14:paraId="52296033" w14:textId="5F335760">
      <w:pPr>
        <w:pStyle w:val="FootnoteText"/>
      </w:pPr>
      <w:r>
        <w:rPr>
          <w:rStyle w:val="FootnoteReference"/>
        </w:rPr>
        <w:footnoteRef/>
      </w:r>
      <w:r>
        <w:t xml:space="preserve"> </w:t>
      </w:r>
      <w:r>
        <w:rPr>
          <w:i/>
          <w:iCs/>
        </w:rPr>
        <w:t xml:space="preserve">See </w:t>
      </w:r>
      <w:r w:rsidRPr="009C650E">
        <w:t>Com</w:t>
      </w:r>
      <w:r w:rsidR="00B21504">
        <w:t>S</w:t>
      </w:r>
      <w:r w:rsidRPr="009C650E">
        <w:t>outh</w:t>
      </w:r>
      <w:r w:rsidRPr="009C650E">
        <w:t xml:space="preserve"> Corporation and Bloomingdale Telephone Company Emergency Request for Expedited Treatment Petition for Waiver, WC Docket No. 10-90, et al., CC Docket No. 01-92 (filed Apr. 21, 2020), </w:t>
      </w:r>
      <w:hyperlink r:id="rId1" w:history="1">
        <w:r w:rsidRPr="009C650E">
          <w:rPr>
            <w:rStyle w:val="Hyperlink"/>
            <w:snapToGrid w:val="0"/>
            <w:kern w:val="28"/>
          </w:rPr>
          <w:t>https://ecfsapi.fcc.</w:t>
        </w:r>
        <w:r w:rsidRPr="009C650E">
          <w:rPr>
            <w:rStyle w:val="Hyperlink"/>
            <w:snapToGrid w:val="0"/>
            <w:kern w:val="28"/>
          </w:rPr>
          <w:br/>
          <w:t>gov/file/1042129184437/FINAL%20HUBB%20Waiver%20-%20ComSouth%20and%20Blooming</w:t>
        </w:r>
        <w:r w:rsidRPr="009C650E">
          <w:rPr>
            <w:rStyle w:val="Hyperlink"/>
            <w:snapToGrid w:val="0"/>
            <w:kern w:val="28"/>
          </w:rPr>
          <w:br/>
          <w:t>dale.pdf</w:t>
        </w:r>
      </w:hyperlink>
      <w:r w:rsidRPr="009C650E">
        <w:rPr>
          <w:b/>
          <w:bCs/>
          <w:snapToGrid w:val="0"/>
          <w:kern w:val="28"/>
        </w:rPr>
        <w:t xml:space="preserve"> </w:t>
      </w:r>
      <w:r w:rsidRPr="009C650E">
        <w:rPr>
          <w:snapToGrid w:val="0"/>
          <w:kern w:val="28"/>
        </w:rPr>
        <w:t xml:space="preserve">(Joint Petition); </w:t>
      </w:r>
      <w:r w:rsidRPr="009C650E" w:rsidR="003D120A">
        <w:rPr>
          <w:snapToGrid w:val="0"/>
          <w:kern w:val="28"/>
        </w:rPr>
        <w:t>Petition</w:t>
      </w:r>
      <w:r w:rsidRPr="009C650E" w:rsidR="001727B9">
        <w:rPr>
          <w:snapToGrid w:val="0"/>
          <w:kern w:val="28"/>
        </w:rPr>
        <w:t xml:space="preserve"> for Expedited Waiver </w:t>
      </w:r>
      <w:r w:rsidRPr="009C650E" w:rsidR="00642B82">
        <w:rPr>
          <w:snapToGrid w:val="0"/>
          <w:kern w:val="28"/>
        </w:rPr>
        <w:t>by State Telephone Company of Section 54.316 of the Commission’s Rules, WC Docket No. 10-90, et al.</w:t>
      </w:r>
      <w:r w:rsidRPr="009C650E" w:rsidR="006E3976">
        <w:rPr>
          <w:snapToGrid w:val="0"/>
          <w:kern w:val="28"/>
        </w:rPr>
        <w:t xml:space="preserve"> (filed Jun. 12, 2020), </w:t>
      </w:r>
      <w:hyperlink r:id="rId2" w:history="1">
        <w:r w:rsidRPr="009C650E" w:rsidR="009C650E">
          <w:rPr>
            <w:snapToGrid w:val="0"/>
            <w:color w:val="0000FF"/>
            <w:kern w:val="28"/>
            <w:u w:val="single"/>
          </w:rPr>
          <w:t>https://ecfsapi.fcc.gov/file/10612087429875/6%2012%2020%20State%20Telephone%20Company%20--%20HUBB%20Waiver%20Petition.pdf</w:t>
        </w:r>
      </w:hyperlink>
      <w:r w:rsidRPr="009C650E" w:rsidR="009C650E">
        <w:rPr>
          <w:snapToGrid w:val="0"/>
          <w:kern w:val="28"/>
        </w:rPr>
        <w:t xml:space="preserve"> (State Petition).</w:t>
      </w:r>
      <w:r w:rsidR="009C650E">
        <w:rPr>
          <w:snapToGrid w:val="0"/>
          <w:kern w:val="28"/>
          <w:sz w:val="22"/>
        </w:rPr>
        <w:t xml:space="preserve"> </w:t>
      </w:r>
    </w:p>
  </w:footnote>
  <w:footnote w:id="4">
    <w:p w:rsidR="00AA1C8F" w:rsidRPr="00306EBD" w:rsidP="00EC6BBB" w14:paraId="6888184F" w14:textId="77777777">
      <w:pPr>
        <w:pStyle w:val="FootnoteText"/>
      </w:pPr>
      <w:r w:rsidRPr="00306EBD">
        <w:rPr>
          <w:rStyle w:val="FootnoteReference"/>
        </w:rPr>
        <w:footnoteRef/>
      </w:r>
      <w:r w:rsidRPr="00306EBD">
        <w:t xml:space="preserve"> </w:t>
      </w:r>
      <w:r w:rsidRPr="00306EBD">
        <w:rPr>
          <w:i/>
        </w:rPr>
        <w:t>Connect America Fund et al.</w:t>
      </w:r>
      <w:r w:rsidRPr="00306EBD">
        <w:t>, WC Docket No. 10-90 et al., Report and Order et al., 31 FCC Rcd 3087, 3163-64, para. 209 (2016) (</w:t>
      </w:r>
      <w:r w:rsidRPr="00306EBD">
        <w:rPr>
          <w:i/>
          <w:iCs/>
        </w:rPr>
        <w:t>Rate-of-Return Reform Order</w:t>
      </w:r>
      <w:r w:rsidRPr="00306EBD">
        <w:t>).</w:t>
      </w:r>
      <w:r>
        <w:t xml:space="preserve"> </w:t>
      </w:r>
    </w:p>
  </w:footnote>
  <w:footnote w:id="5">
    <w:p w:rsidR="00AA1C8F" w:rsidRPr="00306EBD" w:rsidP="00EC6BBB" w14:paraId="4819743A" w14:textId="4FABE068">
      <w:pPr>
        <w:pStyle w:val="FootnoteText"/>
      </w:pPr>
      <w:r w:rsidRPr="00306EBD">
        <w:rPr>
          <w:rStyle w:val="FootnoteReference"/>
        </w:rPr>
        <w:footnoteRef/>
      </w:r>
      <w:r w:rsidRPr="00306EBD">
        <w:t xml:space="preserve"> </w:t>
      </w:r>
      <w:r w:rsidR="00905EAD">
        <w:rPr>
          <w:i/>
          <w:iCs/>
        </w:rPr>
        <w:t>Id.</w:t>
      </w:r>
      <w:r>
        <w:t>, 31 FCC Rcd</w:t>
      </w:r>
      <w:r w:rsidRPr="00306EBD">
        <w:t xml:space="preserve"> at 3164, para. 210. </w:t>
      </w:r>
    </w:p>
  </w:footnote>
  <w:footnote w:id="6">
    <w:p w:rsidR="00AA1C8F" w:rsidRPr="00306EBD" w:rsidP="00EC6BBB" w14:paraId="138CB3A2" w14:textId="77777777">
      <w:pPr>
        <w:pStyle w:val="FootnoteText"/>
      </w:pPr>
      <w:r w:rsidRPr="00306EBD">
        <w:rPr>
          <w:rStyle w:val="FootnoteReference"/>
        </w:rPr>
        <w:footnoteRef/>
      </w:r>
      <w:r w:rsidRPr="00306EBD">
        <w:t xml:space="preserve"> </w:t>
      </w:r>
      <w:r w:rsidRPr="008E201D">
        <w:rPr>
          <w:i/>
          <w:iCs/>
        </w:rPr>
        <w:t>Id</w:t>
      </w:r>
      <w:r w:rsidRPr="00306EBD">
        <w:rPr>
          <w:i/>
        </w:rPr>
        <w:t>.</w:t>
      </w:r>
      <w:r w:rsidRPr="00306EBD">
        <w:t xml:space="preserve"> at 3092, para. 7. </w:t>
      </w:r>
    </w:p>
  </w:footnote>
  <w:footnote w:id="7">
    <w:p w:rsidR="00AA1C8F" w:rsidRPr="00306EBD" w:rsidP="00EC6BBB" w14:paraId="5EF1472E" w14:textId="77777777">
      <w:pPr>
        <w:pStyle w:val="FootnoteText"/>
      </w:pPr>
      <w:r w:rsidRPr="00306EBD">
        <w:rPr>
          <w:rStyle w:val="FootnoteReference"/>
        </w:rPr>
        <w:footnoteRef/>
      </w:r>
      <w:r w:rsidRPr="00306EBD">
        <w:t xml:space="preserve"> </w:t>
      </w:r>
      <w:r w:rsidRPr="008E201D">
        <w:rPr>
          <w:i/>
          <w:iCs/>
        </w:rPr>
        <w:t>Id</w:t>
      </w:r>
      <w:r w:rsidRPr="00306EBD">
        <w:rPr>
          <w:i/>
        </w:rPr>
        <w:t>.</w:t>
      </w:r>
      <w:r w:rsidRPr="00306EBD">
        <w:t xml:space="preserve"> at 3166, para. 214 (directing the Bureau to work with USAC to develop an online portal).</w:t>
      </w:r>
    </w:p>
  </w:footnote>
  <w:footnote w:id="8">
    <w:p w:rsidR="00AA1C8F" w:rsidRPr="00306EBD" w:rsidP="00EC6BBB" w14:paraId="0685CA94" w14:textId="6FFE0648">
      <w:pPr>
        <w:pStyle w:val="FootnoteText"/>
      </w:pPr>
      <w:r w:rsidRPr="00306EBD">
        <w:rPr>
          <w:rStyle w:val="FootnoteReference"/>
        </w:rPr>
        <w:footnoteRef/>
      </w:r>
      <w:r w:rsidRPr="00306EBD">
        <w:t xml:space="preserve"> </w:t>
      </w:r>
      <w:r w:rsidRPr="00306EBD">
        <w:rPr>
          <w:i/>
          <w:iCs/>
        </w:rPr>
        <w:t xml:space="preserve">See, e.g., id. </w:t>
      </w:r>
      <w:r w:rsidRPr="00306EBD">
        <w:t>at 3117, para. 79 n.156 (describing portal filing obligations for recipients of Phase II model-based</w:t>
      </w:r>
      <w:r>
        <w:t xml:space="preserve"> </w:t>
      </w:r>
      <w:r w:rsidRPr="008E201D">
        <w:rPr>
          <w:i/>
          <w:iCs/>
        </w:rPr>
        <w:t>support</w:t>
      </w:r>
      <w:r w:rsidRPr="00306EBD">
        <w:t xml:space="preserve">); </w:t>
      </w:r>
      <w:r>
        <w:rPr>
          <w:i/>
        </w:rPr>
        <w:t>i</w:t>
      </w:r>
      <w:r w:rsidRPr="00564739">
        <w:rPr>
          <w:i/>
          <w:iCs/>
        </w:rPr>
        <w:t>d</w:t>
      </w:r>
      <w:r w:rsidRPr="00306EBD">
        <w:t>. at 3167, para. 219 (describing portal filing obligation for rate-of-return ETCs).</w:t>
      </w:r>
    </w:p>
  </w:footnote>
  <w:footnote w:id="9">
    <w:p w:rsidR="00AA1C8F" w:rsidRPr="00306EBD" w:rsidP="00EC6BBB" w14:paraId="55B94051" w14:textId="77777777">
      <w:pPr>
        <w:pStyle w:val="FootnoteText"/>
      </w:pPr>
      <w:r w:rsidRPr="00306EBD">
        <w:rPr>
          <w:rStyle w:val="FootnoteReference"/>
        </w:rPr>
        <w:footnoteRef/>
      </w:r>
      <w:r w:rsidRPr="00306EBD">
        <w:t xml:space="preserve"> </w:t>
      </w:r>
      <w:r w:rsidRPr="00306EBD">
        <w:rPr>
          <w:i/>
        </w:rPr>
        <w:t xml:space="preserve">See </w:t>
      </w:r>
      <w:r w:rsidRPr="00306EBD">
        <w:t>47 CFR § 54.316.</w:t>
      </w:r>
    </w:p>
  </w:footnote>
  <w:footnote w:id="10">
    <w:p w:rsidR="00AA1C8F" w:rsidRPr="00306EBD" w:rsidP="00EC6BBB" w14:paraId="3EE5583D" w14:textId="77777777">
      <w:pPr>
        <w:pStyle w:val="FootnoteText"/>
      </w:pPr>
      <w:r w:rsidRPr="00306EBD">
        <w:rPr>
          <w:rStyle w:val="FootnoteReference"/>
        </w:rPr>
        <w:footnoteRef/>
      </w:r>
      <w:r w:rsidRPr="00306EBD">
        <w:t xml:space="preserve"> </w:t>
      </w:r>
      <w:r w:rsidRPr="00306EBD">
        <w:rPr>
          <w:i/>
        </w:rPr>
        <w:t>Id.</w:t>
      </w:r>
      <w:r w:rsidRPr="00306EBD">
        <w:t xml:space="preserve"> </w:t>
      </w:r>
      <w:r>
        <w:tab/>
      </w:r>
    </w:p>
  </w:footnote>
  <w:footnote w:id="11">
    <w:p w:rsidR="00AA1C8F" w:rsidRPr="00306EBD" w:rsidP="00EC6BBB" w14:paraId="7F76FCD0" w14:textId="77777777">
      <w:pPr>
        <w:pStyle w:val="FootnoteText"/>
      </w:pPr>
      <w:r w:rsidRPr="00306EBD">
        <w:rPr>
          <w:rStyle w:val="FootnoteReference"/>
        </w:rPr>
        <w:footnoteRef/>
      </w:r>
      <w:r w:rsidRPr="00306EBD">
        <w:t xml:space="preserve"> </w:t>
      </w:r>
      <w:r w:rsidRPr="00306EBD">
        <w:rPr>
          <w:i/>
        </w:rPr>
        <w:t>See Wireline Competition Bureau Provides Guidance to Carriers Receiving Connect America Fund Support Regarding Their Broadband Location Reporting Obligations</w:t>
      </w:r>
      <w:r w:rsidRPr="00306EBD">
        <w:t>, WC Docket No. 10-90, Public Notice, 31 FCC Rcd 12900 (WCB 2016) (</w:t>
      </w:r>
      <w:r w:rsidRPr="00306EBD">
        <w:rPr>
          <w:i/>
        </w:rPr>
        <w:t>HUBB Reporting Public Notice</w:t>
      </w:r>
      <w:r w:rsidRPr="00306EBD">
        <w:t xml:space="preserve">). </w:t>
      </w:r>
    </w:p>
  </w:footnote>
  <w:footnote w:id="12">
    <w:p w:rsidR="00AA1C8F" w:rsidRPr="00306EBD" w:rsidP="00EC6BBB" w14:paraId="12CDC3E8" w14:textId="77777777">
      <w:pPr>
        <w:pStyle w:val="FootnoteText"/>
      </w:pPr>
      <w:r w:rsidRPr="00306EBD">
        <w:rPr>
          <w:rStyle w:val="FootnoteReference"/>
        </w:rPr>
        <w:footnoteRef/>
      </w:r>
      <w:r w:rsidRPr="00306EBD">
        <w:t xml:space="preserve"> </w:t>
      </w:r>
      <w:r w:rsidRPr="008E201D">
        <w:rPr>
          <w:i/>
          <w:iCs/>
        </w:rPr>
        <w:t>See</w:t>
      </w:r>
      <w:r w:rsidRPr="00306EBD">
        <w:rPr>
          <w:i/>
        </w:rPr>
        <w:t xml:space="preserve"> Rate-of-Return Reform Order</w:t>
      </w:r>
      <w:r w:rsidRPr="00306EBD">
        <w:t>, 31 FCC Rcd at 3164, para. 211.</w:t>
      </w:r>
    </w:p>
  </w:footnote>
  <w:footnote w:id="13">
    <w:p w:rsidR="00AA1C8F" w:rsidRPr="00306EBD" w:rsidP="00EC6BBB" w14:paraId="7AE156FF" w14:textId="77777777">
      <w:pPr>
        <w:pStyle w:val="FootnoteText"/>
      </w:pPr>
      <w:r w:rsidRPr="00306EBD">
        <w:rPr>
          <w:rStyle w:val="FootnoteReference"/>
        </w:rPr>
        <w:footnoteRef/>
      </w:r>
      <w:r w:rsidRPr="00306EBD">
        <w:t xml:space="preserve"> </w:t>
      </w:r>
      <w:r w:rsidRPr="00306EBD">
        <w:rPr>
          <w:i/>
        </w:rPr>
        <w:t>Id.</w:t>
      </w:r>
    </w:p>
  </w:footnote>
  <w:footnote w:id="14">
    <w:p w:rsidR="00AA1C8F" w14:paraId="4E19422D" w14:textId="3D0C0BA4">
      <w:pPr>
        <w:pStyle w:val="FootnoteText"/>
      </w:pPr>
      <w:r>
        <w:rPr>
          <w:rStyle w:val="FootnoteReference"/>
        </w:rPr>
        <w:footnoteRef/>
      </w:r>
      <w:r>
        <w:t xml:space="preserve"> </w:t>
      </w:r>
      <w:r w:rsidRPr="00EB1E6A" w:rsidR="000542C7">
        <w:rPr>
          <w:i/>
          <w:iCs/>
        </w:rPr>
        <w:t>See, e.g.,</w:t>
      </w:r>
      <w:r w:rsidR="000542C7">
        <w:t xml:space="preserve"> USAC, Connect America Fund Filing with the HUBB Portal at 12-14 (2019), </w:t>
      </w:r>
      <w:hyperlink r:id="rId3" w:history="1">
        <w:r w:rsidR="000542C7">
          <w:rPr>
            <w:rStyle w:val="Hyperlink"/>
          </w:rPr>
          <w:t>https://www.usac.org/wp-content/uploads/high-cost/documents/training/2019-Filing-with-the-HUBB-Portal-Webinar.pdf</w:t>
        </w:r>
      </w:hyperlink>
      <w:r w:rsidR="000542C7">
        <w:t>.</w:t>
      </w:r>
    </w:p>
  </w:footnote>
  <w:footnote w:id="15">
    <w:p w:rsidR="00104FC6" w:rsidRPr="00442410" w:rsidP="00104FC6" w14:paraId="5FD187D7" w14:textId="2A3672B3">
      <w:pPr>
        <w:pStyle w:val="FootnoteText"/>
      </w:pPr>
      <w:r>
        <w:rPr>
          <w:rStyle w:val="FootnoteReference"/>
        </w:rPr>
        <w:footnoteRef/>
      </w:r>
      <w:r>
        <w:t xml:space="preserve"> </w:t>
      </w:r>
      <w:r>
        <w:rPr>
          <w:i/>
          <w:iCs/>
        </w:rPr>
        <w:t xml:space="preserve">See, generally, </w:t>
      </w:r>
      <w:r w:rsidR="007A7744">
        <w:rPr>
          <w:i/>
          <w:iCs/>
        </w:rPr>
        <w:t>In the Matter of Petitions for Waiver of Universal Service High-Cost Filing Deadlines et al.</w:t>
      </w:r>
      <w:r w:rsidR="007A7744">
        <w:t>, WC Docket No. 08-71 et al., Order, 34 FCC Rcd 11139 (Dec. 2, 2019) (</w:t>
      </w:r>
      <w:r w:rsidR="007A7744">
        <w:rPr>
          <w:i/>
          <w:iCs/>
        </w:rPr>
        <w:t>December HUBB Waiver Order</w:t>
      </w:r>
      <w:r w:rsidR="007A7744">
        <w:t>)</w:t>
      </w:r>
      <w:r>
        <w:t xml:space="preserve">.  </w:t>
      </w:r>
    </w:p>
  </w:footnote>
  <w:footnote w:id="16">
    <w:p w:rsidR="00104FC6" w:rsidRPr="00442410" w:rsidP="00104FC6" w14:paraId="04552C3C" w14:textId="77777777">
      <w:pPr>
        <w:pStyle w:val="FootnoteText"/>
      </w:pPr>
      <w:r>
        <w:rPr>
          <w:rStyle w:val="FootnoteReference"/>
        </w:rPr>
        <w:footnoteRef/>
      </w:r>
      <w:r>
        <w:t xml:space="preserve"> </w:t>
      </w:r>
      <w:r>
        <w:rPr>
          <w:i/>
          <w:iCs/>
        </w:rPr>
        <w:t>Id.</w:t>
      </w:r>
      <w:r>
        <w:t xml:space="preserve"> at 11144, para. 14.  </w:t>
      </w:r>
    </w:p>
  </w:footnote>
  <w:footnote w:id="17">
    <w:p w:rsidR="00104FC6" w:rsidRPr="00442410" w:rsidP="00104FC6" w14:paraId="528EA734" w14:textId="77777777">
      <w:pPr>
        <w:pStyle w:val="FootnoteText"/>
      </w:pPr>
      <w:r>
        <w:rPr>
          <w:rStyle w:val="FootnoteReference"/>
        </w:rPr>
        <w:footnoteRef/>
      </w:r>
      <w:r>
        <w:t xml:space="preserve"> </w:t>
      </w:r>
      <w:r>
        <w:rPr>
          <w:i/>
          <w:iCs/>
        </w:rPr>
        <w:t>Id.</w:t>
      </w:r>
      <w:r>
        <w:t xml:space="preserve"> at 11145-46, para. 19</w:t>
      </w:r>
    </w:p>
  </w:footnote>
  <w:footnote w:id="18">
    <w:p w:rsidR="00FE6493" w:rsidRPr="00B461D8" w14:paraId="6275B1DB" w14:textId="57FBC1C8">
      <w:pPr>
        <w:pStyle w:val="FootnoteText"/>
      </w:pPr>
      <w:r>
        <w:rPr>
          <w:rStyle w:val="FootnoteReference"/>
        </w:rPr>
        <w:footnoteRef/>
      </w:r>
      <w:r>
        <w:t xml:space="preserve"> </w:t>
      </w:r>
      <w:r w:rsidR="00B461D8">
        <w:rPr>
          <w:i/>
          <w:iCs/>
        </w:rPr>
        <w:t xml:space="preserve">Id. </w:t>
      </w:r>
      <w:r w:rsidR="00B461D8">
        <w:t xml:space="preserve">at 11144, para. </w:t>
      </w:r>
      <w:r w:rsidR="007A53D2">
        <w:t xml:space="preserve">14.  </w:t>
      </w:r>
    </w:p>
  </w:footnote>
  <w:footnote w:id="19">
    <w:p w:rsidR="00104FC6" w:rsidRPr="009111B6" w:rsidP="00104FC6" w14:paraId="45B15294" w14:textId="77777777">
      <w:pPr>
        <w:pStyle w:val="FootnoteText"/>
      </w:pPr>
      <w:r>
        <w:rPr>
          <w:rStyle w:val="FootnoteReference"/>
        </w:rPr>
        <w:footnoteRef/>
      </w:r>
      <w:r>
        <w:t xml:space="preserve"> </w:t>
      </w:r>
      <w:r>
        <w:rPr>
          <w:i/>
          <w:iCs/>
        </w:rPr>
        <w:t>Id.</w:t>
      </w:r>
      <w:r>
        <w:t xml:space="preserve"> at 11146, para. 20.  </w:t>
      </w:r>
    </w:p>
  </w:footnote>
  <w:footnote w:id="20">
    <w:p w:rsidR="00AA1C8F" w:rsidRPr="00EC6BBB" w14:paraId="2545E1CE" w14:textId="4E163AD0">
      <w:pPr>
        <w:pStyle w:val="FootnoteText"/>
      </w:pPr>
      <w:r>
        <w:rPr>
          <w:rStyle w:val="FootnoteReference"/>
        </w:rPr>
        <w:footnoteRef/>
      </w:r>
      <w:r>
        <w:t xml:space="preserve"> </w:t>
      </w:r>
      <w:r>
        <w:rPr>
          <w:i/>
          <w:iCs/>
        </w:rPr>
        <w:t xml:space="preserve">See </w:t>
      </w:r>
      <w:r>
        <w:t xml:space="preserve">Joint Petition.  </w:t>
      </w:r>
    </w:p>
  </w:footnote>
  <w:footnote w:id="21">
    <w:p w:rsidR="00803741" w:rsidP="00803741" w14:paraId="66ABCE3E" w14:textId="77777777">
      <w:pPr>
        <w:pStyle w:val="FootnoteText"/>
      </w:pPr>
      <w:r>
        <w:rPr>
          <w:rStyle w:val="FootnoteReference"/>
        </w:rPr>
        <w:footnoteRef/>
      </w:r>
      <w:r>
        <w:t xml:space="preserve"> 47 CFR § 54.316(c)(1)(i).  </w:t>
      </w:r>
    </w:p>
  </w:footnote>
  <w:footnote w:id="22">
    <w:p w:rsidR="00AA1C8F" w14:paraId="39A80CA2" w14:textId="4D6646E1">
      <w:pPr>
        <w:pStyle w:val="FootnoteText"/>
      </w:pPr>
      <w:r>
        <w:rPr>
          <w:rStyle w:val="FootnoteReference"/>
        </w:rPr>
        <w:footnoteRef/>
      </w:r>
      <w:r>
        <w:t xml:space="preserve"> Joint Petition at 4-5.  </w:t>
      </w:r>
    </w:p>
  </w:footnote>
  <w:footnote w:id="23">
    <w:p w:rsidR="00AA1C8F" w:rsidRPr="00EC6BBB" w14:paraId="332DE2B0" w14:textId="223FC309">
      <w:pPr>
        <w:pStyle w:val="FootnoteText"/>
        <w:rPr>
          <w:i/>
          <w:iCs/>
        </w:rPr>
      </w:pPr>
      <w:r>
        <w:rPr>
          <w:rStyle w:val="FootnoteReference"/>
        </w:rPr>
        <w:footnoteRef/>
      </w:r>
      <w:r>
        <w:t xml:space="preserve"> </w:t>
      </w:r>
      <w:r>
        <w:rPr>
          <w:i/>
          <w:iCs/>
        </w:rPr>
        <w:t xml:space="preserve">Id. </w:t>
      </w:r>
    </w:p>
  </w:footnote>
  <w:footnote w:id="24">
    <w:p w:rsidR="00AA1C8F" w:rsidRPr="00EC6BBB" w14:paraId="3B38F651" w14:textId="7C831D92">
      <w:pPr>
        <w:pStyle w:val="FootnoteText"/>
      </w:pPr>
      <w:r>
        <w:rPr>
          <w:rStyle w:val="FootnoteReference"/>
        </w:rPr>
        <w:footnoteRef/>
      </w:r>
      <w:r>
        <w:t xml:space="preserve"> </w:t>
      </w:r>
      <w:r>
        <w:rPr>
          <w:i/>
          <w:iCs/>
        </w:rPr>
        <w:t xml:space="preserve">Id. </w:t>
      </w:r>
      <w:r>
        <w:t xml:space="preserve">at 5-6.  </w:t>
      </w:r>
    </w:p>
  </w:footnote>
  <w:footnote w:id="25">
    <w:p w:rsidR="00AA1C8F" w14:paraId="710CFED5" w14:textId="1834B380">
      <w:pPr>
        <w:pStyle w:val="FootnoteText"/>
      </w:pPr>
      <w:r>
        <w:rPr>
          <w:rStyle w:val="FootnoteReference"/>
        </w:rPr>
        <w:footnoteRef/>
      </w:r>
      <w:r>
        <w:t xml:space="preserve"> </w:t>
      </w:r>
      <w:r w:rsidR="00490E09">
        <w:rPr>
          <w:i/>
          <w:iCs/>
        </w:rPr>
        <w:t>Id.</w:t>
      </w:r>
      <w:r>
        <w:t xml:space="preserve"> at 11.  </w:t>
      </w:r>
    </w:p>
  </w:footnote>
  <w:footnote w:id="26">
    <w:p w:rsidR="003C5797" w14:paraId="1A117FA8" w14:textId="1318B51B">
      <w:pPr>
        <w:pStyle w:val="FootnoteText"/>
      </w:pPr>
      <w:r>
        <w:rPr>
          <w:rStyle w:val="FootnoteReference"/>
        </w:rPr>
        <w:footnoteRef/>
      </w:r>
      <w:r>
        <w:t xml:space="preserve"> State Petition at </w:t>
      </w:r>
      <w:r w:rsidR="00B07C9B">
        <w:t xml:space="preserve">1.  </w:t>
      </w:r>
    </w:p>
  </w:footnote>
  <w:footnote w:id="27">
    <w:p w:rsidR="00B120A1" w:rsidRPr="00B120A1" w14:paraId="109B1A19" w14:textId="4D421E29">
      <w:pPr>
        <w:pStyle w:val="FootnoteText"/>
      </w:pPr>
      <w:r>
        <w:rPr>
          <w:rStyle w:val="FootnoteReference"/>
        </w:rPr>
        <w:footnoteRef/>
      </w:r>
      <w:r>
        <w:t xml:space="preserve"> </w:t>
      </w:r>
      <w:r>
        <w:rPr>
          <w:i/>
          <w:iCs/>
        </w:rPr>
        <w:t>Id.</w:t>
      </w:r>
      <w:r>
        <w:t xml:space="preserve"> at 2. </w:t>
      </w:r>
    </w:p>
  </w:footnote>
  <w:footnote w:id="28">
    <w:p w:rsidR="00C9005A" w:rsidRPr="00C9005A" w14:paraId="3830F04B" w14:textId="0148B7B4">
      <w:pPr>
        <w:pStyle w:val="FootnoteText"/>
      </w:pPr>
      <w:r>
        <w:rPr>
          <w:rStyle w:val="FootnoteReference"/>
        </w:rPr>
        <w:footnoteRef/>
      </w:r>
      <w:r>
        <w:t xml:space="preserve"> </w:t>
      </w:r>
      <w:r>
        <w:rPr>
          <w:i/>
          <w:iCs/>
        </w:rPr>
        <w:t>Connect America Fund</w:t>
      </w:r>
      <w:r>
        <w:t xml:space="preserve">, </w:t>
      </w:r>
      <w:r w:rsidR="00176006">
        <w:t xml:space="preserve">WC Docket No. 10-90, </w:t>
      </w:r>
      <w:r>
        <w:t xml:space="preserve">Order, </w:t>
      </w:r>
      <w:r w:rsidR="007A1BE7">
        <w:t>32 FCC Rcd 1445</w:t>
      </w:r>
      <w:r w:rsidR="00771A46">
        <w:t>, 1445 para. 1</w:t>
      </w:r>
      <w:r w:rsidR="0038588C">
        <w:t xml:space="preserve"> (WCB 2017)</w:t>
      </w:r>
      <w:r w:rsidR="006F39AD">
        <w:t xml:space="preserve"> (</w:t>
      </w:r>
      <w:r w:rsidR="006F39AD">
        <w:rPr>
          <w:i/>
          <w:iCs/>
        </w:rPr>
        <w:t>HUBB Extension Order</w:t>
      </w:r>
      <w:r w:rsidR="006F39AD">
        <w:t>)</w:t>
      </w:r>
      <w:r w:rsidR="0038588C">
        <w:t>.</w:t>
      </w:r>
      <w:r>
        <w:t xml:space="preserve"> </w:t>
      </w:r>
    </w:p>
  </w:footnote>
  <w:footnote w:id="29">
    <w:p w:rsidR="0038588C" w:rsidRPr="00885833" w14:paraId="21BC0C38" w14:textId="07DBF634">
      <w:pPr>
        <w:pStyle w:val="FootnoteText"/>
      </w:pPr>
      <w:r>
        <w:rPr>
          <w:rStyle w:val="FootnoteReference"/>
        </w:rPr>
        <w:footnoteRef/>
      </w:r>
      <w:r>
        <w:t xml:space="preserve"> </w:t>
      </w:r>
      <w:r w:rsidR="00885833">
        <w:rPr>
          <w:i/>
          <w:iCs/>
        </w:rPr>
        <w:t>Id</w:t>
      </w:r>
      <w:r w:rsidR="006E7E51">
        <w:t xml:space="preserve">. at 1445, para. 2. </w:t>
      </w:r>
    </w:p>
  </w:footnote>
  <w:footnote w:id="30">
    <w:p w:rsidR="006E36C0" w:rsidRPr="006E36C0" w14:paraId="0FD57DB7" w14:textId="40E1584A">
      <w:pPr>
        <w:pStyle w:val="FootnoteText"/>
        <w:rPr>
          <w:i/>
          <w:iCs/>
        </w:rPr>
      </w:pPr>
      <w:r>
        <w:rPr>
          <w:rStyle w:val="FootnoteReference"/>
        </w:rPr>
        <w:footnoteRef/>
      </w:r>
      <w:r>
        <w:t xml:space="preserve"> </w:t>
      </w:r>
      <w:r w:rsidR="006E7E51">
        <w:t xml:space="preserve">State Petition at </w:t>
      </w:r>
      <w:r w:rsidR="003842F4">
        <w:t>3</w:t>
      </w:r>
      <w:r>
        <w:rPr>
          <w:i/>
          <w:iCs/>
        </w:rPr>
        <w:t xml:space="preserve">. </w:t>
      </w:r>
    </w:p>
  </w:footnote>
  <w:footnote w:id="31">
    <w:p w:rsidR="00863869" w14:paraId="728BDE8F" w14:textId="38D6F710">
      <w:pPr>
        <w:pStyle w:val="FootnoteText"/>
      </w:pPr>
      <w:r>
        <w:rPr>
          <w:rStyle w:val="FootnoteReference"/>
        </w:rPr>
        <w:footnoteRef/>
      </w:r>
      <w:r>
        <w:t xml:space="preserve"> </w:t>
      </w:r>
      <w:r w:rsidR="00490E09">
        <w:rPr>
          <w:i/>
          <w:iCs/>
        </w:rPr>
        <w:t>Id.</w:t>
      </w:r>
    </w:p>
  </w:footnote>
  <w:footnote w:id="32">
    <w:p w:rsidR="00B719B1" w14:paraId="14597CE4" w14:textId="29D0F82E">
      <w:pPr>
        <w:pStyle w:val="FootnoteText"/>
      </w:pPr>
      <w:r>
        <w:rPr>
          <w:rStyle w:val="FootnoteReference"/>
        </w:rPr>
        <w:footnoteRef/>
      </w:r>
      <w:r>
        <w:t xml:space="preserve"> </w:t>
      </w:r>
      <w:r w:rsidR="00490E09">
        <w:rPr>
          <w:i/>
          <w:iCs/>
        </w:rPr>
        <w:t>Id.</w:t>
      </w:r>
      <w:r>
        <w:t xml:space="preserve"> </w:t>
      </w:r>
    </w:p>
  </w:footnote>
  <w:footnote w:id="33">
    <w:p w:rsidR="00365279" w14:paraId="27EF225A" w14:textId="7B3A1CB2">
      <w:pPr>
        <w:pStyle w:val="FootnoteText"/>
      </w:pPr>
      <w:r>
        <w:rPr>
          <w:rStyle w:val="FootnoteReference"/>
        </w:rPr>
        <w:footnoteRef/>
      </w:r>
      <w:r>
        <w:t xml:space="preserve"> </w:t>
      </w:r>
      <w:r w:rsidR="00490E09">
        <w:rPr>
          <w:i/>
          <w:iCs/>
        </w:rPr>
        <w:t>Id.</w:t>
      </w:r>
      <w:r>
        <w:t xml:space="preserve"> </w:t>
      </w:r>
    </w:p>
  </w:footnote>
  <w:footnote w:id="34">
    <w:p w:rsidR="002E23B0" w14:paraId="455A4DBE" w14:textId="6959F826">
      <w:pPr>
        <w:pStyle w:val="FootnoteText"/>
      </w:pPr>
      <w:r>
        <w:rPr>
          <w:rStyle w:val="FootnoteReference"/>
        </w:rPr>
        <w:footnoteRef/>
      </w:r>
      <w:r>
        <w:t xml:space="preserve"> </w:t>
      </w:r>
      <w:r w:rsidR="00490E09">
        <w:rPr>
          <w:i/>
          <w:iCs/>
        </w:rPr>
        <w:t>Id.</w:t>
      </w:r>
      <w:r>
        <w:t xml:space="preserve"> at 4. </w:t>
      </w:r>
    </w:p>
  </w:footnote>
  <w:footnote w:id="35">
    <w:p w:rsidR="009670D3" w14:paraId="7E72F21A" w14:textId="3B91BE52">
      <w:pPr>
        <w:pStyle w:val="FootnoteText"/>
      </w:pPr>
      <w:r>
        <w:rPr>
          <w:rStyle w:val="FootnoteReference"/>
        </w:rPr>
        <w:footnoteRef/>
      </w:r>
      <w:r>
        <w:t xml:space="preserve"> </w:t>
      </w:r>
      <w:r w:rsidR="00490E09">
        <w:rPr>
          <w:i/>
          <w:iCs/>
        </w:rPr>
        <w:t>Id.</w:t>
      </w:r>
      <w:r>
        <w:t xml:space="preserve"> at </w:t>
      </w:r>
      <w:r w:rsidR="00A574EA">
        <w:t xml:space="preserve">10.  </w:t>
      </w:r>
    </w:p>
  </w:footnote>
  <w:footnote w:id="36">
    <w:p w:rsidR="00AA1C8F" w:rsidP="008E201D" w14:paraId="148D6AD1" w14:textId="3B1000DE">
      <w:pPr>
        <w:pStyle w:val="FootnoteText"/>
      </w:pPr>
      <w:r>
        <w:rPr>
          <w:rStyle w:val="FootnoteReference"/>
        </w:rPr>
        <w:footnoteRef/>
      </w:r>
      <w:r>
        <w:t xml:space="preserve"> </w:t>
      </w:r>
      <w:r w:rsidRPr="00306EBD">
        <w:t xml:space="preserve">Generally, the Commission’s rules may be waived for good cause shown.  47 CFR § 1.3.  The Commission may exercise its discretion to waive a rule where the particular facts make strict compliance inconsistent with the public interest.  </w:t>
      </w:r>
      <w:r w:rsidRPr="00306EBD">
        <w:rPr>
          <w:i/>
        </w:rPr>
        <w:t>Northeast Cellular Telephone Co. v. FCC</w:t>
      </w:r>
      <w:r w:rsidRPr="00306EBD">
        <w:t>, 897 F.2d 1164, 1166 (D.C. Cir. 1990) (</w:t>
      </w:r>
      <w:r w:rsidRPr="00306EBD">
        <w:rPr>
          <w:i/>
        </w:rPr>
        <w:t>Northeast Cellular</w:t>
      </w:r>
      <w:r w:rsidRPr="00306EBD">
        <w:t xml:space="preserve">).  In addition, the Commission may </w:t>
      </w:r>
      <w:r w:rsidRPr="00306EBD">
        <w:t>take into account</w:t>
      </w:r>
      <w:r w:rsidRPr="00306EBD">
        <w:t xml:space="preserve"> considerations of hardship, equity, or more effective implementation of overall policy on an individual basis.  </w:t>
      </w:r>
      <w:r w:rsidRPr="00306EBD">
        <w:rPr>
          <w:i/>
        </w:rPr>
        <w:t>WAIT Radio v. FCC</w:t>
      </w:r>
      <w:r w:rsidRPr="00306EBD">
        <w:t xml:space="preserve">, 418 F.2d 1153, 1159 (D.C. Cir. 1969); </w:t>
      </w:r>
      <w:r w:rsidRPr="00306EBD">
        <w:rPr>
          <w:i/>
        </w:rPr>
        <w:t>Northeast Cellular</w:t>
      </w:r>
      <w:r w:rsidRPr="00306EBD">
        <w:t xml:space="preserve">, 897 F.2d at 1166.  Waiver of the Commission’s rules is appropriate only if both (i) special circumstances warrant a deviation from the general rule, and (ii) such deviation will serve the public interest.  </w:t>
      </w:r>
      <w:r w:rsidRPr="00306EBD">
        <w:rPr>
          <w:i/>
        </w:rPr>
        <w:t>NetworkIP</w:t>
      </w:r>
      <w:r w:rsidRPr="00306EBD">
        <w:rPr>
          <w:i/>
        </w:rPr>
        <w:t>, LLC v. FCC</w:t>
      </w:r>
      <w:r w:rsidRPr="00306EBD">
        <w:t xml:space="preserve">, 548 F.3d 116, 125-28 (D.C. Cir. 2008), </w:t>
      </w:r>
      <w:r w:rsidRPr="00306EBD">
        <w:rPr>
          <w:i/>
        </w:rPr>
        <w:t>Northeast Cellular</w:t>
      </w:r>
      <w:r w:rsidRPr="00306EBD">
        <w:t xml:space="preserve">, 897 F.2d at 1166.  The party seeking waiver of the Commission’s rules bears the burden of demonstrating good cause. </w:t>
      </w:r>
      <w:r w:rsidRPr="00306EBD">
        <w:rPr>
          <w:i/>
        </w:rPr>
        <w:t>Thomas Radio v. FCC</w:t>
      </w:r>
      <w:r w:rsidRPr="00306EBD">
        <w:t>, 716 F.2d 921, 924 (D.C. Cir. 1983).</w:t>
      </w:r>
    </w:p>
  </w:footnote>
  <w:footnote w:id="37">
    <w:p w:rsidR="00AA1C8F" w:rsidRPr="00AF30FA" w14:paraId="5D2D9445" w14:textId="07196A96">
      <w:pPr>
        <w:pStyle w:val="FootnoteText"/>
      </w:pPr>
      <w:r>
        <w:rPr>
          <w:rStyle w:val="FootnoteReference"/>
        </w:rPr>
        <w:footnoteRef/>
      </w:r>
      <w:r>
        <w:t xml:space="preserve"> </w:t>
      </w:r>
      <w:r>
        <w:rPr>
          <w:i/>
          <w:iCs/>
        </w:rPr>
        <w:t xml:space="preserve">December </w:t>
      </w:r>
      <w:r w:rsidR="00C51FD7">
        <w:rPr>
          <w:i/>
          <w:iCs/>
        </w:rPr>
        <w:t xml:space="preserve">HUBB Waiver </w:t>
      </w:r>
      <w:r>
        <w:rPr>
          <w:i/>
          <w:iCs/>
        </w:rPr>
        <w:t>Order</w:t>
      </w:r>
      <w:r>
        <w:t>, 34 FCC Rcd at 11143-44, para. 13.</w:t>
      </w:r>
    </w:p>
  </w:footnote>
  <w:footnote w:id="38">
    <w:p w:rsidR="00AA1C8F" w14:paraId="507AF065" w14:textId="6964191E">
      <w:pPr>
        <w:pStyle w:val="FootnoteText"/>
      </w:pPr>
      <w:r>
        <w:rPr>
          <w:rStyle w:val="FootnoteReference"/>
        </w:rPr>
        <w:footnoteRef/>
      </w:r>
      <w:r>
        <w:t xml:space="preserve"> </w:t>
      </w:r>
      <w:r w:rsidRPr="00306EBD">
        <w:rPr>
          <w:i/>
        </w:rPr>
        <w:t>See Petitions for Waiver of Universal Service High-Cost Filing Deadlines et al.</w:t>
      </w:r>
      <w:r w:rsidRPr="00306EBD">
        <w:t xml:space="preserve">, WC Docket No. 08-71, Order, 24 FCC Rcd. 4811, para. 12 (WCB 2009); </w:t>
      </w:r>
      <w:r w:rsidRPr="00306EBD">
        <w:rPr>
          <w:i/>
        </w:rPr>
        <w:t xml:space="preserve">see also </w:t>
      </w:r>
      <w:r w:rsidRPr="00306EBD">
        <w:t>47 CFR § 0.406</w:t>
      </w:r>
      <w:r w:rsidRPr="00306EBD">
        <w:rPr>
          <w:i/>
        </w:rPr>
        <w:t>.</w:t>
      </w:r>
    </w:p>
  </w:footnote>
  <w:footnote w:id="39">
    <w:p w:rsidR="00A13A66" w:rsidP="00A13A66" w14:paraId="40800DD9" w14:textId="77777777">
      <w:pPr>
        <w:pStyle w:val="FootnoteText"/>
      </w:pPr>
      <w:r>
        <w:rPr>
          <w:rStyle w:val="FootnoteReference"/>
        </w:rPr>
        <w:footnoteRef/>
      </w:r>
      <w:r>
        <w:t xml:space="preserve"> </w:t>
      </w:r>
      <w:r>
        <w:rPr>
          <w:i/>
          <w:iCs/>
        </w:rPr>
        <w:t>Connect America Fund, et al.</w:t>
      </w:r>
      <w:r>
        <w:t xml:space="preserve">, WC Docket No. 10-90, et al., Report and Order, 29 FCC Rcd 15644, 15693, para. 138 (2014). </w:t>
      </w:r>
    </w:p>
  </w:footnote>
  <w:footnote w:id="40">
    <w:p w:rsidR="00A13A66" w:rsidP="00A13A66" w14:paraId="0BA01ABF" w14:textId="77777777">
      <w:pPr>
        <w:pStyle w:val="FootnoteText"/>
      </w:pPr>
      <w:r>
        <w:rPr>
          <w:rStyle w:val="FootnoteReference"/>
        </w:rPr>
        <w:footnoteRef/>
      </w:r>
      <w:r>
        <w:t xml:space="preserve"> </w:t>
      </w:r>
      <w:r>
        <w:rPr>
          <w:i/>
          <w:iCs/>
        </w:rPr>
        <w:t>Petitions for Waiver of Universal Service High-Cost Filing Deadlines, et al.</w:t>
      </w:r>
      <w:r>
        <w:t xml:space="preserve">, WC Docket No. 08-71, CC Docket No. 96-45, Order, 31 FCC Rcd 3758, 3761, para. 9 (WCB 2016). </w:t>
      </w:r>
    </w:p>
  </w:footnote>
  <w:footnote w:id="41">
    <w:p w:rsidR="00A13A66" w:rsidRPr="004650FF" w:rsidP="00A13A66" w14:paraId="182ECDDB" w14:textId="77777777">
      <w:pPr>
        <w:pStyle w:val="FootnoteText"/>
      </w:pPr>
      <w:r>
        <w:rPr>
          <w:rStyle w:val="FootnoteReference"/>
        </w:rPr>
        <w:footnoteRef/>
      </w:r>
      <w:r>
        <w:t xml:space="preserve"> </w:t>
      </w:r>
      <w:r>
        <w:rPr>
          <w:i/>
          <w:iCs/>
        </w:rPr>
        <w:t>Id</w:t>
      </w:r>
      <w:r>
        <w:t xml:space="preserve">. at 3762, para. 10. </w:t>
      </w:r>
    </w:p>
  </w:footnote>
  <w:footnote w:id="42">
    <w:p w:rsidR="00A13A66" w:rsidRPr="001A6ABA" w:rsidP="00A13A66" w14:paraId="569C1470" w14:textId="77777777">
      <w:pPr>
        <w:pStyle w:val="FootnoteText"/>
      </w:pPr>
      <w:r>
        <w:rPr>
          <w:rStyle w:val="FootnoteReference"/>
        </w:rPr>
        <w:footnoteRef/>
      </w:r>
      <w:r>
        <w:t xml:space="preserve"> </w:t>
      </w:r>
      <w:r>
        <w:rPr>
          <w:i/>
          <w:iCs/>
        </w:rPr>
        <w:t>Id.</w:t>
      </w:r>
      <w:r>
        <w:t xml:space="preserve"> at 3763-64, para. 16.  </w:t>
      </w:r>
    </w:p>
  </w:footnote>
  <w:footnote w:id="43">
    <w:p w:rsidR="00A13A66" w:rsidRPr="006F641A" w:rsidP="00A13A66" w14:paraId="3CC8EA46" w14:textId="77777777">
      <w:pPr>
        <w:pStyle w:val="FootnoteText"/>
      </w:pPr>
      <w:r>
        <w:rPr>
          <w:rStyle w:val="FootnoteReference"/>
        </w:rPr>
        <w:footnoteRef/>
      </w:r>
      <w:r>
        <w:t xml:space="preserve"> </w:t>
      </w:r>
      <w:r>
        <w:rPr>
          <w:i/>
          <w:iCs/>
        </w:rPr>
        <w:t>December HUBB Waiver Order</w:t>
      </w:r>
      <w:r>
        <w:t xml:space="preserve"> at 11146, para. 20.</w:t>
      </w:r>
    </w:p>
  </w:footnote>
  <w:footnote w:id="44">
    <w:p w:rsidR="00FB20FD" w14:paraId="3DB18B06" w14:textId="2C5A7AFC">
      <w:pPr>
        <w:pStyle w:val="FootnoteText"/>
      </w:pPr>
      <w:r>
        <w:rPr>
          <w:rStyle w:val="FootnoteReference"/>
        </w:rPr>
        <w:footnoteRef/>
      </w:r>
      <w:r>
        <w:t xml:space="preserve"> Joint Petition at </w:t>
      </w:r>
      <w:r w:rsidR="00F33BD2">
        <w:t>9.</w:t>
      </w:r>
    </w:p>
  </w:footnote>
  <w:footnote w:id="45">
    <w:p w:rsidR="00854AF4" w14:paraId="681EF335" w14:textId="69A84731">
      <w:pPr>
        <w:pStyle w:val="FootnoteText"/>
      </w:pPr>
      <w:r>
        <w:rPr>
          <w:rStyle w:val="FootnoteReference"/>
        </w:rPr>
        <w:footnoteRef/>
      </w:r>
      <w:r>
        <w:t xml:space="preserve"> </w:t>
      </w:r>
      <w:r w:rsidR="00337DFE">
        <w:t xml:space="preserve">Letter from Habib Simab, </w:t>
      </w:r>
      <w:r w:rsidR="00C069C2">
        <w:t xml:space="preserve">Director, High Cost Operations, USAC, to Marlene </w:t>
      </w:r>
      <w:r w:rsidR="00EE5272">
        <w:t>H</w:t>
      </w:r>
      <w:r w:rsidR="00C069C2">
        <w:t xml:space="preserve">. Dortch, </w:t>
      </w:r>
      <w:r w:rsidR="00A02C1B">
        <w:rPr>
          <w:spacing w:val="-2"/>
        </w:rPr>
        <w:t>WC Docket Nos. 10-90, WC Docket No. 14-58, WC Docket No. 07-135; CC Docket No. 01-92 at 1 (</w:t>
      </w:r>
      <w:r w:rsidR="009E3977">
        <w:rPr>
          <w:spacing w:val="-2"/>
        </w:rPr>
        <w:t>Aug. 3, 2020) (USAC Letter).</w:t>
      </w:r>
    </w:p>
  </w:footnote>
  <w:footnote w:id="46">
    <w:p w:rsidR="0040735E" w:rsidP="0040735E" w14:paraId="3070E234" w14:textId="77777777">
      <w:pPr>
        <w:pStyle w:val="FootnoteText"/>
      </w:pPr>
      <w:r>
        <w:rPr>
          <w:rStyle w:val="FootnoteReference"/>
        </w:rPr>
        <w:footnoteRef/>
      </w:r>
      <w:r>
        <w:t xml:space="preserve"> USAC, Connect America Fund Filing with the HUBB Portal at 12-14 (2019), </w:t>
      </w:r>
      <w:hyperlink r:id="rId3" w:history="1">
        <w:r>
          <w:rPr>
            <w:rStyle w:val="Hyperlink"/>
          </w:rPr>
          <w:t>https://www.usac.org/wp-content/uploads/high-cost/documents/training/2019-Filing-with-the-HUBB-Portal-Webinar.pdf</w:t>
        </w:r>
      </w:hyperlink>
      <w:r>
        <w:t xml:space="preserve">. </w:t>
      </w:r>
    </w:p>
  </w:footnote>
  <w:footnote w:id="47">
    <w:p w:rsidR="0040735E" w:rsidP="0040735E" w14:paraId="75A2BBA8" w14:textId="12276D8B">
      <w:pPr>
        <w:pStyle w:val="FootnoteText"/>
      </w:pPr>
      <w:r>
        <w:rPr>
          <w:rStyle w:val="FootnoteReference"/>
        </w:rPr>
        <w:footnoteRef/>
      </w:r>
      <w:r>
        <w:t xml:space="preserve"> USAC, High Cost Universal Broadband (HUBB) User Guide at 8 (20</w:t>
      </w:r>
      <w:r w:rsidR="00177A34">
        <w:t>19</w:t>
      </w:r>
      <w:r>
        <w:t xml:space="preserve">), </w:t>
      </w:r>
      <w:r w:rsidR="00B24148">
        <w:t xml:space="preserve">formerly available at </w:t>
      </w:r>
      <w:hyperlink r:id="rId4" w:history="1">
        <w:r w:rsidRPr="00B24148" w:rsidR="00B24148">
          <w:rPr>
            <w:rStyle w:val="Hyperlink"/>
          </w:rPr>
          <w:t>https://www.usac.org/wp-content/uploads/high-cost/documents/Tools/HUBB-User-Guide.pdf</w:t>
        </w:r>
      </w:hyperlink>
      <w:r>
        <w:t xml:space="preserve">. </w:t>
      </w:r>
    </w:p>
  </w:footnote>
  <w:footnote w:id="48">
    <w:p w:rsidR="0040735E" w:rsidP="0040735E" w14:paraId="7F0602E7" w14:textId="0DA2349B">
      <w:pPr>
        <w:pStyle w:val="FootnoteText"/>
      </w:pPr>
      <w:r>
        <w:rPr>
          <w:rStyle w:val="FootnoteReference"/>
        </w:rPr>
        <w:footnoteRef/>
      </w:r>
      <w:r>
        <w:t xml:space="preserve"> USAC, HUBB Frequently Asked Questions at 3 (20</w:t>
      </w:r>
      <w:r w:rsidR="00B24148">
        <w:t>19</w:t>
      </w:r>
      <w:r>
        <w:t xml:space="preserve">), </w:t>
      </w:r>
      <w:r w:rsidR="00B24148">
        <w:t xml:space="preserve">formerly available </w:t>
      </w:r>
      <w:hyperlink r:id="rId4" w:history="1">
        <w:r w:rsidRPr="00B24148" w:rsidR="00B24148">
          <w:rPr>
            <w:rStyle w:val="Hyperlink"/>
          </w:rPr>
          <w:t>https://www.usac.org/wp-content/uploads/high-cost/documents/Tools/HUBB-User-Guide.pdf</w:t>
        </w:r>
      </w:hyperlink>
      <w:r>
        <w:t xml:space="preserve">. </w:t>
      </w:r>
    </w:p>
  </w:footnote>
  <w:footnote w:id="49">
    <w:p w:rsidR="00795FBC" w14:paraId="5EFCAD75" w14:textId="278A514C">
      <w:pPr>
        <w:pStyle w:val="FootnoteText"/>
      </w:pPr>
      <w:r>
        <w:rPr>
          <w:rStyle w:val="FootnoteReference"/>
        </w:rPr>
        <w:footnoteRef/>
      </w:r>
      <w:r>
        <w:t xml:space="preserve"> </w:t>
      </w:r>
      <w:r w:rsidR="001E31B7">
        <w:t>USAC Letter at 2.</w:t>
      </w:r>
    </w:p>
  </w:footnote>
  <w:footnote w:id="50">
    <w:p w:rsidR="00F33AA0" w14:paraId="2ABD12EC" w14:textId="41D7D05D">
      <w:pPr>
        <w:pStyle w:val="FootnoteText"/>
      </w:pPr>
      <w:r>
        <w:rPr>
          <w:rStyle w:val="FootnoteReference"/>
        </w:rPr>
        <w:footnoteRef/>
      </w:r>
      <w:r>
        <w:t xml:space="preserve"> December HUBB Waiver Order, </w:t>
      </w:r>
      <w:r w:rsidR="00D06CA4">
        <w:t xml:space="preserve">34 FCC Rcd at </w:t>
      </w:r>
      <w:r w:rsidR="005E02E5">
        <w:t>11144, para. 14.</w:t>
      </w:r>
    </w:p>
  </w:footnote>
  <w:footnote w:id="51">
    <w:p w:rsidR="0017615E" w14:paraId="07F72350" w14:textId="232DAA71">
      <w:pPr>
        <w:pStyle w:val="FootnoteText"/>
      </w:pPr>
      <w:r>
        <w:rPr>
          <w:rStyle w:val="FootnoteReference"/>
        </w:rPr>
        <w:footnoteRef/>
      </w:r>
      <w:r>
        <w:t xml:space="preserve"> Joint Petition at </w:t>
      </w:r>
      <w:r w:rsidR="007C52E2">
        <w:t>9.</w:t>
      </w:r>
    </w:p>
  </w:footnote>
  <w:footnote w:id="52">
    <w:p w:rsidR="00681E2E" w14:paraId="6E394C23" w14:textId="3E61107C">
      <w:pPr>
        <w:pStyle w:val="FootnoteText"/>
      </w:pPr>
      <w:r>
        <w:rPr>
          <w:rStyle w:val="FootnoteReference"/>
        </w:rPr>
        <w:footnoteRef/>
      </w:r>
      <w:r>
        <w:t xml:space="preserve"> </w:t>
      </w:r>
      <w:r w:rsidR="0047468C">
        <w:t>USAC Letter at 2.</w:t>
      </w:r>
    </w:p>
  </w:footnote>
  <w:footnote w:id="53">
    <w:p w:rsidR="00254F41" w14:paraId="5ED554AD" w14:textId="075CF5D5">
      <w:pPr>
        <w:pStyle w:val="FootnoteText"/>
      </w:pPr>
      <w:r>
        <w:rPr>
          <w:rStyle w:val="FootnoteReference"/>
        </w:rPr>
        <w:footnoteRef/>
      </w:r>
      <w:r>
        <w:t xml:space="preserve"> </w:t>
      </w:r>
      <w:r w:rsidR="00A272C3">
        <w:t>47 CFR §54.316</w:t>
      </w:r>
      <w:r>
        <w:t xml:space="preserve"> (c)(1)</w:t>
      </w:r>
      <w:r w:rsidR="00BA6471">
        <w:t>.</w:t>
      </w:r>
    </w:p>
  </w:footnote>
  <w:footnote w:id="54">
    <w:p w:rsidR="007E6027" w:rsidP="007E6027" w14:paraId="57A070D5" w14:textId="77777777">
      <w:pPr>
        <w:pStyle w:val="FootnoteText"/>
      </w:pPr>
      <w:r>
        <w:rPr>
          <w:rStyle w:val="FootnoteReference"/>
        </w:rPr>
        <w:footnoteRef/>
      </w:r>
      <w:r>
        <w:t xml:space="preserve"> </w:t>
      </w:r>
      <w:r>
        <w:rPr>
          <w:i/>
          <w:iCs/>
        </w:rPr>
        <w:t xml:space="preserve">HUBB Extension </w:t>
      </w:r>
      <w:r w:rsidRPr="00D31A03">
        <w:rPr>
          <w:i/>
          <w:iCs/>
        </w:rPr>
        <w:t>Order</w:t>
      </w:r>
      <w:r>
        <w:t xml:space="preserve"> at </w:t>
      </w:r>
      <w:r w:rsidRPr="006F39AD">
        <w:t>1447</w:t>
      </w:r>
      <w:r>
        <w:t>, para. 7</w:t>
      </w:r>
    </w:p>
  </w:footnote>
  <w:footnote w:id="55">
    <w:p w:rsidR="008352A3" w14:paraId="197FE054" w14:textId="54CD1AE3">
      <w:pPr>
        <w:pStyle w:val="FootnoteText"/>
      </w:pPr>
      <w:r>
        <w:rPr>
          <w:rStyle w:val="FootnoteReference"/>
        </w:rPr>
        <w:footnoteRef/>
      </w:r>
      <w:r>
        <w:t xml:space="preserve"> </w:t>
      </w:r>
      <w:r w:rsidR="003542D7">
        <w:t>USAC Letter 1-2.</w:t>
      </w:r>
    </w:p>
  </w:footnote>
  <w:footnote w:id="56">
    <w:p w:rsidR="00A46585" w:rsidRPr="00C9590A" w:rsidP="00A46585" w14:paraId="1E36FD86" w14:textId="77777777">
      <w:pPr>
        <w:pStyle w:val="FootnoteText"/>
      </w:pPr>
      <w:r>
        <w:rPr>
          <w:rStyle w:val="FootnoteReference"/>
        </w:rPr>
        <w:footnoteRef/>
      </w:r>
      <w:r>
        <w:t xml:space="preserve"> </w:t>
      </w:r>
      <w:r w:rsidRPr="00323EE5">
        <w:rPr>
          <w:i/>
          <w:iCs/>
        </w:rPr>
        <w:t>Wireline Competition Bureau Provides Guidance to Carriers Receiving Connect America Fund Support Regarding Their Broadband Location Reporting Obligations</w:t>
      </w:r>
      <w:r>
        <w:t>, WC Docket No. 10-90, Public Notice, 31 FCC Rcd 12900, 12902-03 (2016) (</w:t>
      </w:r>
      <w:r>
        <w:rPr>
          <w:i/>
          <w:iCs/>
        </w:rPr>
        <w:t>2016 HUBB Guidance Public Notice</w:t>
      </w:r>
      <w:r>
        <w:t xml:space="preserve">). </w:t>
      </w:r>
    </w:p>
  </w:footnote>
  <w:footnote w:id="57">
    <w:p w:rsidR="00A46585" w:rsidRPr="00A433C8" w:rsidP="00A46585" w14:paraId="3EA8BB7F" w14:textId="77777777">
      <w:pPr>
        <w:pStyle w:val="FootnoteText"/>
      </w:pPr>
      <w:r>
        <w:rPr>
          <w:rStyle w:val="FootnoteReference"/>
        </w:rPr>
        <w:footnoteRef/>
      </w:r>
      <w:r>
        <w:t xml:space="preserve"> </w:t>
      </w:r>
      <w:r>
        <w:rPr>
          <w:i/>
          <w:iCs/>
        </w:rPr>
        <w:t>Id.</w:t>
      </w:r>
      <w:r>
        <w:t xml:space="preserve"> at 12909.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C8F" w:rsidP="00810B6F" w14:paraId="5EC8DB77" w14:textId="456D4481">
    <w:pPr>
      <w:pStyle w:val="Header"/>
      <w:rPr>
        <w:b w:val="0"/>
      </w:rPr>
    </w:pPr>
    <w:r>
      <w:tab/>
      <w:t>Federal Communications Commission</w:t>
    </w:r>
    <w:r>
      <w:tab/>
      <w:t xml:space="preserve">DA </w:t>
    </w:r>
    <w:r w:rsidRPr="00C0062E">
      <w:t>20-</w:t>
    </w:r>
    <w:r w:rsidR="00561697">
      <w:t>837</w:t>
    </w:r>
  </w:p>
  <w:p w:rsidR="00AA1C8F" w14:paraId="5A983AB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A1C8F" w14:paraId="1D10B00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C8F" w:rsidP="00810B6F" w14:paraId="493410CF" w14:textId="4D13594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w:t>
    </w:r>
    <w:r w:rsidR="00561697">
      <w:rPr>
        <w:spacing w:val="-2"/>
      </w:rPr>
      <w:t>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A23697D"/>
    <w:multiLevelType w:val="hybridMultilevel"/>
    <w:tmpl w:val="B77CB9FC"/>
    <w:lvl w:ilvl="0">
      <w:start w:val="1"/>
      <w:numFmt w:val="decimal"/>
      <w:lvlText w:val="%1."/>
      <w:lvlJc w:val="left"/>
      <w:pPr>
        <w:ind w:left="720" w:hanging="360"/>
      </w:pPr>
      <w:rPr>
        <w:rFonts w:cs="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7E462E"/>
    <w:multiLevelType w:val="hybridMultilevel"/>
    <w:tmpl w:val="255210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 w:numId="9">
    <w:abstractNumId w:val="5"/>
  </w:num>
  <w:num w:numId="10">
    <w:abstractNumId w:val="5"/>
  </w:num>
  <w:num w:numId="11">
    <w:abstractNumId w:val="5"/>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9A"/>
    <w:rsid w:val="0001105C"/>
    <w:rsid w:val="00015A66"/>
    <w:rsid w:val="0002127E"/>
    <w:rsid w:val="000266BA"/>
    <w:rsid w:val="00026E7F"/>
    <w:rsid w:val="00036039"/>
    <w:rsid w:val="00037F90"/>
    <w:rsid w:val="0004495A"/>
    <w:rsid w:val="0005266C"/>
    <w:rsid w:val="000542C7"/>
    <w:rsid w:val="000575B8"/>
    <w:rsid w:val="00076C10"/>
    <w:rsid w:val="000875BF"/>
    <w:rsid w:val="00096D8C"/>
    <w:rsid w:val="000A4FC7"/>
    <w:rsid w:val="000B28D5"/>
    <w:rsid w:val="000C0B65"/>
    <w:rsid w:val="000C54D4"/>
    <w:rsid w:val="000D2CF1"/>
    <w:rsid w:val="000D54A9"/>
    <w:rsid w:val="000E05FE"/>
    <w:rsid w:val="000E3D42"/>
    <w:rsid w:val="000E6868"/>
    <w:rsid w:val="000E6FAE"/>
    <w:rsid w:val="000F00F2"/>
    <w:rsid w:val="000F5CD5"/>
    <w:rsid w:val="000F6023"/>
    <w:rsid w:val="00104FC6"/>
    <w:rsid w:val="00113EAF"/>
    <w:rsid w:val="00122BD5"/>
    <w:rsid w:val="00123B29"/>
    <w:rsid w:val="00126A36"/>
    <w:rsid w:val="00133F79"/>
    <w:rsid w:val="00143CF7"/>
    <w:rsid w:val="00161BC4"/>
    <w:rsid w:val="00165B86"/>
    <w:rsid w:val="001664B3"/>
    <w:rsid w:val="001727B9"/>
    <w:rsid w:val="0017296B"/>
    <w:rsid w:val="0017357B"/>
    <w:rsid w:val="00173C73"/>
    <w:rsid w:val="00176006"/>
    <w:rsid w:val="0017615E"/>
    <w:rsid w:val="00176DA6"/>
    <w:rsid w:val="00177A34"/>
    <w:rsid w:val="00184BC1"/>
    <w:rsid w:val="001870B4"/>
    <w:rsid w:val="00194A66"/>
    <w:rsid w:val="001A25FD"/>
    <w:rsid w:val="001A6ABA"/>
    <w:rsid w:val="001B297A"/>
    <w:rsid w:val="001B3ACF"/>
    <w:rsid w:val="001B5349"/>
    <w:rsid w:val="001B6265"/>
    <w:rsid w:val="001C31A1"/>
    <w:rsid w:val="001D3097"/>
    <w:rsid w:val="001D6BCF"/>
    <w:rsid w:val="001D7EA4"/>
    <w:rsid w:val="001E01CA"/>
    <w:rsid w:val="001E22D7"/>
    <w:rsid w:val="001E31B7"/>
    <w:rsid w:val="001E3248"/>
    <w:rsid w:val="001F4A47"/>
    <w:rsid w:val="00210098"/>
    <w:rsid w:val="002225C2"/>
    <w:rsid w:val="00245EA7"/>
    <w:rsid w:val="002520BC"/>
    <w:rsid w:val="00254F41"/>
    <w:rsid w:val="00262568"/>
    <w:rsid w:val="00264D25"/>
    <w:rsid w:val="00266DF6"/>
    <w:rsid w:val="00275CF5"/>
    <w:rsid w:val="0028301F"/>
    <w:rsid w:val="002830F0"/>
    <w:rsid w:val="002834D8"/>
    <w:rsid w:val="00285017"/>
    <w:rsid w:val="002855B4"/>
    <w:rsid w:val="00286B1D"/>
    <w:rsid w:val="002A0A1B"/>
    <w:rsid w:val="002A2D2E"/>
    <w:rsid w:val="002A5A1D"/>
    <w:rsid w:val="002A603C"/>
    <w:rsid w:val="002C00E8"/>
    <w:rsid w:val="002D423C"/>
    <w:rsid w:val="002D78B1"/>
    <w:rsid w:val="002E23B0"/>
    <w:rsid w:val="002E3B9E"/>
    <w:rsid w:val="002F3FCF"/>
    <w:rsid w:val="002F4CE9"/>
    <w:rsid w:val="003018BA"/>
    <w:rsid w:val="00305C38"/>
    <w:rsid w:val="00306EBD"/>
    <w:rsid w:val="00307910"/>
    <w:rsid w:val="003115AA"/>
    <w:rsid w:val="00314791"/>
    <w:rsid w:val="00316521"/>
    <w:rsid w:val="00320B6C"/>
    <w:rsid w:val="00323EE5"/>
    <w:rsid w:val="00327767"/>
    <w:rsid w:val="003356BD"/>
    <w:rsid w:val="00337DFE"/>
    <w:rsid w:val="00341727"/>
    <w:rsid w:val="00343749"/>
    <w:rsid w:val="003542D7"/>
    <w:rsid w:val="003620A1"/>
    <w:rsid w:val="00365279"/>
    <w:rsid w:val="003660ED"/>
    <w:rsid w:val="00371FDF"/>
    <w:rsid w:val="003842F4"/>
    <w:rsid w:val="0038588C"/>
    <w:rsid w:val="00387649"/>
    <w:rsid w:val="00390487"/>
    <w:rsid w:val="003930E4"/>
    <w:rsid w:val="003A1AC5"/>
    <w:rsid w:val="003A5128"/>
    <w:rsid w:val="003B0550"/>
    <w:rsid w:val="003B694F"/>
    <w:rsid w:val="003B7CF3"/>
    <w:rsid w:val="003C1AB6"/>
    <w:rsid w:val="003C5797"/>
    <w:rsid w:val="003C7D93"/>
    <w:rsid w:val="003D120A"/>
    <w:rsid w:val="003D16B1"/>
    <w:rsid w:val="003D64AB"/>
    <w:rsid w:val="003D694E"/>
    <w:rsid w:val="003E0ABE"/>
    <w:rsid w:val="003E49B5"/>
    <w:rsid w:val="003F171C"/>
    <w:rsid w:val="00403797"/>
    <w:rsid w:val="0040735E"/>
    <w:rsid w:val="004101CA"/>
    <w:rsid w:val="0041229F"/>
    <w:rsid w:val="00412FC5"/>
    <w:rsid w:val="00422276"/>
    <w:rsid w:val="00422DBE"/>
    <w:rsid w:val="004242F1"/>
    <w:rsid w:val="00436C04"/>
    <w:rsid w:val="004405E3"/>
    <w:rsid w:val="00442410"/>
    <w:rsid w:val="00445846"/>
    <w:rsid w:val="00445A00"/>
    <w:rsid w:val="004466CE"/>
    <w:rsid w:val="00451B0F"/>
    <w:rsid w:val="00454EEC"/>
    <w:rsid w:val="004567EF"/>
    <w:rsid w:val="004621F4"/>
    <w:rsid w:val="004650FF"/>
    <w:rsid w:val="00471553"/>
    <w:rsid w:val="0047468C"/>
    <w:rsid w:val="00481F2C"/>
    <w:rsid w:val="00482143"/>
    <w:rsid w:val="00487CC6"/>
    <w:rsid w:val="00490E09"/>
    <w:rsid w:val="004926CA"/>
    <w:rsid w:val="00494C00"/>
    <w:rsid w:val="004A73C8"/>
    <w:rsid w:val="004C2EE3"/>
    <w:rsid w:val="004C7ED9"/>
    <w:rsid w:val="004D3D4E"/>
    <w:rsid w:val="004D4C13"/>
    <w:rsid w:val="004E4A22"/>
    <w:rsid w:val="004E5B50"/>
    <w:rsid w:val="004F24B8"/>
    <w:rsid w:val="0050556F"/>
    <w:rsid w:val="00510D77"/>
    <w:rsid w:val="00510F1D"/>
    <w:rsid w:val="00511968"/>
    <w:rsid w:val="00513F83"/>
    <w:rsid w:val="005212F7"/>
    <w:rsid w:val="00521FCA"/>
    <w:rsid w:val="005224E5"/>
    <w:rsid w:val="00532034"/>
    <w:rsid w:val="0055614C"/>
    <w:rsid w:val="00561697"/>
    <w:rsid w:val="005632C7"/>
    <w:rsid w:val="00563311"/>
    <w:rsid w:val="00564739"/>
    <w:rsid w:val="00565384"/>
    <w:rsid w:val="00566D06"/>
    <w:rsid w:val="005725C0"/>
    <w:rsid w:val="00572742"/>
    <w:rsid w:val="00580D6C"/>
    <w:rsid w:val="00582929"/>
    <w:rsid w:val="005861B4"/>
    <w:rsid w:val="00594288"/>
    <w:rsid w:val="00595214"/>
    <w:rsid w:val="005971CF"/>
    <w:rsid w:val="005A25E8"/>
    <w:rsid w:val="005B7056"/>
    <w:rsid w:val="005D1CB3"/>
    <w:rsid w:val="005D2A83"/>
    <w:rsid w:val="005D70FC"/>
    <w:rsid w:val="005E02E5"/>
    <w:rsid w:val="005E14C2"/>
    <w:rsid w:val="005E1BDD"/>
    <w:rsid w:val="005E4A8D"/>
    <w:rsid w:val="00601407"/>
    <w:rsid w:val="00605F3D"/>
    <w:rsid w:val="00607BA5"/>
    <w:rsid w:val="0061180A"/>
    <w:rsid w:val="006129EF"/>
    <w:rsid w:val="00614203"/>
    <w:rsid w:val="0062446C"/>
    <w:rsid w:val="00626EB6"/>
    <w:rsid w:val="006371E2"/>
    <w:rsid w:val="00642B82"/>
    <w:rsid w:val="00655D03"/>
    <w:rsid w:val="00662B18"/>
    <w:rsid w:val="00677C39"/>
    <w:rsid w:val="00681E2E"/>
    <w:rsid w:val="00683388"/>
    <w:rsid w:val="00683F84"/>
    <w:rsid w:val="00687A21"/>
    <w:rsid w:val="00695416"/>
    <w:rsid w:val="006A488E"/>
    <w:rsid w:val="006A5B91"/>
    <w:rsid w:val="006A6A81"/>
    <w:rsid w:val="006B1F67"/>
    <w:rsid w:val="006E36C0"/>
    <w:rsid w:val="006E3976"/>
    <w:rsid w:val="006E502D"/>
    <w:rsid w:val="006E7E51"/>
    <w:rsid w:val="006F39AD"/>
    <w:rsid w:val="006F641A"/>
    <w:rsid w:val="006F7393"/>
    <w:rsid w:val="00702056"/>
    <w:rsid w:val="0070224F"/>
    <w:rsid w:val="00704A39"/>
    <w:rsid w:val="007115F7"/>
    <w:rsid w:val="00711A1B"/>
    <w:rsid w:val="007134FC"/>
    <w:rsid w:val="00714677"/>
    <w:rsid w:val="00724D26"/>
    <w:rsid w:val="00731DE9"/>
    <w:rsid w:val="007541DD"/>
    <w:rsid w:val="00755544"/>
    <w:rsid w:val="00756976"/>
    <w:rsid w:val="00756E04"/>
    <w:rsid w:val="00762719"/>
    <w:rsid w:val="00771A46"/>
    <w:rsid w:val="00776A6C"/>
    <w:rsid w:val="00785689"/>
    <w:rsid w:val="00787467"/>
    <w:rsid w:val="007950DB"/>
    <w:rsid w:val="007953E4"/>
    <w:rsid w:val="0079558D"/>
    <w:rsid w:val="00795FBC"/>
    <w:rsid w:val="0079754B"/>
    <w:rsid w:val="0079799F"/>
    <w:rsid w:val="007A1BE7"/>
    <w:rsid w:val="007A1E6D"/>
    <w:rsid w:val="007A1FF9"/>
    <w:rsid w:val="007A53D2"/>
    <w:rsid w:val="007A7744"/>
    <w:rsid w:val="007B0EB2"/>
    <w:rsid w:val="007B4468"/>
    <w:rsid w:val="007B79FB"/>
    <w:rsid w:val="007C3C1F"/>
    <w:rsid w:val="007C52E2"/>
    <w:rsid w:val="007D2E91"/>
    <w:rsid w:val="007E6027"/>
    <w:rsid w:val="00801DB7"/>
    <w:rsid w:val="00803741"/>
    <w:rsid w:val="00804E0D"/>
    <w:rsid w:val="008077DE"/>
    <w:rsid w:val="00810B6F"/>
    <w:rsid w:val="00812941"/>
    <w:rsid w:val="00821007"/>
    <w:rsid w:val="00822CE0"/>
    <w:rsid w:val="00834D5D"/>
    <w:rsid w:val="008352A3"/>
    <w:rsid w:val="00836F07"/>
    <w:rsid w:val="00841AB1"/>
    <w:rsid w:val="00851A31"/>
    <w:rsid w:val="00854AF4"/>
    <w:rsid w:val="00863869"/>
    <w:rsid w:val="00873E70"/>
    <w:rsid w:val="0088541C"/>
    <w:rsid w:val="00885833"/>
    <w:rsid w:val="00887541"/>
    <w:rsid w:val="00893D52"/>
    <w:rsid w:val="008959E5"/>
    <w:rsid w:val="008C5F88"/>
    <w:rsid w:val="008C687B"/>
    <w:rsid w:val="008C68F1"/>
    <w:rsid w:val="008E115D"/>
    <w:rsid w:val="008E201D"/>
    <w:rsid w:val="008E2F86"/>
    <w:rsid w:val="008E6715"/>
    <w:rsid w:val="008F1A46"/>
    <w:rsid w:val="00905EAD"/>
    <w:rsid w:val="0090779E"/>
    <w:rsid w:val="009111B6"/>
    <w:rsid w:val="00915374"/>
    <w:rsid w:val="00921803"/>
    <w:rsid w:val="0092242F"/>
    <w:rsid w:val="00925770"/>
    <w:rsid w:val="00926503"/>
    <w:rsid w:val="00926C97"/>
    <w:rsid w:val="009321A6"/>
    <w:rsid w:val="00941405"/>
    <w:rsid w:val="009530B7"/>
    <w:rsid w:val="00953D06"/>
    <w:rsid w:val="00955FE7"/>
    <w:rsid w:val="00957B01"/>
    <w:rsid w:val="0096246A"/>
    <w:rsid w:val="00963DE2"/>
    <w:rsid w:val="009670D3"/>
    <w:rsid w:val="00967A77"/>
    <w:rsid w:val="009726D8"/>
    <w:rsid w:val="009732DF"/>
    <w:rsid w:val="009A086A"/>
    <w:rsid w:val="009C2762"/>
    <w:rsid w:val="009C650E"/>
    <w:rsid w:val="009C6B84"/>
    <w:rsid w:val="009C7369"/>
    <w:rsid w:val="009D3509"/>
    <w:rsid w:val="009D7308"/>
    <w:rsid w:val="009E24AE"/>
    <w:rsid w:val="009E3977"/>
    <w:rsid w:val="009E5DB8"/>
    <w:rsid w:val="009E723F"/>
    <w:rsid w:val="009F4AA8"/>
    <w:rsid w:val="009F76DB"/>
    <w:rsid w:val="00A02C1B"/>
    <w:rsid w:val="00A045C7"/>
    <w:rsid w:val="00A13A66"/>
    <w:rsid w:val="00A272C3"/>
    <w:rsid w:val="00A32C3B"/>
    <w:rsid w:val="00A40CAC"/>
    <w:rsid w:val="00A433C8"/>
    <w:rsid w:val="00A45F4F"/>
    <w:rsid w:val="00A46585"/>
    <w:rsid w:val="00A46A46"/>
    <w:rsid w:val="00A51070"/>
    <w:rsid w:val="00A553AE"/>
    <w:rsid w:val="00A574EA"/>
    <w:rsid w:val="00A600A9"/>
    <w:rsid w:val="00A65336"/>
    <w:rsid w:val="00A65872"/>
    <w:rsid w:val="00A708E2"/>
    <w:rsid w:val="00A76491"/>
    <w:rsid w:val="00A81682"/>
    <w:rsid w:val="00A90D9A"/>
    <w:rsid w:val="00AA1C8F"/>
    <w:rsid w:val="00AA55B7"/>
    <w:rsid w:val="00AA5B9E"/>
    <w:rsid w:val="00AB2407"/>
    <w:rsid w:val="00AB242E"/>
    <w:rsid w:val="00AB53DF"/>
    <w:rsid w:val="00AC653A"/>
    <w:rsid w:val="00AE272C"/>
    <w:rsid w:val="00AE301C"/>
    <w:rsid w:val="00AF30FA"/>
    <w:rsid w:val="00AF5930"/>
    <w:rsid w:val="00B00AB4"/>
    <w:rsid w:val="00B032C8"/>
    <w:rsid w:val="00B066C3"/>
    <w:rsid w:val="00B06F43"/>
    <w:rsid w:val="00B07C9B"/>
    <w:rsid w:val="00B07E5C"/>
    <w:rsid w:val="00B12084"/>
    <w:rsid w:val="00B120A1"/>
    <w:rsid w:val="00B1604F"/>
    <w:rsid w:val="00B17D0A"/>
    <w:rsid w:val="00B17FE0"/>
    <w:rsid w:val="00B21504"/>
    <w:rsid w:val="00B24148"/>
    <w:rsid w:val="00B246C1"/>
    <w:rsid w:val="00B30048"/>
    <w:rsid w:val="00B376FC"/>
    <w:rsid w:val="00B4513D"/>
    <w:rsid w:val="00B461D8"/>
    <w:rsid w:val="00B65640"/>
    <w:rsid w:val="00B719B1"/>
    <w:rsid w:val="00B80AC7"/>
    <w:rsid w:val="00B80DEB"/>
    <w:rsid w:val="00B811F7"/>
    <w:rsid w:val="00B84E4F"/>
    <w:rsid w:val="00B87750"/>
    <w:rsid w:val="00B923D9"/>
    <w:rsid w:val="00BA32D5"/>
    <w:rsid w:val="00BA5DC6"/>
    <w:rsid w:val="00BA6196"/>
    <w:rsid w:val="00BA6471"/>
    <w:rsid w:val="00BA7C84"/>
    <w:rsid w:val="00BB31A9"/>
    <w:rsid w:val="00BB6B59"/>
    <w:rsid w:val="00BC2ADC"/>
    <w:rsid w:val="00BC6D8C"/>
    <w:rsid w:val="00BE02AA"/>
    <w:rsid w:val="00BF4A18"/>
    <w:rsid w:val="00C0062E"/>
    <w:rsid w:val="00C022CE"/>
    <w:rsid w:val="00C03912"/>
    <w:rsid w:val="00C069C2"/>
    <w:rsid w:val="00C133DE"/>
    <w:rsid w:val="00C14A59"/>
    <w:rsid w:val="00C226E9"/>
    <w:rsid w:val="00C22C06"/>
    <w:rsid w:val="00C308B8"/>
    <w:rsid w:val="00C328D7"/>
    <w:rsid w:val="00C32A5C"/>
    <w:rsid w:val="00C34006"/>
    <w:rsid w:val="00C367DA"/>
    <w:rsid w:val="00C36B4C"/>
    <w:rsid w:val="00C426B1"/>
    <w:rsid w:val="00C46D2C"/>
    <w:rsid w:val="00C505EE"/>
    <w:rsid w:val="00C51FD7"/>
    <w:rsid w:val="00C66160"/>
    <w:rsid w:val="00C721AC"/>
    <w:rsid w:val="00C74AB4"/>
    <w:rsid w:val="00C772D7"/>
    <w:rsid w:val="00C8539E"/>
    <w:rsid w:val="00C8587C"/>
    <w:rsid w:val="00C858EF"/>
    <w:rsid w:val="00C9005A"/>
    <w:rsid w:val="00C90D6A"/>
    <w:rsid w:val="00C91DA2"/>
    <w:rsid w:val="00C9345A"/>
    <w:rsid w:val="00C93E5A"/>
    <w:rsid w:val="00C9590A"/>
    <w:rsid w:val="00CA247E"/>
    <w:rsid w:val="00CA6D21"/>
    <w:rsid w:val="00CC2D19"/>
    <w:rsid w:val="00CC72B6"/>
    <w:rsid w:val="00CD0072"/>
    <w:rsid w:val="00CE00D3"/>
    <w:rsid w:val="00CF3959"/>
    <w:rsid w:val="00CF6F62"/>
    <w:rsid w:val="00D0218D"/>
    <w:rsid w:val="00D0425D"/>
    <w:rsid w:val="00D06CA4"/>
    <w:rsid w:val="00D2492B"/>
    <w:rsid w:val="00D25FB5"/>
    <w:rsid w:val="00D3026F"/>
    <w:rsid w:val="00D31A03"/>
    <w:rsid w:val="00D326F9"/>
    <w:rsid w:val="00D33CF1"/>
    <w:rsid w:val="00D44223"/>
    <w:rsid w:val="00D57522"/>
    <w:rsid w:val="00D626A8"/>
    <w:rsid w:val="00D723FF"/>
    <w:rsid w:val="00D73D24"/>
    <w:rsid w:val="00D80BBA"/>
    <w:rsid w:val="00DA2529"/>
    <w:rsid w:val="00DB130A"/>
    <w:rsid w:val="00DB2EBB"/>
    <w:rsid w:val="00DB7B3D"/>
    <w:rsid w:val="00DC10A1"/>
    <w:rsid w:val="00DC3F2D"/>
    <w:rsid w:val="00DC655F"/>
    <w:rsid w:val="00DC78F8"/>
    <w:rsid w:val="00DC7F97"/>
    <w:rsid w:val="00DD0B59"/>
    <w:rsid w:val="00DD1A1A"/>
    <w:rsid w:val="00DD7769"/>
    <w:rsid w:val="00DD7EBD"/>
    <w:rsid w:val="00DF62B6"/>
    <w:rsid w:val="00E07225"/>
    <w:rsid w:val="00E12A9E"/>
    <w:rsid w:val="00E21B21"/>
    <w:rsid w:val="00E2623F"/>
    <w:rsid w:val="00E52278"/>
    <w:rsid w:val="00E5409F"/>
    <w:rsid w:val="00E55A9D"/>
    <w:rsid w:val="00E56B39"/>
    <w:rsid w:val="00E64515"/>
    <w:rsid w:val="00E65615"/>
    <w:rsid w:val="00E667DF"/>
    <w:rsid w:val="00E81DE4"/>
    <w:rsid w:val="00EA79B5"/>
    <w:rsid w:val="00EAA192"/>
    <w:rsid w:val="00EB0694"/>
    <w:rsid w:val="00EB1E6A"/>
    <w:rsid w:val="00EC6BBB"/>
    <w:rsid w:val="00ED2BE0"/>
    <w:rsid w:val="00ED5096"/>
    <w:rsid w:val="00EE5272"/>
    <w:rsid w:val="00EE6488"/>
    <w:rsid w:val="00F021FA"/>
    <w:rsid w:val="00F02522"/>
    <w:rsid w:val="00F06B13"/>
    <w:rsid w:val="00F15BCB"/>
    <w:rsid w:val="00F259C3"/>
    <w:rsid w:val="00F276DB"/>
    <w:rsid w:val="00F32136"/>
    <w:rsid w:val="00F33AA0"/>
    <w:rsid w:val="00F33BD2"/>
    <w:rsid w:val="00F33D57"/>
    <w:rsid w:val="00F41006"/>
    <w:rsid w:val="00F51672"/>
    <w:rsid w:val="00F53FFC"/>
    <w:rsid w:val="00F5412B"/>
    <w:rsid w:val="00F62E97"/>
    <w:rsid w:val="00F63D12"/>
    <w:rsid w:val="00F64209"/>
    <w:rsid w:val="00F668FF"/>
    <w:rsid w:val="00F74B16"/>
    <w:rsid w:val="00F85D9D"/>
    <w:rsid w:val="00F90BCA"/>
    <w:rsid w:val="00F93BF5"/>
    <w:rsid w:val="00FB20FD"/>
    <w:rsid w:val="00FC2B9E"/>
    <w:rsid w:val="00FC3307"/>
    <w:rsid w:val="00FD13A1"/>
    <w:rsid w:val="00FD329B"/>
    <w:rsid w:val="00FD68D4"/>
    <w:rsid w:val="00FD7268"/>
    <w:rsid w:val="00FE3B73"/>
    <w:rsid w:val="00FE6493"/>
    <w:rsid w:val="00FE7A43"/>
    <w:rsid w:val="00FF70AA"/>
    <w:rsid w:val="01435E0F"/>
    <w:rsid w:val="056E2A4C"/>
    <w:rsid w:val="06F7588F"/>
    <w:rsid w:val="06FDD9A4"/>
    <w:rsid w:val="0A462893"/>
    <w:rsid w:val="0C006C00"/>
    <w:rsid w:val="0EFEF887"/>
    <w:rsid w:val="0FFDD82F"/>
    <w:rsid w:val="14427D6C"/>
    <w:rsid w:val="14802192"/>
    <w:rsid w:val="152ABA30"/>
    <w:rsid w:val="155DDC59"/>
    <w:rsid w:val="15A8670C"/>
    <w:rsid w:val="15AC2879"/>
    <w:rsid w:val="163903CF"/>
    <w:rsid w:val="165B5B92"/>
    <w:rsid w:val="16FD987F"/>
    <w:rsid w:val="18227735"/>
    <w:rsid w:val="18984402"/>
    <w:rsid w:val="18ABD979"/>
    <w:rsid w:val="1CEC1A9F"/>
    <w:rsid w:val="1E21393B"/>
    <w:rsid w:val="1EDB1C12"/>
    <w:rsid w:val="21526221"/>
    <w:rsid w:val="251B6224"/>
    <w:rsid w:val="26904C8C"/>
    <w:rsid w:val="28552875"/>
    <w:rsid w:val="293C4E68"/>
    <w:rsid w:val="2A00A8A6"/>
    <w:rsid w:val="2AC27F8F"/>
    <w:rsid w:val="2E5EB285"/>
    <w:rsid w:val="3447A889"/>
    <w:rsid w:val="35F70CBF"/>
    <w:rsid w:val="379FE930"/>
    <w:rsid w:val="39CB3729"/>
    <w:rsid w:val="3DBB7CD9"/>
    <w:rsid w:val="459837AF"/>
    <w:rsid w:val="4913781E"/>
    <w:rsid w:val="4C1E1D0A"/>
    <w:rsid w:val="50DDB814"/>
    <w:rsid w:val="560D9347"/>
    <w:rsid w:val="5721511F"/>
    <w:rsid w:val="575EFA6B"/>
    <w:rsid w:val="59561716"/>
    <w:rsid w:val="59F3B178"/>
    <w:rsid w:val="5D0D5867"/>
    <w:rsid w:val="61A6B95F"/>
    <w:rsid w:val="6537D51B"/>
    <w:rsid w:val="6597C3A3"/>
    <w:rsid w:val="6DA405B1"/>
    <w:rsid w:val="74B82D3F"/>
    <w:rsid w:val="770D93FD"/>
    <w:rsid w:val="7BFD5CC1"/>
    <w:rsid w:val="7D12BF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5DAAA3A-14AD-4A55-B444-7C48434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697"/>
    <w:pPr>
      <w:widowControl w:val="0"/>
    </w:pPr>
    <w:rPr>
      <w:snapToGrid w:val="0"/>
      <w:kern w:val="28"/>
      <w:sz w:val="22"/>
    </w:rPr>
  </w:style>
  <w:style w:type="paragraph" w:styleId="Heading1">
    <w:name w:val="heading 1"/>
    <w:basedOn w:val="Normal"/>
    <w:next w:val="ParaNum"/>
    <w:qFormat/>
    <w:rsid w:val="005616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61697"/>
    <w:pPr>
      <w:keepNext/>
      <w:numPr>
        <w:ilvl w:val="1"/>
        <w:numId w:val="3"/>
      </w:numPr>
      <w:spacing w:after="120"/>
      <w:outlineLvl w:val="1"/>
    </w:pPr>
    <w:rPr>
      <w:b/>
    </w:rPr>
  </w:style>
  <w:style w:type="paragraph" w:styleId="Heading3">
    <w:name w:val="heading 3"/>
    <w:basedOn w:val="Normal"/>
    <w:next w:val="ParaNum"/>
    <w:qFormat/>
    <w:rsid w:val="00561697"/>
    <w:pPr>
      <w:keepNext/>
      <w:numPr>
        <w:ilvl w:val="2"/>
        <w:numId w:val="3"/>
      </w:numPr>
      <w:tabs>
        <w:tab w:val="left" w:pos="2160"/>
      </w:tabs>
      <w:spacing w:after="120"/>
      <w:outlineLvl w:val="2"/>
    </w:pPr>
    <w:rPr>
      <w:b/>
    </w:rPr>
  </w:style>
  <w:style w:type="paragraph" w:styleId="Heading4">
    <w:name w:val="heading 4"/>
    <w:basedOn w:val="Normal"/>
    <w:next w:val="ParaNum"/>
    <w:qFormat/>
    <w:rsid w:val="00561697"/>
    <w:pPr>
      <w:keepNext/>
      <w:numPr>
        <w:ilvl w:val="3"/>
        <w:numId w:val="3"/>
      </w:numPr>
      <w:tabs>
        <w:tab w:val="left" w:pos="2880"/>
      </w:tabs>
      <w:spacing w:after="120"/>
      <w:outlineLvl w:val="3"/>
    </w:pPr>
    <w:rPr>
      <w:b/>
    </w:rPr>
  </w:style>
  <w:style w:type="paragraph" w:styleId="Heading5">
    <w:name w:val="heading 5"/>
    <w:basedOn w:val="Normal"/>
    <w:next w:val="ParaNum"/>
    <w:qFormat/>
    <w:rsid w:val="005616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61697"/>
    <w:pPr>
      <w:numPr>
        <w:ilvl w:val="5"/>
        <w:numId w:val="3"/>
      </w:numPr>
      <w:tabs>
        <w:tab w:val="left" w:pos="4320"/>
      </w:tabs>
      <w:spacing w:after="120"/>
      <w:outlineLvl w:val="5"/>
    </w:pPr>
    <w:rPr>
      <w:b/>
    </w:rPr>
  </w:style>
  <w:style w:type="paragraph" w:styleId="Heading7">
    <w:name w:val="heading 7"/>
    <w:basedOn w:val="Normal"/>
    <w:next w:val="ParaNum"/>
    <w:qFormat/>
    <w:rsid w:val="005616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616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616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1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697"/>
  </w:style>
  <w:style w:type="paragraph" w:customStyle="1" w:styleId="ParaNum">
    <w:name w:val="ParaNum"/>
    <w:basedOn w:val="Normal"/>
    <w:rsid w:val="00561697"/>
    <w:pPr>
      <w:numPr>
        <w:numId w:val="2"/>
      </w:numPr>
      <w:tabs>
        <w:tab w:val="clear" w:pos="1080"/>
        <w:tab w:val="num" w:pos="1440"/>
      </w:tabs>
      <w:spacing w:after="120"/>
    </w:pPr>
  </w:style>
  <w:style w:type="paragraph" w:styleId="EndnoteText">
    <w:name w:val="endnote text"/>
    <w:basedOn w:val="Normal"/>
    <w:semiHidden/>
    <w:rsid w:val="00561697"/>
    <w:rPr>
      <w:sz w:val="20"/>
    </w:rPr>
  </w:style>
  <w:style w:type="character" w:styleId="EndnoteReference">
    <w:name w:val="endnote reference"/>
    <w:semiHidden/>
    <w:rsid w:val="00561697"/>
    <w:rPr>
      <w:vertAlign w:val="superscript"/>
    </w:rPr>
  </w:style>
  <w:style w:type="paragraph" w:styleId="FootnoteText">
    <w:name w:val="footnote text"/>
    <w:link w:val="FootnoteTextChar"/>
    <w:rsid w:val="00561697"/>
    <w:pPr>
      <w:spacing w:after="120"/>
    </w:pPr>
  </w:style>
  <w:style w:type="character" w:styleId="FootnoteReference">
    <w:name w:val="footnote reference"/>
    <w:rsid w:val="00561697"/>
    <w:rPr>
      <w:rFonts w:ascii="Times New Roman" w:hAnsi="Times New Roman"/>
      <w:dstrike w:val="0"/>
      <w:color w:val="auto"/>
      <w:sz w:val="20"/>
      <w:vertAlign w:val="superscript"/>
    </w:rPr>
  </w:style>
  <w:style w:type="paragraph" w:styleId="TOC1">
    <w:name w:val="toc 1"/>
    <w:basedOn w:val="Normal"/>
    <w:next w:val="Normal"/>
    <w:semiHidden/>
    <w:rsid w:val="005616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61697"/>
    <w:pPr>
      <w:tabs>
        <w:tab w:val="left" w:pos="720"/>
        <w:tab w:val="right" w:leader="dot" w:pos="9360"/>
      </w:tabs>
      <w:suppressAutoHyphens/>
      <w:ind w:left="720" w:right="720" w:hanging="360"/>
    </w:pPr>
    <w:rPr>
      <w:noProof/>
    </w:rPr>
  </w:style>
  <w:style w:type="paragraph" w:styleId="TOC3">
    <w:name w:val="toc 3"/>
    <w:basedOn w:val="Normal"/>
    <w:next w:val="Normal"/>
    <w:semiHidden/>
    <w:rsid w:val="005616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16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16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16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16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16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16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1697"/>
    <w:pPr>
      <w:tabs>
        <w:tab w:val="right" w:pos="9360"/>
      </w:tabs>
      <w:suppressAutoHyphens/>
    </w:pPr>
  </w:style>
  <w:style w:type="character" w:customStyle="1" w:styleId="EquationCaption">
    <w:name w:val="_Equation Caption"/>
    <w:rsid w:val="00561697"/>
  </w:style>
  <w:style w:type="paragraph" w:styleId="Header">
    <w:name w:val="header"/>
    <w:basedOn w:val="Normal"/>
    <w:autoRedefine/>
    <w:rsid w:val="00561697"/>
    <w:pPr>
      <w:tabs>
        <w:tab w:val="center" w:pos="4680"/>
        <w:tab w:val="right" w:pos="9360"/>
      </w:tabs>
    </w:pPr>
    <w:rPr>
      <w:b/>
    </w:rPr>
  </w:style>
  <w:style w:type="paragraph" w:styleId="Footer">
    <w:name w:val="footer"/>
    <w:basedOn w:val="Normal"/>
    <w:link w:val="FooterChar"/>
    <w:uiPriority w:val="99"/>
    <w:rsid w:val="00561697"/>
    <w:pPr>
      <w:tabs>
        <w:tab w:val="center" w:pos="4320"/>
        <w:tab w:val="right" w:pos="8640"/>
      </w:tabs>
    </w:pPr>
  </w:style>
  <w:style w:type="character" w:styleId="PageNumber">
    <w:name w:val="page number"/>
    <w:basedOn w:val="DefaultParagraphFont"/>
    <w:rsid w:val="00561697"/>
  </w:style>
  <w:style w:type="paragraph" w:styleId="BlockText">
    <w:name w:val="Block Text"/>
    <w:basedOn w:val="Normal"/>
    <w:rsid w:val="00561697"/>
    <w:pPr>
      <w:spacing w:after="240"/>
      <w:ind w:left="1440" w:right="1440"/>
    </w:pPr>
  </w:style>
  <w:style w:type="paragraph" w:customStyle="1" w:styleId="Paratitle">
    <w:name w:val="Para title"/>
    <w:basedOn w:val="Normal"/>
    <w:rsid w:val="00561697"/>
    <w:pPr>
      <w:tabs>
        <w:tab w:val="center" w:pos="9270"/>
      </w:tabs>
      <w:spacing w:after="240"/>
    </w:pPr>
    <w:rPr>
      <w:spacing w:val="-2"/>
    </w:rPr>
  </w:style>
  <w:style w:type="paragraph" w:customStyle="1" w:styleId="Bullet">
    <w:name w:val="Bullet"/>
    <w:basedOn w:val="Normal"/>
    <w:rsid w:val="00561697"/>
    <w:pPr>
      <w:tabs>
        <w:tab w:val="left" w:pos="2160"/>
      </w:tabs>
      <w:spacing w:after="220"/>
      <w:ind w:left="2160" w:hanging="720"/>
    </w:pPr>
  </w:style>
  <w:style w:type="paragraph" w:customStyle="1" w:styleId="TableFormat">
    <w:name w:val="TableFormat"/>
    <w:basedOn w:val="Bullet"/>
    <w:rsid w:val="00561697"/>
    <w:pPr>
      <w:tabs>
        <w:tab w:val="clear" w:pos="2160"/>
        <w:tab w:val="left" w:pos="5040"/>
      </w:tabs>
      <w:ind w:left="5040" w:hanging="3600"/>
    </w:pPr>
  </w:style>
  <w:style w:type="paragraph" w:customStyle="1" w:styleId="TOCTitle">
    <w:name w:val="TOC Title"/>
    <w:basedOn w:val="Normal"/>
    <w:rsid w:val="005616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1697"/>
    <w:pPr>
      <w:jc w:val="center"/>
    </w:pPr>
    <w:rPr>
      <w:rFonts w:ascii="Times New Roman Bold" w:hAnsi="Times New Roman Bold"/>
      <w:b/>
      <w:bCs/>
      <w:caps/>
      <w:szCs w:val="22"/>
    </w:rPr>
  </w:style>
  <w:style w:type="character" w:styleId="Hyperlink">
    <w:name w:val="Hyperlink"/>
    <w:rsid w:val="00561697"/>
    <w:rPr>
      <w:color w:val="0000FF"/>
      <w:u w:val="single"/>
    </w:rPr>
  </w:style>
  <w:style w:type="character" w:customStyle="1" w:styleId="FooterChar">
    <w:name w:val="Footer Char"/>
    <w:link w:val="Footer"/>
    <w:uiPriority w:val="99"/>
    <w:rsid w:val="00561697"/>
    <w:rPr>
      <w:snapToGrid w:val="0"/>
      <w:kern w:val="28"/>
      <w:sz w:val="22"/>
    </w:rPr>
  </w:style>
  <w:style w:type="character" w:styleId="CommentReference">
    <w:name w:val="annotation reference"/>
    <w:rsid w:val="00A90D9A"/>
    <w:rPr>
      <w:sz w:val="16"/>
      <w:szCs w:val="16"/>
    </w:rPr>
  </w:style>
  <w:style w:type="paragraph" w:styleId="CommentText">
    <w:name w:val="annotation text"/>
    <w:basedOn w:val="Normal"/>
    <w:link w:val="CommentTextChar"/>
    <w:rsid w:val="00A90D9A"/>
    <w:rPr>
      <w:sz w:val="20"/>
    </w:rPr>
  </w:style>
  <w:style w:type="character" w:customStyle="1" w:styleId="CommentTextChar">
    <w:name w:val="Comment Text Char"/>
    <w:link w:val="CommentText"/>
    <w:rsid w:val="00A90D9A"/>
    <w:rPr>
      <w:snapToGrid w:val="0"/>
      <w:kern w:val="28"/>
    </w:rPr>
  </w:style>
  <w:style w:type="paragraph" w:styleId="CommentSubject">
    <w:name w:val="annotation subject"/>
    <w:basedOn w:val="CommentText"/>
    <w:next w:val="CommentText"/>
    <w:link w:val="CommentSubjectChar"/>
    <w:rsid w:val="00A90D9A"/>
    <w:rPr>
      <w:b/>
      <w:bCs/>
    </w:rPr>
  </w:style>
  <w:style w:type="character" w:customStyle="1" w:styleId="CommentSubjectChar">
    <w:name w:val="Comment Subject Char"/>
    <w:link w:val="CommentSubject"/>
    <w:rsid w:val="00A90D9A"/>
    <w:rPr>
      <w:b/>
      <w:bCs/>
      <w:snapToGrid w:val="0"/>
      <w:kern w:val="28"/>
    </w:rPr>
  </w:style>
  <w:style w:type="paragraph" w:styleId="BalloonText">
    <w:name w:val="Balloon Text"/>
    <w:basedOn w:val="Normal"/>
    <w:link w:val="BalloonTextChar"/>
    <w:rsid w:val="00A90D9A"/>
    <w:rPr>
      <w:rFonts w:ascii="Segoe UI" w:hAnsi="Segoe UI" w:cs="Segoe UI"/>
      <w:sz w:val="18"/>
      <w:szCs w:val="18"/>
    </w:rPr>
  </w:style>
  <w:style w:type="character" w:customStyle="1" w:styleId="BalloonTextChar">
    <w:name w:val="Balloon Text Char"/>
    <w:link w:val="BalloonText"/>
    <w:rsid w:val="00A90D9A"/>
    <w:rPr>
      <w:rFonts w:ascii="Segoe UI" w:hAnsi="Segoe UI" w:cs="Segoe UI"/>
      <w:snapToGrid w:val="0"/>
      <w:kern w:val="28"/>
      <w:sz w:val="18"/>
      <w:szCs w:val="18"/>
    </w:rPr>
  </w:style>
  <w:style w:type="character" w:customStyle="1" w:styleId="UnresolvedMention">
    <w:name w:val="Unresolved Mention"/>
    <w:uiPriority w:val="99"/>
    <w:semiHidden/>
    <w:unhideWhenUsed/>
    <w:rsid w:val="00A90D9A"/>
    <w:rPr>
      <w:color w:val="605E5C"/>
      <w:shd w:val="clear" w:color="auto" w:fill="E1DFDD"/>
    </w:rPr>
  </w:style>
  <w:style w:type="character" w:customStyle="1" w:styleId="FootnoteTextChar">
    <w:name w:val="Footnote Text Char"/>
    <w:link w:val="FootnoteText"/>
    <w:rsid w:val="005D2A83"/>
  </w:style>
  <w:style w:type="paragraph" w:styleId="ListParagraph">
    <w:name w:val="List Paragraph"/>
    <w:basedOn w:val="Normal"/>
    <w:uiPriority w:val="34"/>
    <w:qFormat/>
    <w:rsid w:val="005D2A83"/>
    <w:pPr>
      <w:widowControl/>
      <w:spacing w:after="120"/>
      <w:ind w:left="720"/>
      <w:contextualSpacing/>
    </w:pPr>
    <w:rPr>
      <w:rFonts w:eastAsia="Calibr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2129184437/FINAL%20HUBB%20Waiver%20-%20ComSouth%20and%20Bloomingdale.pdf" TargetMode="External" /><Relationship Id="rId2" Type="http://schemas.openxmlformats.org/officeDocument/2006/relationships/hyperlink" Target="https://ecfsapi.fcc.gov/file/10612087429875/6%2012%2020%20State%20Telephone%20Company%20--%20HUBB%20Waiver%20Petition.pdf" TargetMode="External" /><Relationship Id="rId3" Type="http://schemas.openxmlformats.org/officeDocument/2006/relationships/hyperlink" Target="https://www.usac.org/wp-content/uploads/high-cost/documents/training/2019-Filing-with-the-HUBB-Portal-Webinar.pdf" TargetMode="External" /><Relationship Id="rId4" Type="http://schemas.openxmlformats.org/officeDocument/2006/relationships/hyperlink" Target="https://www.usac.org/wp-content/uploads/high-cost/documents/Tools/HUBB-User-Guid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