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73184DB"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1C2AFA8" w14:textId="77777777">
      <w:pPr>
        <w:pStyle w:val="StyleBoldCentered"/>
      </w:pPr>
      <w:r>
        <w:t>F</w:t>
      </w:r>
      <w:r>
        <w:rPr>
          <w:caps w:val="0"/>
        </w:rPr>
        <w:t>ederal Communications Commission</w:t>
      </w:r>
    </w:p>
    <w:p w:rsidR="004C2EE3" w:rsidP="00096D8C" w14:paraId="54D9A1A9" w14:textId="77777777">
      <w:pPr>
        <w:pStyle w:val="StyleBoldCentered"/>
      </w:pPr>
      <w:r>
        <w:rPr>
          <w:caps w:val="0"/>
        </w:rPr>
        <w:t>Washington, D.C. 20554</w:t>
      </w:r>
    </w:p>
    <w:p w:rsidR="004C2EE3" w:rsidP="0070224F" w14:paraId="3C1BC44F" w14:textId="77777777"/>
    <w:p w:rsidR="004C2EE3" w:rsidP="0070224F" w14:paraId="1046E477" w14:textId="77777777"/>
    <w:tbl>
      <w:tblPr>
        <w:tblW w:w="0" w:type="auto"/>
        <w:tblLayout w:type="fixed"/>
        <w:tblLook w:val="0000"/>
      </w:tblPr>
      <w:tblGrid>
        <w:gridCol w:w="4698"/>
        <w:gridCol w:w="630"/>
        <w:gridCol w:w="4248"/>
      </w:tblGrid>
      <w:tr w14:paraId="006B8AE8" w14:textId="77777777">
        <w:tblPrEx>
          <w:tblW w:w="0" w:type="auto"/>
          <w:tblLayout w:type="fixed"/>
          <w:tblLook w:val="0000"/>
        </w:tblPrEx>
        <w:tc>
          <w:tcPr>
            <w:tcW w:w="4698" w:type="dxa"/>
          </w:tcPr>
          <w:p w:rsidR="004C2EE3" w14:paraId="0AB773F0" w14:textId="77777777">
            <w:pPr>
              <w:tabs>
                <w:tab w:val="center" w:pos="4680"/>
              </w:tabs>
              <w:suppressAutoHyphens/>
              <w:rPr>
                <w:spacing w:val="-2"/>
              </w:rPr>
            </w:pPr>
            <w:r>
              <w:rPr>
                <w:spacing w:val="-2"/>
              </w:rPr>
              <w:t>In the Matter of</w:t>
            </w:r>
          </w:p>
          <w:p w:rsidR="004C2EE3" w14:paraId="3AE77556" w14:textId="77777777">
            <w:pPr>
              <w:tabs>
                <w:tab w:val="center" w:pos="4680"/>
              </w:tabs>
              <w:suppressAutoHyphens/>
              <w:rPr>
                <w:spacing w:val="-2"/>
              </w:rPr>
            </w:pPr>
          </w:p>
          <w:p w:rsidR="004C2EE3" w:rsidP="007115F7" w14:paraId="5C8D3217" w14:textId="77777777">
            <w:pPr>
              <w:tabs>
                <w:tab w:val="center" w:pos="4680"/>
              </w:tabs>
              <w:suppressAutoHyphens/>
              <w:rPr>
                <w:spacing w:val="-2"/>
              </w:rPr>
            </w:pPr>
            <w:r>
              <w:rPr>
                <w:spacing w:val="-2"/>
              </w:rPr>
              <w:t>The Uniendo a Puerto Rico Fund and the Connect</w:t>
            </w:r>
          </w:p>
          <w:p w:rsidR="00082DAD" w:rsidP="007115F7" w14:paraId="2FC791FF" w14:textId="77777777">
            <w:pPr>
              <w:tabs>
                <w:tab w:val="center" w:pos="4680"/>
              </w:tabs>
              <w:suppressAutoHyphens/>
              <w:rPr>
                <w:spacing w:val="-2"/>
              </w:rPr>
            </w:pPr>
            <w:r>
              <w:rPr>
                <w:spacing w:val="-2"/>
              </w:rPr>
              <w:t>USVI Fund</w:t>
            </w:r>
          </w:p>
          <w:p w:rsidR="00082DAD" w:rsidP="007115F7" w14:paraId="16389DDC" w14:textId="77777777">
            <w:pPr>
              <w:tabs>
                <w:tab w:val="center" w:pos="4680"/>
              </w:tabs>
              <w:suppressAutoHyphens/>
              <w:rPr>
                <w:spacing w:val="-2"/>
              </w:rPr>
            </w:pPr>
          </w:p>
          <w:p w:rsidR="00082DAD" w:rsidRPr="007115F7" w:rsidP="007115F7" w14:paraId="150CB992" w14:textId="77777777">
            <w:pPr>
              <w:tabs>
                <w:tab w:val="center" w:pos="4680"/>
              </w:tabs>
              <w:suppressAutoHyphens/>
              <w:rPr>
                <w:spacing w:val="-2"/>
              </w:rPr>
            </w:pPr>
            <w:r>
              <w:rPr>
                <w:spacing w:val="-2"/>
              </w:rPr>
              <w:t>Connect America Fund</w:t>
            </w:r>
          </w:p>
        </w:tc>
        <w:tc>
          <w:tcPr>
            <w:tcW w:w="630" w:type="dxa"/>
          </w:tcPr>
          <w:p w:rsidR="004C2EE3" w14:paraId="2437D5CE" w14:textId="77777777">
            <w:pPr>
              <w:tabs>
                <w:tab w:val="center" w:pos="4680"/>
              </w:tabs>
              <w:suppressAutoHyphens/>
              <w:rPr>
                <w:b/>
                <w:spacing w:val="-2"/>
              </w:rPr>
            </w:pPr>
            <w:r>
              <w:rPr>
                <w:b/>
                <w:spacing w:val="-2"/>
              </w:rPr>
              <w:t>)</w:t>
            </w:r>
          </w:p>
          <w:p w:rsidR="004C2EE3" w14:paraId="0D12096B" w14:textId="77777777">
            <w:pPr>
              <w:tabs>
                <w:tab w:val="center" w:pos="4680"/>
              </w:tabs>
              <w:suppressAutoHyphens/>
              <w:rPr>
                <w:b/>
                <w:spacing w:val="-2"/>
              </w:rPr>
            </w:pPr>
            <w:r>
              <w:rPr>
                <w:b/>
                <w:spacing w:val="-2"/>
              </w:rPr>
              <w:t>)</w:t>
            </w:r>
          </w:p>
          <w:p w:rsidR="004C2EE3" w14:paraId="08000F96" w14:textId="77777777">
            <w:pPr>
              <w:tabs>
                <w:tab w:val="center" w:pos="4680"/>
              </w:tabs>
              <w:suppressAutoHyphens/>
              <w:rPr>
                <w:b/>
                <w:spacing w:val="-2"/>
              </w:rPr>
            </w:pPr>
            <w:r>
              <w:rPr>
                <w:b/>
                <w:spacing w:val="-2"/>
              </w:rPr>
              <w:t>)</w:t>
            </w:r>
          </w:p>
          <w:p w:rsidR="004C2EE3" w14:paraId="0562AC70" w14:textId="77777777">
            <w:pPr>
              <w:tabs>
                <w:tab w:val="center" w:pos="4680"/>
              </w:tabs>
              <w:suppressAutoHyphens/>
              <w:rPr>
                <w:b/>
                <w:spacing w:val="-2"/>
              </w:rPr>
            </w:pPr>
            <w:r>
              <w:rPr>
                <w:b/>
                <w:spacing w:val="-2"/>
              </w:rPr>
              <w:t>)</w:t>
            </w:r>
          </w:p>
          <w:p w:rsidR="004C2EE3" w14:paraId="357DE7FB" w14:textId="77777777">
            <w:pPr>
              <w:tabs>
                <w:tab w:val="center" w:pos="4680"/>
              </w:tabs>
              <w:suppressAutoHyphens/>
              <w:rPr>
                <w:b/>
                <w:spacing w:val="-2"/>
              </w:rPr>
            </w:pPr>
            <w:r>
              <w:rPr>
                <w:b/>
                <w:spacing w:val="-2"/>
              </w:rPr>
              <w:t>)</w:t>
            </w:r>
          </w:p>
          <w:p w:rsidR="004C2EE3" w14:paraId="3A3950DD" w14:textId="77777777">
            <w:pPr>
              <w:tabs>
                <w:tab w:val="center" w:pos="4680"/>
              </w:tabs>
              <w:suppressAutoHyphens/>
              <w:rPr>
                <w:b/>
                <w:spacing w:val="-2"/>
              </w:rPr>
            </w:pPr>
            <w:r>
              <w:rPr>
                <w:b/>
                <w:spacing w:val="-2"/>
              </w:rPr>
              <w:t>)</w:t>
            </w:r>
          </w:p>
          <w:p w:rsidR="004C2EE3" w:rsidRPr="00C76F5D" w14:paraId="43E00F78" w14:textId="77777777">
            <w:pPr>
              <w:tabs>
                <w:tab w:val="center" w:pos="4680"/>
              </w:tabs>
              <w:suppressAutoHyphens/>
              <w:rPr>
                <w:b/>
                <w:spacing w:val="-2"/>
              </w:rPr>
            </w:pPr>
          </w:p>
        </w:tc>
        <w:tc>
          <w:tcPr>
            <w:tcW w:w="4248" w:type="dxa"/>
          </w:tcPr>
          <w:p w:rsidR="004C2EE3" w14:paraId="05BE38A0" w14:textId="77777777">
            <w:pPr>
              <w:tabs>
                <w:tab w:val="center" w:pos="4680"/>
              </w:tabs>
              <w:suppressAutoHyphens/>
              <w:rPr>
                <w:spacing w:val="-2"/>
              </w:rPr>
            </w:pPr>
          </w:p>
          <w:p w:rsidR="004C2EE3" w14:paraId="6D8F1748" w14:textId="77777777">
            <w:pPr>
              <w:pStyle w:val="TOAHeading"/>
              <w:tabs>
                <w:tab w:val="center" w:pos="4680"/>
                <w:tab w:val="clear" w:pos="9360"/>
              </w:tabs>
              <w:rPr>
                <w:spacing w:val="-2"/>
              </w:rPr>
            </w:pPr>
          </w:p>
          <w:p w:rsidR="004C2EE3" w14:paraId="257D1819" w14:textId="77777777">
            <w:pPr>
              <w:tabs>
                <w:tab w:val="center" w:pos="4680"/>
              </w:tabs>
              <w:suppressAutoHyphens/>
              <w:rPr>
                <w:spacing w:val="-2"/>
              </w:rPr>
            </w:pPr>
            <w:r>
              <w:rPr>
                <w:spacing w:val="-2"/>
              </w:rPr>
              <w:t>WC Docket No. 18-143</w:t>
            </w:r>
          </w:p>
          <w:p w:rsidR="00082DAD" w14:paraId="4B124322" w14:textId="77777777">
            <w:pPr>
              <w:tabs>
                <w:tab w:val="center" w:pos="4680"/>
              </w:tabs>
              <w:suppressAutoHyphens/>
              <w:rPr>
                <w:spacing w:val="-2"/>
              </w:rPr>
            </w:pPr>
          </w:p>
          <w:p w:rsidR="00082DAD" w14:paraId="16A65734" w14:textId="77777777">
            <w:pPr>
              <w:tabs>
                <w:tab w:val="center" w:pos="4680"/>
              </w:tabs>
              <w:suppressAutoHyphens/>
              <w:rPr>
                <w:spacing w:val="-2"/>
              </w:rPr>
            </w:pPr>
          </w:p>
          <w:p w:rsidR="00082DAD" w14:paraId="066C364B" w14:textId="77777777">
            <w:pPr>
              <w:tabs>
                <w:tab w:val="center" w:pos="4680"/>
              </w:tabs>
              <w:suppressAutoHyphens/>
              <w:rPr>
                <w:spacing w:val="-2"/>
              </w:rPr>
            </w:pPr>
            <w:r>
              <w:rPr>
                <w:spacing w:val="-2"/>
              </w:rPr>
              <w:t>WC Docket No. 10-90</w:t>
            </w:r>
          </w:p>
        </w:tc>
      </w:tr>
    </w:tbl>
    <w:p w:rsidR="004C2EE3" w:rsidP="0070224F" w14:paraId="38BC877A" w14:textId="77777777"/>
    <w:p w:rsidR="00841AB1" w:rsidP="00F021FA" w14:paraId="33A618B5" w14:textId="77777777">
      <w:pPr>
        <w:pStyle w:val="StyleBoldCentered"/>
      </w:pPr>
      <w:r>
        <w:t>ORDER</w:t>
      </w:r>
      <w:r w:rsidR="006C3C93">
        <w:t xml:space="preserve"> ON RECONSIDERATION AND ORDER</w:t>
      </w:r>
    </w:p>
    <w:p w:rsidR="004C2EE3" w14:paraId="060E9E57" w14:textId="77777777">
      <w:pPr>
        <w:tabs>
          <w:tab w:val="left" w:pos="-720"/>
        </w:tabs>
        <w:suppressAutoHyphens/>
        <w:spacing w:line="227" w:lineRule="auto"/>
        <w:rPr>
          <w:spacing w:val="-2"/>
        </w:rPr>
      </w:pPr>
    </w:p>
    <w:p w:rsidR="004C2EE3" w:rsidP="00133F79" w14:paraId="79DD2720" w14:textId="77777777">
      <w:pPr>
        <w:tabs>
          <w:tab w:val="left" w:pos="720"/>
          <w:tab w:val="right" w:pos="9360"/>
        </w:tabs>
        <w:suppressAutoHyphens/>
        <w:spacing w:line="227" w:lineRule="auto"/>
        <w:rPr>
          <w:spacing w:val="-2"/>
        </w:rPr>
      </w:pPr>
      <w:r>
        <w:rPr>
          <w:b/>
          <w:spacing w:val="-2"/>
        </w:rPr>
        <w:t>Adopted:</w:t>
      </w:r>
      <w:r w:rsidR="00C4342F">
        <w:rPr>
          <w:b/>
          <w:spacing w:val="-2"/>
        </w:rPr>
        <w:t xml:space="preserve">  August 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4342F">
        <w:rPr>
          <w:b/>
          <w:spacing w:val="-2"/>
        </w:rPr>
        <w:t>August 6, 2020</w:t>
      </w:r>
    </w:p>
    <w:p w:rsidR="00822CE0" w14:paraId="3432E751" w14:textId="77777777"/>
    <w:p w:rsidR="004C2EE3" w14:paraId="1FE0EF76" w14:textId="77777777">
      <w:pPr>
        <w:rPr>
          <w:spacing w:val="-2"/>
        </w:rPr>
      </w:pPr>
      <w:r>
        <w:t xml:space="preserve">By </w:t>
      </w:r>
      <w:r w:rsidR="004E4A22">
        <w:t>the</w:t>
      </w:r>
      <w:r w:rsidR="00C4342F">
        <w:t xml:space="preserve"> Chief,</w:t>
      </w:r>
      <w:r w:rsidR="002A2D2E">
        <w:t xml:space="preserve"> </w:t>
      </w:r>
      <w:r w:rsidR="003C0DDE">
        <w:t>Wireline Competition Bureau</w:t>
      </w:r>
      <w:r>
        <w:rPr>
          <w:spacing w:val="-2"/>
        </w:rPr>
        <w:t>:</w:t>
      </w:r>
    </w:p>
    <w:p w:rsidR="00822CE0" w14:paraId="134F3DF6" w14:textId="77777777">
      <w:pPr>
        <w:rPr>
          <w:spacing w:val="-2"/>
        </w:rPr>
      </w:pPr>
    </w:p>
    <w:p w:rsidR="00412FC5" w:rsidP="001971EC" w14:paraId="6208D3C4" w14:textId="77777777">
      <w:pPr>
        <w:pStyle w:val="Heading1"/>
        <w:tabs>
          <w:tab w:val="clear" w:pos="2610"/>
        </w:tabs>
        <w:ind w:left="720"/>
      </w:pPr>
      <w:r>
        <w:t>INTRODUCTION</w:t>
      </w:r>
    </w:p>
    <w:p w:rsidR="00EA1D36" w:rsidRPr="00D062ED" w:rsidP="00D062ED" w14:paraId="07B0F866" w14:textId="77777777">
      <w:pPr>
        <w:pStyle w:val="ParaNum"/>
        <w:widowControl/>
        <w:autoSpaceDE w:val="0"/>
        <w:autoSpaceDN w:val="0"/>
        <w:adjustRightInd w:val="0"/>
        <w:rPr>
          <w:rFonts w:ascii="TimesNewRomanPSMT" w:hAnsi="TimesNewRomanPSMT" w:cs="TimesNewRomanPSMT"/>
          <w:snapToGrid/>
          <w:kern w:val="0"/>
          <w:szCs w:val="22"/>
        </w:rPr>
      </w:pPr>
      <w:r w:rsidRPr="001A34DD">
        <w:rPr>
          <w:rFonts w:ascii="TimesNewRomanPSMT" w:hAnsi="TimesNewRomanPSMT" w:cs="TimesNewRomanPSMT"/>
          <w:snapToGrid/>
          <w:kern w:val="0"/>
          <w:szCs w:val="22"/>
        </w:rPr>
        <w:t>I</w:t>
      </w:r>
      <w:r w:rsidR="00FD1B57">
        <w:rPr>
          <w:rFonts w:ascii="TimesNewRomanPSMT" w:hAnsi="TimesNewRomanPSMT" w:cs="TimesNewRomanPSMT"/>
          <w:snapToGrid/>
          <w:kern w:val="0"/>
          <w:szCs w:val="22"/>
        </w:rPr>
        <w:t>n September 2017</w:t>
      </w:r>
      <w:r>
        <w:rPr>
          <w:rFonts w:ascii="TimesNewRomanPSMT" w:hAnsi="TimesNewRomanPSMT" w:cs="TimesNewRomanPSMT"/>
          <w:snapToGrid/>
          <w:kern w:val="0"/>
          <w:szCs w:val="22"/>
        </w:rPr>
        <w:t>,</w:t>
      </w:r>
      <w:r w:rsidR="00BC4658">
        <w:rPr>
          <w:rFonts w:ascii="TimesNewRomanPSMT" w:hAnsi="TimesNewRomanPSMT" w:cs="TimesNewRomanPSMT"/>
          <w:snapToGrid/>
          <w:kern w:val="0"/>
          <w:szCs w:val="22"/>
        </w:rPr>
        <w:t xml:space="preserve"> H</w:t>
      </w:r>
      <w:r w:rsidRPr="001A34DD" w:rsidR="00BC4658">
        <w:rPr>
          <w:rFonts w:ascii="TimesNewRomanPSMT" w:hAnsi="TimesNewRomanPSMT" w:cs="TimesNewRomanPSMT"/>
          <w:snapToGrid/>
          <w:kern w:val="0"/>
          <w:szCs w:val="22"/>
        </w:rPr>
        <w:t>urricanes Irma and Maria</w:t>
      </w:r>
      <w:r w:rsidRPr="001A34DD">
        <w:rPr>
          <w:rFonts w:ascii="TimesNewRomanPSMT" w:hAnsi="TimesNewRomanPSMT" w:cs="TimesNewRomanPSMT"/>
          <w:snapToGrid/>
          <w:kern w:val="0"/>
          <w:szCs w:val="22"/>
        </w:rPr>
        <w:t xml:space="preserve"> caused widespread devastation to Puerto Rico and the U.S. Virgin Islands (together the Territories), damaging or</w:t>
      </w:r>
      <w:r>
        <w:rPr>
          <w:rFonts w:ascii="TimesNewRomanPSMT" w:hAnsi="TimesNewRomanPSMT" w:cs="TimesNewRomanPSMT"/>
          <w:snapToGrid/>
          <w:kern w:val="0"/>
          <w:szCs w:val="22"/>
        </w:rPr>
        <w:t xml:space="preserve"> </w:t>
      </w:r>
      <w:r w:rsidRPr="001A34DD">
        <w:rPr>
          <w:rFonts w:ascii="TimesNewRomanPSMT" w:hAnsi="TimesNewRomanPSMT" w:cs="TimesNewRomanPSMT"/>
          <w:snapToGrid/>
          <w:kern w:val="0"/>
          <w:szCs w:val="22"/>
        </w:rPr>
        <w:t>destroying communications networks</w:t>
      </w:r>
      <w:r w:rsidR="00FD1B57">
        <w:rPr>
          <w:rFonts w:ascii="TimesNewRomanPSMT" w:hAnsi="TimesNewRomanPSMT" w:cs="TimesNewRomanPSMT"/>
          <w:snapToGrid/>
          <w:kern w:val="0"/>
          <w:szCs w:val="22"/>
        </w:rPr>
        <w:t xml:space="preserve"> and leaving thousands without an essential means of communications during and after these treacherous storms</w:t>
      </w:r>
      <w:r w:rsidR="002B309D">
        <w:rPr>
          <w:rFonts w:ascii="TimesNewRomanPSMT" w:hAnsi="TimesNewRomanPSMT" w:cs="TimesNewRomanPSMT"/>
          <w:snapToGrid/>
          <w:kern w:val="0"/>
          <w:szCs w:val="22"/>
        </w:rPr>
        <w:t xml:space="preserve">. </w:t>
      </w:r>
      <w:r w:rsidRPr="001A34DD">
        <w:rPr>
          <w:rFonts w:ascii="TimesNewRomanPSMT" w:hAnsi="TimesNewRomanPSMT" w:cs="TimesNewRomanPSMT"/>
          <w:snapToGrid/>
          <w:kern w:val="0"/>
          <w:szCs w:val="22"/>
        </w:rPr>
        <w:t xml:space="preserve"> </w:t>
      </w:r>
      <w:r w:rsidR="002B309D">
        <w:rPr>
          <w:rFonts w:ascii="TimesNewRomanPSMT" w:hAnsi="TimesNewRomanPSMT" w:cs="TimesNewRomanPSMT"/>
          <w:snapToGrid/>
          <w:kern w:val="0"/>
          <w:szCs w:val="22"/>
        </w:rPr>
        <w:t>T</w:t>
      </w:r>
      <w:r w:rsidRPr="001A34DD">
        <w:rPr>
          <w:rFonts w:ascii="TimesNewRomanPSMT" w:hAnsi="TimesNewRomanPSMT" w:cs="TimesNewRomanPSMT"/>
          <w:snapToGrid/>
          <w:kern w:val="0"/>
          <w:szCs w:val="22"/>
        </w:rPr>
        <w:t xml:space="preserve">he Commission </w:t>
      </w:r>
      <w:r w:rsidR="002B309D">
        <w:rPr>
          <w:rFonts w:ascii="TimesNewRomanPSMT" w:hAnsi="TimesNewRomanPSMT" w:cs="TimesNewRomanPSMT"/>
          <w:snapToGrid/>
          <w:kern w:val="0"/>
          <w:szCs w:val="22"/>
        </w:rPr>
        <w:t>responded aggressively</w:t>
      </w:r>
      <w:r w:rsidR="00161DC4">
        <w:rPr>
          <w:rFonts w:ascii="TimesNewRomanPSMT" w:hAnsi="TimesNewRomanPSMT" w:cs="TimesNewRomanPSMT"/>
          <w:snapToGrid/>
          <w:kern w:val="0"/>
          <w:szCs w:val="22"/>
        </w:rPr>
        <w:t>,</w:t>
      </w:r>
      <w:r w:rsidR="002B309D">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cr</w:t>
      </w:r>
      <w:r w:rsidR="00970FCF">
        <w:rPr>
          <w:rFonts w:ascii="TimesNewRomanPSMT" w:hAnsi="TimesNewRomanPSMT" w:cs="TimesNewRomanPSMT"/>
          <w:snapToGrid/>
          <w:kern w:val="0"/>
          <w:szCs w:val="22"/>
        </w:rPr>
        <w:t>e</w:t>
      </w:r>
      <w:r>
        <w:rPr>
          <w:rFonts w:ascii="TimesNewRomanPSMT" w:hAnsi="TimesNewRomanPSMT" w:cs="TimesNewRomanPSMT"/>
          <w:snapToGrid/>
          <w:kern w:val="0"/>
          <w:szCs w:val="22"/>
        </w:rPr>
        <w:t>at</w:t>
      </w:r>
      <w:r w:rsidR="00161DC4">
        <w:rPr>
          <w:rFonts w:ascii="TimesNewRomanPSMT" w:hAnsi="TimesNewRomanPSMT" w:cs="TimesNewRomanPSMT"/>
          <w:snapToGrid/>
          <w:kern w:val="0"/>
          <w:szCs w:val="22"/>
        </w:rPr>
        <w:t>ing</w:t>
      </w:r>
      <w:r>
        <w:rPr>
          <w:rFonts w:ascii="TimesNewRomanPSMT" w:hAnsi="TimesNewRomanPSMT" w:cs="TimesNewRomanPSMT"/>
          <w:snapToGrid/>
          <w:kern w:val="0"/>
          <w:szCs w:val="22"/>
        </w:rPr>
        <w:t xml:space="preserve"> </w:t>
      </w:r>
      <w:r w:rsidRPr="001A34DD">
        <w:rPr>
          <w:rFonts w:ascii="TimesNewRomanPSMT" w:hAnsi="TimesNewRomanPSMT" w:cs="TimesNewRomanPSMT"/>
          <w:snapToGrid/>
          <w:kern w:val="0"/>
          <w:szCs w:val="22"/>
        </w:rPr>
        <w:t xml:space="preserve">the Uniendo a Puerto Rico Fund and the Connect USVI Fund </w:t>
      </w:r>
      <w:r w:rsidRPr="009A7410">
        <w:rPr>
          <w:rFonts w:ascii="TimesNewRomanPSMT" w:hAnsi="TimesNewRomanPSMT" w:cs="TimesNewRomanPSMT"/>
          <w:snapToGrid/>
          <w:kern w:val="0"/>
          <w:szCs w:val="22"/>
        </w:rPr>
        <w:t>to promote the deployment of advanced, hardened networks</w:t>
      </w:r>
      <w:r>
        <w:rPr>
          <w:rFonts w:ascii="TimesNewRomanPSMT" w:hAnsi="TimesNewRomanPSMT" w:cs="TimesNewRomanPSMT"/>
          <w:snapToGrid/>
          <w:kern w:val="0"/>
          <w:szCs w:val="22"/>
        </w:rPr>
        <w:t xml:space="preserve"> in the Territories.</w:t>
      </w:r>
      <w:r>
        <w:rPr>
          <w:rStyle w:val="FootnoteReference"/>
          <w:rFonts w:cs="TimesNewRomanPSMT"/>
          <w:snapToGrid/>
          <w:kern w:val="0"/>
          <w:szCs w:val="22"/>
        </w:rPr>
        <w:footnoteReference w:id="3"/>
      </w:r>
      <w:r>
        <w:t xml:space="preserve">  In Stage 2 of the Uniendo a Puerto Rico Fund and Connect USVI Fund, fixed providers will compete to receive up to $691.2 million to provide fixed voice and broadband service throughout the Territories.</w:t>
      </w:r>
      <w:r>
        <w:rPr>
          <w:rStyle w:val="FootnoteReference"/>
        </w:rPr>
        <w:footnoteReference w:id="4"/>
      </w:r>
      <w:r w:rsidR="00DD2AD0">
        <w:t xml:space="preserve"> </w:t>
      </w:r>
      <w:r>
        <w:t xml:space="preserve">  </w:t>
      </w:r>
    </w:p>
    <w:p w:rsidR="002C4854" w:rsidP="002C4854" w14:paraId="2B360DA3" w14:textId="77777777">
      <w:pPr>
        <w:pStyle w:val="ParaNum"/>
      </w:pPr>
      <w:r>
        <w:t>In this order</w:t>
      </w:r>
      <w:r w:rsidR="00CD01A8">
        <w:t xml:space="preserve">, </w:t>
      </w:r>
      <w:r w:rsidR="00C23C10">
        <w:t xml:space="preserve">the </w:t>
      </w:r>
      <w:r>
        <w:t>Wireline Competition Bureau</w:t>
      </w:r>
      <w:r w:rsidR="00CD01A8">
        <w:t xml:space="preserve"> consider</w:t>
      </w:r>
      <w:r>
        <w:t>s</w:t>
      </w:r>
      <w:r w:rsidR="00CD01A8">
        <w:t xml:space="preserve"> issues raised by</w:t>
      </w:r>
      <w:r w:rsidR="0034244D">
        <w:t xml:space="preserve"> parties </w:t>
      </w:r>
      <w:r w:rsidR="005E34D0">
        <w:t>related to</w:t>
      </w:r>
      <w:r w:rsidR="00CD01A8">
        <w:t xml:space="preserve"> Stage 2.</w:t>
      </w:r>
      <w:r w:rsidR="00440A1C">
        <w:t xml:space="preserve"> </w:t>
      </w:r>
      <w:r w:rsidR="003F7F8A">
        <w:t xml:space="preserve"> </w:t>
      </w:r>
      <w:r w:rsidR="00DD2AD0">
        <w:t xml:space="preserve">Specifically, </w:t>
      </w:r>
      <w:r w:rsidR="003F7F8A">
        <w:t xml:space="preserve">we </w:t>
      </w:r>
      <w:r w:rsidR="002F41FE">
        <w:t xml:space="preserve">first </w:t>
      </w:r>
      <w:r w:rsidR="003F7F8A">
        <w:t xml:space="preserve">resolve </w:t>
      </w:r>
      <w:r w:rsidR="00997548">
        <w:t xml:space="preserve">a </w:t>
      </w:r>
      <w:r w:rsidR="003F7F8A">
        <w:t xml:space="preserve">petition </w:t>
      </w:r>
      <w:r w:rsidR="007F7673">
        <w:t>from Virgin Islands Telephone Corp. dba Viya</w:t>
      </w:r>
      <w:r>
        <w:rPr>
          <w:rStyle w:val="FootnoteReference"/>
        </w:rPr>
        <w:footnoteReference w:id="5"/>
      </w:r>
      <w:r w:rsidR="007F7673">
        <w:t xml:space="preserve"> </w:t>
      </w:r>
      <w:r w:rsidR="003F7F8A">
        <w:t xml:space="preserve">challenging the </w:t>
      </w:r>
      <w:r w:rsidRPr="001E6E7D" w:rsidR="001E6E7D">
        <w:rPr>
          <w:i/>
          <w:iCs/>
        </w:rPr>
        <w:t>Public Notice</w:t>
      </w:r>
      <w:r>
        <w:rPr>
          <w:rStyle w:val="FootnoteReference"/>
        </w:rPr>
        <w:footnoteReference w:id="6"/>
      </w:r>
      <w:r w:rsidR="00F1243F">
        <w:t xml:space="preserve"> released by the Bureau regarding the</w:t>
      </w:r>
      <w:r w:rsidR="003863E2">
        <w:t xml:space="preserve"> </w:t>
      </w:r>
      <w:r w:rsidR="00DE74F7">
        <w:t xml:space="preserve">number of </w:t>
      </w:r>
      <w:r w:rsidR="00A4728F">
        <w:t>location</w:t>
      </w:r>
      <w:r w:rsidR="00FE7BEA">
        <w:t>s</w:t>
      </w:r>
      <w:r w:rsidR="00A4728F">
        <w:t xml:space="preserve"> </w:t>
      </w:r>
      <w:r w:rsidR="00FE7BEA">
        <w:t>winning service providers must serve in</w:t>
      </w:r>
      <w:r w:rsidR="00A4728F">
        <w:t xml:space="preserve"> the </w:t>
      </w:r>
      <w:r w:rsidR="00D558A5">
        <w:t>U.S. Virgin Islands</w:t>
      </w:r>
      <w:r w:rsidR="00F1243F">
        <w:t>.</w:t>
      </w:r>
      <w:r w:rsidR="00A4728F">
        <w:t xml:space="preserve">  </w:t>
      </w:r>
      <w:r w:rsidR="004508A6">
        <w:t>Second, w</w:t>
      </w:r>
      <w:r>
        <w:t xml:space="preserve">e </w:t>
      </w:r>
      <w:r w:rsidR="00CE0CB3">
        <w:t xml:space="preserve">deny </w:t>
      </w:r>
      <w:r w:rsidR="00134C37">
        <w:t>reques</w:t>
      </w:r>
      <w:r w:rsidR="00CE0CB3">
        <w:t>ts to</w:t>
      </w:r>
      <w:r w:rsidR="007A1959">
        <w:t xml:space="preserve"> </w:t>
      </w:r>
      <w:r w:rsidR="00686176">
        <w:t xml:space="preserve">modify </w:t>
      </w:r>
      <w:r w:rsidRPr="00AC4487">
        <w:t xml:space="preserve">the location adjustment </w:t>
      </w:r>
      <w:r w:rsidR="005069AD">
        <w:t>process</w:t>
      </w:r>
      <w:r w:rsidRPr="00AC4487" w:rsidR="005069AD">
        <w:t xml:space="preserve"> </w:t>
      </w:r>
      <w:r w:rsidRPr="00AC4487" w:rsidR="00C450BA">
        <w:t>for Stage 2 fixed support</w:t>
      </w:r>
      <w:r w:rsidR="00C86302">
        <w:t xml:space="preserve"> as not properly before the Bureau.</w:t>
      </w:r>
      <w:r w:rsidRPr="00AC4487">
        <w:t xml:space="preserve">  </w:t>
      </w:r>
      <w:r w:rsidR="004508A6">
        <w:t>Third, w</w:t>
      </w:r>
      <w:r w:rsidRPr="00AC4487" w:rsidR="003923AA">
        <w:t xml:space="preserve">ith regard to a waiver petition brought by the PR-USVI </w:t>
      </w:r>
      <w:r w:rsidR="00AF2071">
        <w:t xml:space="preserve">Fund </w:t>
      </w:r>
      <w:r w:rsidRPr="00AC4487" w:rsidR="003923AA">
        <w:t>Coalition</w:t>
      </w:r>
      <w:r w:rsidR="00521118">
        <w:t xml:space="preserve"> (Coalition)</w:t>
      </w:r>
      <w:r w:rsidRPr="00AC4487" w:rsidR="00EE4050">
        <w:t>,</w:t>
      </w:r>
      <w:r>
        <w:rPr>
          <w:rStyle w:val="FootnoteReference"/>
        </w:rPr>
        <w:footnoteReference w:id="7"/>
      </w:r>
      <w:r w:rsidRPr="00AC4487" w:rsidR="00EE4050">
        <w:t xml:space="preserve"> we waive</w:t>
      </w:r>
      <w:r w:rsidRPr="00AC4487" w:rsidR="008D5C1F">
        <w:t xml:space="preserve"> in part </w:t>
      </w:r>
      <w:r w:rsidRPr="00AC4487" w:rsidR="00631286">
        <w:t>the</w:t>
      </w:r>
      <w:r w:rsidRPr="00AC4487" w:rsidR="00EE4050">
        <w:t xml:space="preserve"> letter of credit </w:t>
      </w:r>
      <w:r w:rsidRPr="00AC4487" w:rsidR="00631286">
        <w:t xml:space="preserve">value </w:t>
      </w:r>
      <w:r w:rsidRPr="00AC4487" w:rsidR="00BC1A7B">
        <w:t>rules</w:t>
      </w:r>
      <w:r w:rsidRPr="00AC4487" w:rsidR="00EE4050">
        <w:t xml:space="preserve"> for </w:t>
      </w:r>
      <w:r w:rsidRPr="00AC4487" w:rsidR="00BC1A7B">
        <w:t>high-cost support recipients</w:t>
      </w:r>
      <w:r w:rsidR="00BF75A1">
        <w:t xml:space="preserve"> of</w:t>
      </w:r>
      <w:r w:rsidRPr="00AC4487" w:rsidR="00BC1A7B">
        <w:t xml:space="preserve"> </w:t>
      </w:r>
      <w:r w:rsidRPr="00AC4487" w:rsidR="00EE4050">
        <w:t xml:space="preserve">the Stage 2 </w:t>
      </w:r>
      <w:r w:rsidR="00E466A8">
        <w:t>competitive process</w:t>
      </w:r>
      <w:r w:rsidRPr="00AC4487" w:rsidR="00EE4050">
        <w:t xml:space="preserve"> </w:t>
      </w:r>
      <w:r w:rsidRPr="00AC4487" w:rsidR="00F51342">
        <w:t xml:space="preserve">and </w:t>
      </w:r>
      <w:r w:rsidR="001E6E7D">
        <w:t xml:space="preserve">direct support recipients to comply with the letter of credit value rules </w:t>
      </w:r>
      <w:r w:rsidRPr="00AC4487" w:rsidR="00F51342">
        <w:t xml:space="preserve">adopted </w:t>
      </w:r>
      <w:r w:rsidR="00FD1B57">
        <w:t xml:space="preserve">by the Commission </w:t>
      </w:r>
      <w:r w:rsidRPr="00AC4487" w:rsidR="00F51342">
        <w:t xml:space="preserve">in the </w:t>
      </w:r>
      <w:r w:rsidRPr="008449B1" w:rsidR="006571A6">
        <w:rPr>
          <w:i/>
          <w:iCs/>
        </w:rPr>
        <w:t xml:space="preserve">Rural Digital </w:t>
      </w:r>
      <w:r w:rsidRPr="008449B1" w:rsidR="006571A6">
        <w:rPr>
          <w:i/>
          <w:iCs/>
        </w:rPr>
        <w:t>Opportunity Fund</w:t>
      </w:r>
      <w:r w:rsidR="006571A6">
        <w:rPr>
          <w:i/>
          <w:iCs/>
        </w:rPr>
        <w:t xml:space="preserve"> Order</w:t>
      </w:r>
      <w:r w:rsidRPr="00AC4487" w:rsidR="00AC4487">
        <w:t>,</w:t>
      </w:r>
      <w:r w:rsidRPr="00EE12B3" w:rsidR="00EE12B3">
        <w:rPr>
          <w:rStyle w:val="FootnoteReference"/>
        </w:rPr>
        <w:t xml:space="preserve"> </w:t>
      </w:r>
      <w:r>
        <w:rPr>
          <w:rStyle w:val="FootnoteReference"/>
        </w:rPr>
        <w:footnoteReference w:id="8"/>
      </w:r>
      <w:r w:rsidRPr="00AC4487" w:rsidR="00AC4487">
        <w:t xml:space="preserve"> </w:t>
      </w:r>
      <w:r w:rsidRPr="00AC4487" w:rsidR="00BC1A7B">
        <w:t xml:space="preserve">and deny in part the </w:t>
      </w:r>
      <w:r w:rsidR="001E6E7D">
        <w:t xml:space="preserve">Coalition’s </w:t>
      </w:r>
      <w:r w:rsidRPr="00AC4487" w:rsidR="00BC1A7B">
        <w:t xml:space="preserve">waiver request as </w:t>
      </w:r>
      <w:r w:rsidRPr="00AC4487" w:rsidR="001F6070">
        <w:t>to the letter of credit commitment letter and Weiss bank safety rating</w:t>
      </w:r>
      <w:r w:rsidR="00FD1B57">
        <w:t xml:space="preserve"> requirements</w:t>
      </w:r>
      <w:r w:rsidRPr="00AC4487" w:rsidR="00EE4050">
        <w:t>.</w:t>
      </w:r>
      <w:r w:rsidRPr="00027F44" w:rsidR="00EE4050">
        <w:t xml:space="preserve">  </w:t>
      </w:r>
      <w:r>
        <w:t>By resolving these issues, we move closer to the Stage 2 competit</w:t>
      </w:r>
      <w:r w:rsidR="001E6E7D">
        <w:t>ive process</w:t>
      </w:r>
      <w:r>
        <w:t xml:space="preserve"> for fixed support</w:t>
      </w:r>
      <w:r w:rsidR="00A90D17">
        <w:t xml:space="preserve"> and</w:t>
      </w:r>
      <w:r>
        <w:t xml:space="preserve"> </w:t>
      </w:r>
      <w:r w:rsidR="000B1B58">
        <w:t xml:space="preserve">bringing </w:t>
      </w:r>
      <w:r>
        <w:t>advance</w:t>
      </w:r>
      <w:r w:rsidR="002F0381">
        <w:t>d</w:t>
      </w:r>
      <w:r>
        <w:t xml:space="preserve"> telecommunication services to all residents in the Territories.</w:t>
      </w:r>
    </w:p>
    <w:p w:rsidR="00082DAD" w:rsidP="001971EC" w14:paraId="53B602FA" w14:textId="77777777">
      <w:pPr>
        <w:pStyle w:val="Heading1"/>
        <w:tabs>
          <w:tab w:val="clear" w:pos="2610"/>
        </w:tabs>
        <w:ind w:left="720"/>
      </w:pPr>
      <w:r>
        <w:t>BACKGROUND</w:t>
      </w:r>
    </w:p>
    <w:p w:rsidR="00C702D8" w:rsidP="00AC0711" w14:paraId="089D05B8" w14:textId="77777777">
      <w:pPr>
        <w:pStyle w:val="ParaNum"/>
      </w:pPr>
      <w:r>
        <w:t>To promote efficient deployment of advanced, reliable services to all locations in the Territo</w:t>
      </w:r>
      <w:r w:rsidR="00224D8B">
        <w:t>r</w:t>
      </w:r>
      <w:r>
        <w:t xml:space="preserve">ies, in </w:t>
      </w:r>
      <w:r w:rsidR="006370B5">
        <w:t>the Uniendo a Puerto Rico Fund and</w:t>
      </w:r>
      <w:r w:rsidR="00136B26">
        <w:t xml:space="preserve"> the</w:t>
      </w:r>
      <w:r w:rsidR="006370B5">
        <w:t xml:space="preserve"> Connect USVI Fund, </w:t>
      </w:r>
      <w:r w:rsidR="00B52A7F">
        <w:t xml:space="preserve">the Commission </w:t>
      </w:r>
      <w:r w:rsidR="006370B5">
        <w:t>adopted</w:t>
      </w:r>
      <w:r w:rsidR="00C450BA">
        <w:t xml:space="preserve"> a</w:t>
      </w:r>
      <w:r w:rsidR="006370B5">
        <w:t xml:space="preserve"> single</w:t>
      </w:r>
      <w:r w:rsidR="00DD0B6D">
        <w:t xml:space="preserve">-round </w:t>
      </w:r>
      <w:r w:rsidR="006370B5">
        <w:t xml:space="preserve">competitive </w:t>
      </w:r>
      <w:r w:rsidR="00E916FD">
        <w:t xml:space="preserve">proposal </w:t>
      </w:r>
      <w:r w:rsidR="006370B5">
        <w:t>process</w:t>
      </w:r>
      <w:r w:rsidR="00082DAD">
        <w:t xml:space="preserve"> for </w:t>
      </w:r>
      <w:r w:rsidR="00E916FD">
        <w:t xml:space="preserve">Stage 2 </w:t>
      </w:r>
      <w:r w:rsidR="00082DAD">
        <w:t>fixed voice and broadband services</w:t>
      </w:r>
      <w:r w:rsidR="00AD5AA0">
        <w:t xml:space="preserve"> over a </w:t>
      </w:r>
      <w:r w:rsidR="00554624">
        <w:t>ten-</w:t>
      </w:r>
      <w:r w:rsidR="00AD5AA0">
        <w:t>year</w:t>
      </w:r>
      <w:r w:rsidR="00554624">
        <w:t xml:space="preserve"> support term</w:t>
      </w:r>
      <w:r>
        <w:t>.</w:t>
      </w:r>
      <w:r w:rsidR="00E916FD">
        <w:t xml:space="preserve"> </w:t>
      </w:r>
      <w:r w:rsidR="00D27B16">
        <w:t xml:space="preserve"> T</w:t>
      </w:r>
      <w:r w:rsidR="00476D79">
        <w:t xml:space="preserve">he </w:t>
      </w:r>
      <w:r w:rsidR="00445937">
        <w:t xml:space="preserve">Commission </w:t>
      </w:r>
      <w:r w:rsidR="00F40357">
        <w:t xml:space="preserve">directed the </w:t>
      </w:r>
      <w:r w:rsidR="00923685">
        <w:t xml:space="preserve">Bureau </w:t>
      </w:r>
      <w:r w:rsidR="00F40357">
        <w:t xml:space="preserve">to </w:t>
      </w:r>
      <w:r w:rsidR="00E916FD">
        <w:t>consider all application</w:t>
      </w:r>
      <w:r w:rsidR="00DD0B6D">
        <w:t xml:space="preserve">s submitted from </w:t>
      </w:r>
      <w:r w:rsidR="00D27B16">
        <w:t>qualified</w:t>
      </w:r>
      <w:r w:rsidR="00DD0B6D">
        <w:t xml:space="preserve"> fixed providers</w:t>
      </w:r>
      <w:r w:rsidR="00E916FD">
        <w:t xml:space="preserve"> simultaneously and select winning applicants based on the lowes</w:t>
      </w:r>
      <w:r w:rsidR="00DD0B6D">
        <w:t>t</w:t>
      </w:r>
      <w:r w:rsidR="00E916FD">
        <w:t xml:space="preserve"> score for a series of weighted objective criteria</w:t>
      </w:r>
      <w:r w:rsidR="00DD0B6D">
        <w:t xml:space="preserve"> for each of the 78 </w:t>
      </w:r>
      <w:r w:rsidR="006C1687">
        <w:t xml:space="preserve">designated </w:t>
      </w:r>
      <w:r w:rsidR="00DD0B6D">
        <w:t>geographic areas of Puerto Rico and two areas of the U.S. Virgin Islands</w:t>
      </w:r>
      <w:r w:rsidR="00E916FD">
        <w:t>.</w:t>
      </w:r>
      <w:r>
        <w:rPr>
          <w:rStyle w:val="FootnoteReference"/>
        </w:rPr>
        <w:footnoteReference w:id="9"/>
      </w:r>
    </w:p>
    <w:p w:rsidR="00B6682A" w:rsidP="00B6682A" w14:paraId="0AF10F9B" w14:textId="77777777">
      <w:pPr>
        <w:pStyle w:val="ParaNum"/>
      </w:pPr>
      <w:r>
        <w:rPr>
          <w:i/>
          <w:iCs/>
        </w:rPr>
        <w:t xml:space="preserve">Deployment Obligation for the Territories.  </w:t>
      </w:r>
      <w:r>
        <w:t xml:space="preserve">For the </w:t>
      </w:r>
      <w:r w:rsidR="001E1751">
        <w:t>Uniendo a Puerto Rico Fund and</w:t>
      </w:r>
      <w:r w:rsidR="00136B26">
        <w:t xml:space="preserve"> the</w:t>
      </w:r>
      <w:r w:rsidR="001E1751">
        <w:t xml:space="preserve"> </w:t>
      </w:r>
      <w:r w:rsidR="00A25B92">
        <w:t>Connect USVI Fund,</w:t>
      </w:r>
      <w:r>
        <w:t xml:space="preserve"> the Commission </w:t>
      </w:r>
      <w:r w:rsidR="007925A7">
        <w:t xml:space="preserve">will </w:t>
      </w:r>
      <w:r>
        <w:t xml:space="preserve">require each </w:t>
      </w:r>
      <w:r w:rsidR="00AE1BC0">
        <w:t xml:space="preserve">Stage 2 fixed </w:t>
      </w:r>
      <w:r>
        <w:t>winning participant to deploy to all locations within the municipio(s)/island(s) for which it is the winning applicant, thus ensuring the goal of resilient deployment to all locations.</w:t>
      </w:r>
      <w:r>
        <w:rPr>
          <w:rStyle w:val="FootnoteReference"/>
        </w:rPr>
        <w:footnoteReference w:id="10"/>
      </w:r>
      <w:r>
        <w:t xml:space="preserve">  In establishing the specific deployment obligations for each geographic area, the Commission  </w:t>
      </w:r>
      <w:r w:rsidR="00E14C7D">
        <w:t xml:space="preserve">directed the Bureau to </w:t>
      </w:r>
      <w:r w:rsidR="00E166CF">
        <w:t xml:space="preserve">use </w:t>
      </w:r>
      <w:r>
        <w:t xml:space="preserve">the latest Census Bureau data to determine the actual deployment obligation and </w:t>
      </w:r>
      <w:r w:rsidR="00E60827">
        <w:t xml:space="preserve">also </w:t>
      </w:r>
      <w:r w:rsidRPr="0055286D">
        <w:t>directed the Bureau “to publish . . . its determination of the number of locations per geographic area, based on the most recent publicly available Census Bureau data for the Territories.”</w:t>
      </w:r>
      <w:r>
        <w:rPr>
          <w:rStyle w:val="FootnoteReference"/>
        </w:rPr>
        <w:footnoteReference w:id="11"/>
      </w:r>
      <w:r>
        <w:t xml:space="preserve"> </w:t>
      </w:r>
    </w:p>
    <w:p w:rsidR="00312553" w:rsidP="00C76F5D" w14:paraId="5CF063C8" w14:textId="77777777">
      <w:pPr>
        <w:pStyle w:val="ParaNum"/>
        <w:widowControl/>
      </w:pPr>
      <w:r>
        <w:t xml:space="preserve">On December 19, 2019, the Bureau released a public notice </w:t>
      </w:r>
      <w:r w:rsidR="00496481">
        <w:t xml:space="preserve">announcing the </w:t>
      </w:r>
      <w:r>
        <w:t xml:space="preserve">reserve prices </w:t>
      </w:r>
      <w:r w:rsidR="001E6E7D">
        <w:t xml:space="preserve">and corresponding location data </w:t>
      </w:r>
      <w:r>
        <w:t>for the</w:t>
      </w:r>
      <w:r w:rsidR="001D5679">
        <w:t xml:space="preserve"> 78</w:t>
      </w:r>
      <w:r>
        <w:t xml:space="preserve"> </w:t>
      </w:r>
      <w:r w:rsidR="009C67B3">
        <w:t xml:space="preserve">geographic areas </w:t>
      </w:r>
      <w:r>
        <w:t xml:space="preserve">of Puerto Rico and 2 geographic areas of the </w:t>
      </w:r>
      <w:r w:rsidR="008D5AB2">
        <w:t xml:space="preserve">U.S. </w:t>
      </w:r>
      <w:r>
        <w:t>Virgin Islands.</w:t>
      </w:r>
      <w:r>
        <w:rPr>
          <w:rStyle w:val="FootnoteReference"/>
        </w:rPr>
        <w:footnoteReference w:id="12"/>
      </w:r>
      <w:r>
        <w:t xml:space="preserve">  </w:t>
      </w:r>
      <w:r w:rsidR="000042F0">
        <w:t xml:space="preserve">The </w:t>
      </w:r>
      <w:r w:rsidR="00815D11">
        <w:t xml:space="preserve">Bureau calculated the </w:t>
      </w:r>
      <w:r w:rsidR="00164EE9">
        <w:t>location data</w:t>
      </w:r>
      <w:r w:rsidR="00815D11">
        <w:t xml:space="preserve"> </w:t>
      </w:r>
      <w:r w:rsidR="004D208E">
        <w:t>using</w:t>
      </w:r>
      <w:r w:rsidR="005E3423">
        <w:t xml:space="preserve"> Commission staff estimates</w:t>
      </w:r>
      <w:r w:rsidR="004D208E">
        <w:t xml:space="preserve"> </w:t>
      </w:r>
      <w:r w:rsidR="007719A3">
        <w:t>of the number of housing units, households, and people</w:t>
      </w:r>
      <w:r w:rsidR="004B714D">
        <w:t xml:space="preserve"> </w:t>
      </w:r>
      <w:r w:rsidR="003A0154">
        <w:t>available</w:t>
      </w:r>
      <w:r w:rsidR="004D208E">
        <w:t xml:space="preserve"> on the FCC website</w:t>
      </w:r>
      <w:r w:rsidR="00B56453">
        <w:t xml:space="preserve">, which </w:t>
      </w:r>
      <w:r w:rsidR="00357B9E">
        <w:t>are</w:t>
      </w:r>
      <w:r w:rsidR="00B56453">
        <w:t xml:space="preserve"> </w:t>
      </w:r>
      <w:r w:rsidR="00357B9E">
        <w:t>determined using</w:t>
      </w:r>
      <w:r w:rsidR="00B56453">
        <w:t xml:space="preserve"> </w:t>
      </w:r>
      <w:r w:rsidR="000042F0">
        <w:t xml:space="preserve">public data from the U.S. Census Bureau and </w:t>
      </w:r>
      <w:r w:rsidR="00E04759">
        <w:t xml:space="preserve">other </w:t>
      </w:r>
      <w:r w:rsidR="00F3174E">
        <w:t>government and commercial data sources</w:t>
      </w:r>
      <w:r w:rsidR="000042F0">
        <w:t>.</w:t>
      </w:r>
      <w:r>
        <w:rPr>
          <w:rStyle w:val="FootnoteReference"/>
        </w:rPr>
        <w:footnoteReference w:id="13"/>
      </w:r>
      <w:r w:rsidR="000042F0">
        <w:t xml:space="preserve">  </w:t>
      </w:r>
      <w:r w:rsidR="00473873">
        <w:t xml:space="preserve">To </w:t>
      </w:r>
      <w:r w:rsidR="00EA08A3">
        <w:t xml:space="preserve">calculate </w:t>
      </w:r>
      <w:r w:rsidR="00473873">
        <w:t xml:space="preserve">the </w:t>
      </w:r>
      <w:r w:rsidR="00946553">
        <w:t xml:space="preserve">location data for Puerto Rico, the Bureau </w:t>
      </w:r>
      <w:r w:rsidR="00E166CF">
        <w:t xml:space="preserve">used </w:t>
      </w:r>
      <w:r w:rsidR="00816F95">
        <w:t>the Commission staff estimates</w:t>
      </w:r>
      <w:r w:rsidR="00CE2A14">
        <w:t xml:space="preserve"> for calendar year 2017</w:t>
      </w:r>
      <w:r w:rsidR="00F17299">
        <w:t xml:space="preserve">, </w:t>
      </w:r>
      <w:r w:rsidR="000D29FB">
        <w:t>which was the most recent data available</w:t>
      </w:r>
      <w:r w:rsidR="00325B6E">
        <w:t xml:space="preserve"> </w:t>
      </w:r>
      <w:r w:rsidR="001A36FC">
        <w:t xml:space="preserve">at the time </w:t>
      </w:r>
      <w:r w:rsidR="00325B6E">
        <w:t xml:space="preserve">and </w:t>
      </w:r>
      <w:r>
        <w:t xml:space="preserve">based on the 2017 Census Bureau </w:t>
      </w:r>
      <w:r w:rsidR="00E811C0">
        <w:t xml:space="preserve">mid-year </w:t>
      </w:r>
      <w:r>
        <w:t>housing units data and 2012 Economic Business Survey.</w:t>
      </w:r>
      <w:r>
        <w:rPr>
          <w:rStyle w:val="FootnoteReference"/>
        </w:rPr>
        <w:footnoteReference w:id="14"/>
      </w:r>
      <w:r>
        <w:t xml:space="preserve">  </w:t>
      </w:r>
      <w:r w:rsidR="00DB62E1">
        <w:t>For the U.S. Virgin Islands,</w:t>
      </w:r>
      <w:r w:rsidR="00D61A42">
        <w:t xml:space="preserve"> </w:t>
      </w:r>
      <w:r w:rsidR="00746914">
        <w:t xml:space="preserve">the </w:t>
      </w:r>
      <w:r w:rsidR="00E74F60">
        <w:t xml:space="preserve">Commission staff </w:t>
      </w:r>
      <w:r w:rsidR="00A41A5F">
        <w:t xml:space="preserve">used </w:t>
      </w:r>
      <w:r w:rsidR="004A5735">
        <w:t>2010 Census Bureau data</w:t>
      </w:r>
      <w:r w:rsidR="00A41A5F">
        <w:t xml:space="preserve"> because </w:t>
      </w:r>
      <w:r w:rsidR="002D3DA9">
        <w:t xml:space="preserve">it was the most current </w:t>
      </w:r>
      <w:r w:rsidR="00A41A5F">
        <w:t xml:space="preserve">U.S. Census Bureau </w:t>
      </w:r>
      <w:r w:rsidR="002D3DA9">
        <w:t xml:space="preserve">data available since the Census Bureau </w:t>
      </w:r>
      <w:r w:rsidR="00A41A5F">
        <w:t xml:space="preserve">does not provide an annual estimate for the </w:t>
      </w:r>
      <w:r w:rsidRPr="002D3DA9" w:rsidR="002D3DA9">
        <w:t>U.S. Virgin Islands</w:t>
      </w:r>
      <w:r w:rsidR="00A41A5F">
        <w:t xml:space="preserve">, as well as </w:t>
      </w:r>
      <w:r w:rsidR="00282E68">
        <w:t xml:space="preserve">government and </w:t>
      </w:r>
      <w:r w:rsidR="004A5735">
        <w:t>commercial data</w:t>
      </w:r>
      <w:r w:rsidR="00A41A5F">
        <w:t>,</w:t>
      </w:r>
      <w:r w:rsidR="004A5735">
        <w:t xml:space="preserve"> to </w:t>
      </w:r>
      <w:r w:rsidR="00735566">
        <w:t>calculate</w:t>
      </w:r>
      <w:r w:rsidR="004A5735">
        <w:t xml:space="preserve"> annual housing units estimates</w:t>
      </w:r>
      <w:r w:rsidR="005E3864">
        <w:t>.</w:t>
      </w:r>
      <w:r>
        <w:rPr>
          <w:rStyle w:val="FootnoteReference"/>
        </w:rPr>
        <w:footnoteReference w:id="15"/>
      </w:r>
      <w:r w:rsidR="005E3864">
        <w:t xml:space="preserve">  </w:t>
      </w:r>
      <w:r w:rsidR="005E419C">
        <w:t>Utilizing</w:t>
      </w:r>
      <w:r>
        <w:t xml:space="preserve"> the</w:t>
      </w:r>
      <w:r w:rsidR="00D03FC3">
        <w:t xml:space="preserve"> </w:t>
      </w:r>
      <w:r w:rsidR="00D03FC3">
        <w:t>Commission</w:t>
      </w:r>
      <w:r>
        <w:t xml:space="preserve"> staff estimates, the Bureau</w:t>
      </w:r>
      <w:r w:rsidR="009B6FB1">
        <w:t xml:space="preserve"> </w:t>
      </w:r>
      <w:r w:rsidR="00A41A5F">
        <w:t xml:space="preserve">announced </w:t>
      </w:r>
      <w:r w:rsidR="00AA3594">
        <w:t xml:space="preserve">in the </w:t>
      </w:r>
      <w:r w:rsidRPr="00420B0F" w:rsidR="00420B0F">
        <w:rPr>
          <w:i/>
        </w:rPr>
        <w:t>Reserve Prices Public Notice</w:t>
      </w:r>
      <w:r w:rsidR="00A41A5F">
        <w:rPr>
          <w:i/>
        </w:rPr>
        <w:t xml:space="preserve"> </w:t>
      </w:r>
      <w:r>
        <w:t xml:space="preserve">a total of 61,183 locations </w:t>
      </w:r>
      <w:r w:rsidR="0023726A">
        <w:t xml:space="preserve">for </w:t>
      </w:r>
      <w:r>
        <w:t xml:space="preserve">the </w:t>
      </w:r>
      <w:r w:rsidR="00000DA6">
        <w:t xml:space="preserve">two geographic areas of the </w:t>
      </w:r>
      <w:r w:rsidR="0023726A">
        <w:t xml:space="preserve">U.S. </w:t>
      </w:r>
      <w:r>
        <w:t>Virgin Islands.</w:t>
      </w:r>
      <w:r>
        <w:rPr>
          <w:rStyle w:val="FootnoteReference"/>
        </w:rPr>
        <w:footnoteReference w:id="16"/>
      </w:r>
    </w:p>
    <w:p w:rsidR="00BA7CA9" w:rsidP="00713B36" w14:paraId="0D30CB86" w14:textId="77777777">
      <w:pPr>
        <w:pStyle w:val="ParaNum"/>
      </w:pPr>
      <w:r w:rsidRPr="00D4497A">
        <w:t xml:space="preserve">On January 21, 2020, Viya filed a petition for reconsideration </w:t>
      </w:r>
      <w:r w:rsidR="00A41A5F">
        <w:t xml:space="preserve">with the Bureau </w:t>
      </w:r>
      <w:r w:rsidRPr="00D4497A">
        <w:t xml:space="preserve">of the </w:t>
      </w:r>
      <w:r w:rsidRPr="00420B0F" w:rsidR="00420B0F">
        <w:rPr>
          <w:i/>
        </w:rPr>
        <w:t>Reserve Prices Public Notice</w:t>
      </w:r>
      <w:r w:rsidRPr="00D4497A">
        <w:t xml:space="preserve"> as to the </w:t>
      </w:r>
      <w:r w:rsidR="00164FAE">
        <w:t xml:space="preserve">U.S. </w:t>
      </w:r>
      <w:r w:rsidRPr="00D4497A">
        <w:t>Virgin Islands.</w:t>
      </w:r>
      <w:r>
        <w:rPr>
          <w:rStyle w:val="FootnoteReference"/>
        </w:rPr>
        <w:footnoteReference w:id="17"/>
      </w:r>
      <w:r w:rsidRPr="00D4497A">
        <w:t xml:space="preserve">  Viya argued that</w:t>
      </w:r>
      <w:r w:rsidR="00C160CB">
        <w:t xml:space="preserve"> the Bureau failed to </w:t>
      </w:r>
      <w:r w:rsidR="002338C3">
        <w:t xml:space="preserve">follow the Commission’s direction in the </w:t>
      </w:r>
      <w:r w:rsidRPr="00FA582D" w:rsidR="002338C3">
        <w:rPr>
          <w:i/>
          <w:iCs/>
        </w:rPr>
        <w:t>PR-USVI Stage 2 Order</w:t>
      </w:r>
      <w:r w:rsidR="002338C3">
        <w:t xml:space="preserve"> to calculate the location counts </w:t>
      </w:r>
      <w:r w:rsidR="005D5A4F">
        <w:t xml:space="preserve">because </w:t>
      </w:r>
      <w:r w:rsidR="00234073">
        <w:t xml:space="preserve">the use of </w:t>
      </w:r>
      <w:r w:rsidR="000F199A">
        <w:t xml:space="preserve">Commission staff estimates </w:t>
      </w:r>
      <w:r w:rsidR="00D4447B">
        <w:t xml:space="preserve">“represent </w:t>
      </w:r>
      <w:r w:rsidR="0085564C">
        <w:t>an analysis of commercial and other data source</w:t>
      </w:r>
      <w:r w:rsidR="0028073E">
        <w:t>s</w:t>
      </w:r>
      <w:r w:rsidR="0085564C">
        <w:t xml:space="preserve"> compiled by the Commission staff</w:t>
      </w:r>
      <w:r w:rsidR="00D4447B">
        <w:t>[</w:t>
      </w:r>
      <w:r w:rsidR="0085564C">
        <w:t>.</w:t>
      </w:r>
      <w:r w:rsidR="00D4447B">
        <w:t>]”</w:t>
      </w:r>
      <w:r>
        <w:rPr>
          <w:rStyle w:val="FootnoteReference"/>
        </w:rPr>
        <w:footnoteReference w:id="18"/>
      </w:r>
      <w:r w:rsidR="00DC6099">
        <w:t xml:space="preserve">  According to Viya, </w:t>
      </w:r>
      <w:r w:rsidR="00E31A26">
        <w:t xml:space="preserve">the </w:t>
      </w:r>
      <w:r w:rsidR="00EF00B9">
        <w:t xml:space="preserve">Commission </w:t>
      </w:r>
      <w:r w:rsidR="00763CFA">
        <w:t>d</w:t>
      </w:r>
      <w:r w:rsidR="0039351E">
        <w:t xml:space="preserve">id not </w:t>
      </w:r>
      <w:r w:rsidR="00257B44">
        <w:t xml:space="preserve">provide </w:t>
      </w:r>
      <w:r w:rsidR="0039351E">
        <w:t>the Bureau “with discretion to update the data using other sources</w:t>
      </w:r>
      <w:r w:rsidR="00E12A4E">
        <w:t xml:space="preserve">” and </w:t>
      </w:r>
      <w:r w:rsidR="0031577E">
        <w:t>the Bureau should calculate the location data for Stage 2 fixed support solely using 2010 or 2020 Census data.</w:t>
      </w:r>
      <w:r w:rsidR="002C5B10">
        <w:rPr>
          <w:rStyle w:val="FootnoteReference"/>
        </w:rPr>
        <w:t xml:space="preserve"> </w:t>
      </w:r>
      <w:r w:rsidR="00D44DAE">
        <w:t xml:space="preserve"> </w:t>
      </w:r>
      <w:r w:rsidR="00CD23E5">
        <w:t xml:space="preserve">In addition, Viya </w:t>
      </w:r>
      <w:r w:rsidR="002B253F">
        <w:t xml:space="preserve">seeks reconsideration </w:t>
      </w:r>
      <w:r w:rsidR="00C057AF">
        <w:t>of the location data</w:t>
      </w:r>
      <w:r w:rsidR="00936569">
        <w:t xml:space="preserve"> </w:t>
      </w:r>
      <w:r w:rsidR="002E5399">
        <w:t xml:space="preserve">for the U.S. Virgin Islands </w:t>
      </w:r>
      <w:r w:rsidR="00936569">
        <w:t xml:space="preserve">released </w:t>
      </w:r>
      <w:r w:rsidR="002E5399">
        <w:t>in the</w:t>
      </w:r>
      <w:r w:rsidR="00D91601">
        <w:t xml:space="preserve"> </w:t>
      </w:r>
      <w:r w:rsidRPr="00BD2822" w:rsidR="00D91601">
        <w:rPr>
          <w:i/>
          <w:iCs/>
        </w:rPr>
        <w:t>Reserve Prices Public Notice</w:t>
      </w:r>
      <w:r w:rsidR="0042297C">
        <w:t>,</w:t>
      </w:r>
      <w:r w:rsidR="00D538BE">
        <w:t xml:space="preserve"> </w:t>
      </w:r>
      <w:r w:rsidR="00537D0B">
        <w:t xml:space="preserve">asserting that </w:t>
      </w:r>
      <w:r w:rsidR="00D538BE">
        <w:t xml:space="preserve">the use of </w:t>
      </w:r>
      <w:r w:rsidR="000424CA">
        <w:t>other data sources resul</w:t>
      </w:r>
      <w:r w:rsidR="00E171FC">
        <w:t xml:space="preserve">ted in </w:t>
      </w:r>
      <w:r w:rsidR="00CF2DC5">
        <w:t xml:space="preserve">inaccurate </w:t>
      </w:r>
      <w:r w:rsidR="00E171FC">
        <w:t>location counts</w:t>
      </w:r>
      <w:r w:rsidR="00522AC1">
        <w:t xml:space="preserve"> and </w:t>
      </w:r>
      <w:r w:rsidRPr="00D4497A">
        <w:t xml:space="preserve">erroneously </w:t>
      </w:r>
      <w:r w:rsidR="008440A3">
        <w:t xml:space="preserve">double-counted </w:t>
      </w:r>
      <w:r w:rsidRPr="00D4497A">
        <w:t>2,414 business locations.</w:t>
      </w:r>
      <w:r>
        <w:rPr>
          <w:rStyle w:val="FootnoteReference"/>
        </w:rPr>
        <w:footnoteReference w:id="19"/>
      </w:r>
      <w:r w:rsidRPr="00D4497A" w:rsidR="00661DAF">
        <w:t xml:space="preserve"> </w:t>
      </w:r>
    </w:p>
    <w:p w:rsidR="009F7E6F" w:rsidP="00713B36" w14:paraId="23FC7B52" w14:textId="77777777">
      <w:pPr>
        <w:pStyle w:val="ParaNum"/>
      </w:pPr>
      <w:r>
        <w:t>Puerto Rico Telephone Company</w:t>
      </w:r>
      <w:r w:rsidR="001539A2">
        <w:t xml:space="preserve"> (PRTC)</w:t>
      </w:r>
      <w:r>
        <w:t xml:space="preserve">, Broadband VI, and AeroNet Wireless Broadband </w:t>
      </w:r>
      <w:r w:rsidR="00DB5A94">
        <w:t xml:space="preserve">(AeroNet) </w:t>
      </w:r>
      <w:r>
        <w:t xml:space="preserve">each </w:t>
      </w:r>
      <w:r w:rsidR="00D24559">
        <w:t>submitted comments indicating that they were likewise</w:t>
      </w:r>
      <w:r>
        <w:t xml:space="preserve"> concerned with the location data published for Puerto Rico.</w:t>
      </w:r>
      <w:r>
        <w:rPr>
          <w:rStyle w:val="FootnoteReference"/>
        </w:rPr>
        <w:footnoteReference w:id="20"/>
      </w:r>
      <w:r w:rsidR="00BD178E">
        <w:t xml:space="preserve">  </w:t>
      </w:r>
      <w:r w:rsidR="00DA087E">
        <w:t xml:space="preserve">In particular, </w:t>
      </w:r>
      <w:r w:rsidR="00C65A01">
        <w:t>PRTC</w:t>
      </w:r>
      <w:r w:rsidR="009549AB">
        <w:t xml:space="preserve"> </w:t>
      </w:r>
      <w:r w:rsidR="0087655E">
        <w:t xml:space="preserve">contests the Bureau’s use of </w:t>
      </w:r>
      <w:r w:rsidR="0072024C">
        <w:t xml:space="preserve">2017 housing unit data </w:t>
      </w:r>
      <w:r w:rsidR="00702B81">
        <w:t>“</w:t>
      </w:r>
      <w:r w:rsidR="0072024C">
        <w:t>when more recent 2018 data are avai</w:t>
      </w:r>
      <w:r w:rsidR="00053808">
        <w:t>lable</w:t>
      </w:r>
      <w:r w:rsidR="00851ADC">
        <w:t>, particular</w:t>
      </w:r>
      <w:r w:rsidR="00595445">
        <w:t>ly give</w:t>
      </w:r>
      <w:r w:rsidR="00A13EEE">
        <w:t>n</w:t>
      </w:r>
      <w:r w:rsidR="00595445">
        <w:t xml:space="preserve"> the Commission’s instructions to the Bureau to determine the number of locations ‘based on the most recently publicly available Census </w:t>
      </w:r>
      <w:r w:rsidR="00802721">
        <w:t xml:space="preserve">Bureau data for the </w:t>
      </w:r>
      <w:r w:rsidR="00702B81">
        <w:t>Territories</w:t>
      </w:r>
      <w:r w:rsidR="00802721">
        <w:t>’”</w:t>
      </w:r>
      <w:r>
        <w:rPr>
          <w:rStyle w:val="FootnoteReference"/>
        </w:rPr>
        <w:footnoteReference w:id="21"/>
      </w:r>
      <w:r w:rsidR="00EE2BC6">
        <w:t xml:space="preserve">  </w:t>
      </w:r>
      <w:r w:rsidR="001E1E68">
        <w:t xml:space="preserve">In addition, </w:t>
      </w:r>
      <w:r w:rsidR="00C5089F">
        <w:t>PRTC, Broadband</w:t>
      </w:r>
      <w:r w:rsidR="00A57B2C">
        <w:t xml:space="preserve"> VI, and AeroNet </w:t>
      </w:r>
      <w:r w:rsidR="00134C37">
        <w:t xml:space="preserve">advocated for </w:t>
      </w:r>
      <w:r w:rsidR="004C248C">
        <w:t>the modification</w:t>
      </w:r>
      <w:r w:rsidR="00BD178E">
        <w:t xml:space="preserve"> of the location data</w:t>
      </w:r>
      <w:r w:rsidR="00CC1646">
        <w:t xml:space="preserve"> process adopted for the </w:t>
      </w:r>
      <w:r w:rsidR="00285AE2">
        <w:t>Uniendo a Puerto Rico Fund and the Connect USVI Fund</w:t>
      </w:r>
      <w:r w:rsidR="004C248C">
        <w:t xml:space="preserve"> </w:t>
      </w:r>
      <w:r w:rsidR="008A725E">
        <w:t xml:space="preserve">to be </w:t>
      </w:r>
      <w:r w:rsidR="00193069">
        <w:t xml:space="preserve">nearly identical with the </w:t>
      </w:r>
      <w:r w:rsidRPr="005D7608" w:rsidR="00193069">
        <w:rPr>
          <w:i/>
          <w:iCs/>
        </w:rPr>
        <w:t>Rural Digital Opportunity Fund</w:t>
      </w:r>
      <w:r w:rsidRPr="005D7608" w:rsidR="00B15299">
        <w:rPr>
          <w:i/>
          <w:iCs/>
        </w:rPr>
        <w:t xml:space="preserve"> Order</w:t>
      </w:r>
      <w:r w:rsidR="00285AE2">
        <w:t>.</w:t>
      </w:r>
      <w:r>
        <w:rPr>
          <w:rStyle w:val="FootnoteReference"/>
        </w:rPr>
        <w:footnoteReference w:id="22"/>
      </w:r>
    </w:p>
    <w:p w:rsidR="007350D2" w:rsidP="007350D2" w14:paraId="2813AFA3" w14:textId="77777777">
      <w:pPr>
        <w:pStyle w:val="ParaNum"/>
      </w:pPr>
      <w:r>
        <w:rPr>
          <w:i/>
          <w:iCs/>
        </w:rPr>
        <w:t xml:space="preserve">Location Adjustment Process.  </w:t>
      </w:r>
      <w:r>
        <w:t xml:space="preserve">In the </w:t>
      </w:r>
      <w:r w:rsidRPr="00A25D23">
        <w:rPr>
          <w:i/>
          <w:iCs/>
        </w:rPr>
        <w:t>PR-USVI Stage 2 Order</w:t>
      </w:r>
      <w:r>
        <w:t>, the Commission established a location adjustment process to resolve discrepancies between expected and actual locations to which the winning applicant must deploy qualifying broadband.</w:t>
      </w:r>
      <w:r>
        <w:rPr>
          <w:rStyle w:val="FootnoteReference"/>
        </w:rPr>
        <w:footnoteReference w:id="23"/>
      </w:r>
      <w:r>
        <w:t xml:space="preserve">  The Commission adopted the location adjustment process given the uncertainty of the accuracy of location data following the </w:t>
      </w:r>
      <w:r>
        <w:t>hurricanes and due to the compelling need to adequately verify the number of locations for deployment to all locations in both Puerto Rico and the U.S. Virgin Islands.</w:t>
      </w:r>
      <w:r>
        <w:rPr>
          <w:rStyle w:val="FootnoteReference"/>
        </w:rPr>
        <w:footnoteReference w:id="24"/>
      </w:r>
      <w:r>
        <w:t xml:space="preserve">  The Commission adopted a mandatory one-year location adjustment process and a voluntary fifth-year reassessment to mitigate any remaining issues with location accuracy and make adjustments to final deployment obligations.</w:t>
      </w:r>
      <w:r>
        <w:rPr>
          <w:rStyle w:val="FootnoteReference"/>
        </w:rPr>
        <w:footnoteReference w:id="25"/>
      </w:r>
      <w:r>
        <w:t xml:space="preserve">  The Commission believed the location adjustment process would encourage participation in the Stage 2 fixed competitive process by providing applicants who may be reluctant to apply because of possible location count discrepancies with an outlet to resolve these discrepancies.</w:t>
      </w:r>
      <w:r>
        <w:rPr>
          <w:rStyle w:val="FootnoteReference"/>
        </w:rPr>
        <w:footnoteReference w:id="26"/>
      </w:r>
    </w:p>
    <w:p w:rsidR="007350D2" w:rsidP="007350D2" w14:paraId="1645D88F" w14:textId="77777777">
      <w:pPr>
        <w:pStyle w:val="ParaNum"/>
      </w:pPr>
      <w:r>
        <w:t>Under the location adjustment process, the Commission will reduce the deployment obligation of</w:t>
      </w:r>
      <w:r w:rsidRPr="0055286D">
        <w:t xml:space="preserve"> a </w:t>
      </w:r>
      <w:r>
        <w:t xml:space="preserve">support recipient if the recipient demonstrates that it is </w:t>
      </w:r>
      <w:r w:rsidRPr="0055286D">
        <w:t xml:space="preserve">unable to identify </w:t>
      </w:r>
      <w:r>
        <w:t xml:space="preserve">enough </w:t>
      </w:r>
      <w:r w:rsidRPr="0055286D">
        <w:t xml:space="preserve">locations </w:t>
      </w:r>
      <w:r>
        <w:t>to which it can deploy voice and broadband services.</w:t>
      </w:r>
      <w:r>
        <w:rPr>
          <w:rStyle w:val="FootnoteReference"/>
        </w:rPr>
        <w:footnoteReference w:id="27"/>
      </w:r>
      <w:r>
        <w:t xml:space="preserve">  The Commission further provided that a winning applicant’s </w:t>
      </w:r>
      <w:r w:rsidRPr="0055286D">
        <w:t xml:space="preserve">support will be reduced on a </w:t>
      </w:r>
      <w:r w:rsidRPr="00FF3977" w:rsidR="00FF3977">
        <w:rPr>
          <w:i/>
          <w:iCs/>
        </w:rPr>
        <w:t>pro rata</w:t>
      </w:r>
      <w:r w:rsidRPr="0055286D">
        <w:t xml:space="preserve"> basis</w:t>
      </w:r>
      <w:r>
        <w:t xml:space="preserve"> if there is a reduction in the support recipient’s total location obligation, reasoning that an applicant’s proposal should reflect informed business determinations of the costs and support amount required to satisfy its commitments, and that the Fund should “not be accountable for the incorrect assumptions in a carrier’s proposal.”</w:t>
      </w:r>
      <w:r>
        <w:rPr>
          <w:rStyle w:val="FootnoteReference"/>
        </w:rPr>
        <w:footnoteReference w:id="28"/>
      </w:r>
      <w:r>
        <w:t xml:space="preserve">  The Commission also noted that it did “not wish to provide support for non-existent locations” and declined to adopt PRTC’s proposal to apply a </w:t>
      </w:r>
      <w:r w:rsidRPr="00FF3977" w:rsidR="00FF3977">
        <w:rPr>
          <w:i/>
          <w:iCs/>
        </w:rPr>
        <w:t>pro rata</w:t>
      </w:r>
      <w:r>
        <w:t xml:space="preserve"> reduction only when the final number of locations is less than 90% of the total locations.</w:t>
      </w:r>
      <w:r>
        <w:rPr>
          <w:rStyle w:val="FootnoteReference"/>
        </w:rPr>
        <w:footnoteReference w:id="29"/>
      </w:r>
      <w:r>
        <w:t xml:space="preserve">  The Commission delegated to the Bureau the implementation of the Stage 2 location adjustment process.</w:t>
      </w:r>
      <w:r>
        <w:rPr>
          <w:rStyle w:val="FootnoteReference"/>
        </w:rPr>
        <w:footnoteReference w:id="30"/>
      </w:r>
    </w:p>
    <w:p w:rsidR="007350D2" w:rsidP="00C4342F" w14:paraId="10919F59" w14:textId="77777777">
      <w:pPr>
        <w:pStyle w:val="ParaNum"/>
        <w:widowControl/>
      </w:pPr>
      <w:r>
        <w:t xml:space="preserve">On January 30, 2020, the Commission adopted the </w:t>
      </w:r>
      <w:r w:rsidRPr="00764D9C">
        <w:rPr>
          <w:i/>
          <w:iCs/>
        </w:rPr>
        <w:t>Rural Digital Opportunity Fund Order</w:t>
      </w:r>
      <w:r>
        <w:rPr>
          <w:i/>
          <w:iCs/>
        </w:rPr>
        <w:t xml:space="preserve"> </w:t>
      </w:r>
      <w:r>
        <w:t>to</w:t>
      </w:r>
      <w:r w:rsidRPr="000A6E50">
        <w:t xml:space="preserve"> bring high</w:t>
      </w:r>
      <w:r>
        <w:t>-</w:t>
      </w:r>
      <w:r w:rsidRPr="000A6E50">
        <w:t xml:space="preserve">speed fixed broadband service to </w:t>
      </w:r>
      <w:r>
        <w:t xml:space="preserve">unserved </w:t>
      </w:r>
      <w:r w:rsidRPr="000A6E50">
        <w:t>rural homes and small businesses</w:t>
      </w:r>
      <w:r>
        <w:t xml:space="preserve"> on the mainland.  The Commission adopted a location adjustment process to account for possible disparities between the location counts and the actual number of locations in a winning bidder’s service territory for the Rural Digital Opportunity Fund, but with differences from the Uniendo a Puerto Rico Fund and the Connect USVI Fund.</w:t>
      </w:r>
      <w:r>
        <w:rPr>
          <w:rStyle w:val="FootnoteReference"/>
        </w:rPr>
        <w:footnoteReference w:id="31"/>
      </w:r>
      <w:r>
        <w:t xml:space="preserve">  Specifically, the Commission directed the Bureau to conduct a location adjustment process to revise the location counts no later than the end of service milestone year six.</w:t>
      </w:r>
      <w:r>
        <w:rPr>
          <w:rStyle w:val="FootnoteReference"/>
        </w:rPr>
        <w:footnoteReference w:id="32"/>
      </w:r>
      <w:r>
        <w:t xml:space="preserve">  The Commission also provided that it would not reduce support if the updated location counts indicate fewer actual locations in the awarded areas in most circumstances.</w:t>
      </w:r>
      <w:r>
        <w:rPr>
          <w:rStyle w:val="FootnoteReference"/>
        </w:rPr>
        <w:footnoteReference w:id="33"/>
      </w:r>
      <w:r>
        <w:t xml:space="preserve">  At the same time, the Commission also required support recipients to deploy to additional new locations in geographic areas where the location </w:t>
      </w:r>
      <w:r>
        <w:t>adjustment process identified an increased number of locations, but the Commission gave support recipients an additional two years to deploy service to these new locations.</w:t>
      </w:r>
      <w:r>
        <w:rPr>
          <w:rStyle w:val="FootnoteReference"/>
        </w:rPr>
        <w:footnoteReference w:id="34"/>
      </w:r>
    </w:p>
    <w:p w:rsidR="007350D2" w:rsidP="007350D2" w14:paraId="3D9AD20E" w14:textId="77777777">
      <w:pPr>
        <w:pStyle w:val="ParaNum"/>
      </w:pPr>
      <w:r>
        <w:t xml:space="preserve">In its Reconsideration </w:t>
      </w:r>
      <w:r w:rsidR="005E2B77">
        <w:t xml:space="preserve">Petition </w:t>
      </w:r>
      <w:r>
        <w:t>of the location data for geographic areas in the U.S. Virgin Islands,</w:t>
      </w:r>
      <w:r w:rsidRPr="00D4497A">
        <w:t xml:space="preserve"> Viya </w:t>
      </w:r>
      <w:r>
        <w:t>noted the “inconsistent” treatment between the location adjustment processes adopted for the Uniendo a Puerto Rico Fund and the Connect USVI Fund, and the different location adjustment approach proposed in the publicly available draft order for the Rural Digital Opportunity Fund</w:t>
      </w:r>
      <w:r w:rsidRPr="00D4497A">
        <w:t>.</w:t>
      </w:r>
      <w:r>
        <w:rPr>
          <w:rStyle w:val="FootnoteReference"/>
        </w:rPr>
        <w:footnoteReference w:id="35"/>
      </w:r>
      <w:r>
        <w:t xml:space="preserve">  Although Viya did not seek reconsideration of the Commission’s location adjustment procedures, Viya did argue for a prospective waiver of the </w:t>
      </w:r>
      <w:r w:rsidRPr="00FF3977" w:rsidR="00FF3977">
        <w:rPr>
          <w:i/>
          <w:iCs/>
        </w:rPr>
        <w:t>pro rata</w:t>
      </w:r>
      <w:r>
        <w:t xml:space="preserve"> support reduction requirement in the Uniendo a Puerto Rico Fund and the Connect USVI Fund to align with the Rural Digital Opportunity Fund.</w:t>
      </w:r>
      <w:r>
        <w:rPr>
          <w:rStyle w:val="FootnoteReference"/>
        </w:rPr>
        <w:footnoteReference w:id="36"/>
      </w:r>
      <w:r>
        <w:t xml:space="preserve">  PRTC and Broadband VI submitted comments in support of Viya’s Reconsideration Petition and requested reconsideration or a review of the location adjustment process, including the </w:t>
      </w:r>
      <w:r w:rsidRPr="00FF3977" w:rsidR="00FF3977">
        <w:rPr>
          <w:i/>
          <w:iCs/>
        </w:rPr>
        <w:t>pro rata</w:t>
      </w:r>
      <w:r>
        <w:t xml:space="preserve"> support reduction, for the Uniendo a Puerto Rico Fund.</w:t>
      </w:r>
      <w:r>
        <w:rPr>
          <w:vertAlign w:val="superscript"/>
        </w:rPr>
        <w:footnoteReference w:id="37"/>
      </w:r>
      <w:r>
        <w:t xml:space="preserve">  </w:t>
      </w:r>
    </w:p>
    <w:p w:rsidR="00E53754" w:rsidP="00E53754" w14:paraId="777929D1" w14:textId="77777777">
      <w:pPr>
        <w:pStyle w:val="ParaNum"/>
      </w:pPr>
      <w:r>
        <w:rPr>
          <w:i/>
          <w:iCs/>
        </w:rPr>
        <w:t>Letter of Credit</w:t>
      </w:r>
      <w:r w:rsidR="00F970AE">
        <w:rPr>
          <w:i/>
          <w:iCs/>
        </w:rPr>
        <w:t xml:space="preserve"> Requirements</w:t>
      </w:r>
      <w:r>
        <w:rPr>
          <w:i/>
          <w:iCs/>
        </w:rPr>
        <w:t xml:space="preserve">.  </w:t>
      </w:r>
      <w:r>
        <w:t xml:space="preserve">In the </w:t>
      </w:r>
      <w:r w:rsidRPr="007747E9">
        <w:rPr>
          <w:i/>
          <w:iCs/>
        </w:rPr>
        <w:t>PR-USVI Stage 2 Order</w:t>
      </w:r>
      <w:r>
        <w:t>, the Commission required winners to obtain an irrevocable letter of credit from an acceptable financial institution in order to receive support as an effective means of securing the Commission’s financial commitment to provide high-cost support.</w:t>
      </w:r>
      <w:r>
        <w:rPr>
          <w:rStyle w:val="FootnoteReference"/>
        </w:rPr>
        <w:footnoteReference w:id="38"/>
      </w:r>
      <w:r>
        <w:t xml:space="preserve">  The Commission also explained that letters of credit protect the integrity of scarce universal service funds that have been disbursed and permit it to reclaim that support in the event a recipient is not using the funds in accordance with the Commission’s rules.</w:t>
      </w:r>
      <w:r>
        <w:rPr>
          <w:rStyle w:val="FootnoteReference"/>
        </w:rPr>
        <w:footnoteReference w:id="39"/>
      </w:r>
      <w:r>
        <w:t xml:space="preserve">  </w:t>
      </w:r>
    </w:p>
    <w:p w:rsidR="00E53754" w:rsidP="00E53754" w14:paraId="7E4622BE" w14:textId="77777777">
      <w:pPr>
        <w:pStyle w:val="ParaNum"/>
      </w:pPr>
      <w:r>
        <w:t>Under the letter of credit requirements, the Commission required a winning applicant to secure a letter of credit with value at least “equal to the first year of authorized support.”</w:t>
      </w:r>
      <w:r>
        <w:rPr>
          <w:rStyle w:val="FootnoteReference"/>
        </w:rPr>
        <w:footnoteReference w:id="40"/>
      </w:r>
      <w:r>
        <w:t xml:space="preserve">  Before receiving support for the following year, a support recipient “must modify, renew, or obtain a new letter of credit to ensure that it is valued at the total amount that has already been disbursed plus the amount of money that is going to be provided the following year.”</w:t>
      </w:r>
      <w:r>
        <w:rPr>
          <w:rStyle w:val="FootnoteReference"/>
        </w:rPr>
        <w:footnoteReference w:id="41"/>
      </w:r>
      <w:r>
        <w:t xml:space="preserve">  The Commission also provided for the reduction of the amount of the letter of credit once the support recipient meets the 60% and 80% service milestones.</w:t>
      </w:r>
      <w:r>
        <w:rPr>
          <w:rStyle w:val="FootnoteReference"/>
        </w:rPr>
        <w:footnoteReference w:id="42"/>
      </w:r>
      <w:r>
        <w:t xml:space="preserve">  The letter of credit must remain open until the recipient has certified it has deployed broadband and voice service to 100% of all locations in the geographic area and USAC has verified that the recipient has fully deployed.</w:t>
      </w:r>
      <w:r>
        <w:rPr>
          <w:rStyle w:val="FootnoteReference"/>
        </w:rPr>
        <w:footnoteReference w:id="43"/>
      </w:r>
    </w:p>
    <w:p w:rsidR="00E53754" w:rsidP="00E53754" w14:paraId="63AFE1E9" w14:textId="77777777">
      <w:pPr>
        <w:pStyle w:val="ParaNum"/>
      </w:pPr>
      <w:r>
        <w:t xml:space="preserve">For the Rural Digital Opportunity Fund, the Commission also adopted letter of credit requirements for auction winners, except it modified certain requirements so they differ from the letter of </w:t>
      </w:r>
      <w:r>
        <w:t xml:space="preserve">credit requirements in the </w:t>
      </w:r>
      <w:r w:rsidRPr="00D77C0D">
        <w:rPr>
          <w:i/>
          <w:iCs/>
        </w:rPr>
        <w:t>PR-USVI Stage 2 Order</w:t>
      </w:r>
      <w:r>
        <w:t>.</w:t>
      </w:r>
      <w:r>
        <w:rPr>
          <w:rStyle w:val="FootnoteReference"/>
        </w:rPr>
        <w:footnoteReference w:id="44"/>
      </w:r>
      <w:r>
        <w:t xml:space="preserve">  Under these modified rules, the Commission permits a support recipient to reduce the amount of its letter of credit as it meets service milestones and USAC verifies each milestone’s completion.</w:t>
      </w:r>
      <w:r>
        <w:rPr>
          <w:rStyle w:val="FootnoteReference"/>
        </w:rPr>
        <w:footnoteReference w:id="45"/>
      </w:r>
      <w:r>
        <w:t xml:space="preserve">  In adopting these modified requirements for the letter of credit, the Commission carefully balanced the interest of potential support recipients in minimizing their financial cost over the course of the deployment term with the Commission’s interest to protect universal service fund support.</w:t>
      </w:r>
      <w:r>
        <w:rPr>
          <w:rStyle w:val="FootnoteReference"/>
        </w:rPr>
        <w:footnoteReference w:id="46"/>
      </w:r>
    </w:p>
    <w:p w:rsidR="00E53754" w:rsidP="00E53754" w14:paraId="6D7A9077" w14:textId="77777777">
      <w:pPr>
        <w:pStyle w:val="ParaNum"/>
      </w:pPr>
      <w:r>
        <w:t>The Coalition, which is comprised of certain carriers that state they are eligible to participate in the Stage 2 fixed competitive process,</w:t>
      </w:r>
      <w:r>
        <w:rPr>
          <w:rStyle w:val="FootnoteReference"/>
        </w:rPr>
        <w:footnoteReference w:id="47"/>
      </w:r>
      <w:r>
        <w:t xml:space="preserve"> petitions for a waiver of certain letter of credit requirements, citing challenging financial conditions in the Territories, the impact of the COVID-19 pandemic, and the Commission’s willingness to adopt different letter of credit requirements for the Rural Digital Opportunity Fund.</w:t>
      </w:r>
      <w:r>
        <w:rPr>
          <w:rStyle w:val="FootnoteReference"/>
        </w:rPr>
        <w:footnoteReference w:id="48"/>
      </w:r>
      <w:r>
        <w:t xml:space="preserve">  In its petition, the Coalition notes the disparity between the letter of credit rules for Stage 2 of the Uniendo a Puerto Rico Fund and the Connect USVI Fund and the rules adopted for the Rural Digital Opportunity Fund, which permit recipients to reduce their letter of credit burden sooner in their buildout term</w:t>
      </w:r>
      <w:r w:rsidR="00B36D7E">
        <w:t>s</w:t>
      </w:r>
      <w:r>
        <w:t>.  The Coalition argues that modifying Stage 2 support recipients’ letter of credit obligations to more closely mirror the Rural Digital Opportunity Fund letter of credit rules would ensure their ability to participate in the Stage 2 competitive process</w:t>
      </w:r>
      <w:r w:rsidR="009817F2">
        <w:t>,</w:t>
      </w:r>
      <w:r>
        <w:rPr>
          <w:rStyle w:val="FootnoteReference"/>
        </w:rPr>
        <w:footnoteReference w:id="49"/>
      </w:r>
      <w:r>
        <w:t xml:space="preserve"> and would direct more support to deployment and not bank fees.</w:t>
      </w:r>
      <w:r>
        <w:rPr>
          <w:rStyle w:val="FootnoteReference"/>
        </w:rPr>
        <w:footnoteReference w:id="50"/>
      </w:r>
      <w:r>
        <w:t xml:space="preserve">  The Coalition requests waiver of the letter of credit commitment letter requirement,</w:t>
      </w:r>
      <w:r>
        <w:rPr>
          <w:rStyle w:val="FootnoteReference"/>
        </w:rPr>
        <w:footnoteReference w:id="51"/>
      </w:r>
      <w:r>
        <w:t xml:space="preserve"> rules pertaining to the value of a letter of credit,</w:t>
      </w:r>
      <w:r>
        <w:rPr>
          <w:rStyle w:val="FootnoteReference"/>
        </w:rPr>
        <w:footnoteReference w:id="52"/>
      </w:r>
      <w:r>
        <w:t xml:space="preserve"> and the requirement that banks issuing a letter of credit have a Weiss bank safety rating of B- or better.</w:t>
      </w:r>
      <w:r>
        <w:rPr>
          <w:rStyle w:val="FootnoteReference"/>
        </w:rPr>
        <w:footnoteReference w:id="53"/>
      </w:r>
      <w:r>
        <w:t xml:space="preserve">  </w:t>
      </w:r>
    </w:p>
    <w:p w:rsidR="00E53754" w:rsidP="00E53754" w14:paraId="120529DB" w14:textId="77777777">
      <w:pPr>
        <w:pStyle w:val="ParaNum"/>
      </w:pPr>
      <w:r>
        <w:t>Several commenters have expressed support for the Coaltion’s waiver request of the letter of credit requirements.</w:t>
      </w:r>
      <w:r>
        <w:rPr>
          <w:rStyle w:val="FootnoteReference"/>
        </w:rPr>
        <w:footnoteReference w:id="54"/>
      </w:r>
      <w:r>
        <w:t xml:space="preserve">  Viya, PRTC, and others filed comments opposing the Coalition’s waiver request </w:t>
      </w:r>
      <w:r>
        <w:t>because, among other reasons, it would undermine the policy objectives of the letter of credit requirements, which were designed to ensure the integrity and protection of universal service funds.</w:t>
      </w:r>
      <w:r>
        <w:rPr>
          <w:rStyle w:val="FootnoteReference"/>
        </w:rPr>
        <w:footnoteReference w:id="55"/>
      </w:r>
      <w:r>
        <w:t xml:space="preserve">  </w:t>
      </w:r>
    </w:p>
    <w:p w:rsidR="0097034E" w:rsidP="00E8621E" w14:paraId="6B237D83" w14:textId="77777777">
      <w:pPr>
        <w:pStyle w:val="Heading1"/>
        <w:tabs>
          <w:tab w:val="clear" w:pos="2610"/>
        </w:tabs>
        <w:ind w:left="720"/>
      </w:pPr>
      <w:r>
        <w:t>DISCUSSION</w:t>
      </w:r>
    </w:p>
    <w:p w:rsidR="0097034E" w:rsidP="0097034E" w14:paraId="4B930B51" w14:textId="77777777">
      <w:pPr>
        <w:pStyle w:val="Heading2"/>
      </w:pPr>
      <w:r>
        <w:t>The Bureau</w:t>
      </w:r>
      <w:r w:rsidR="002913AD">
        <w:t>’s</w:t>
      </w:r>
      <w:r>
        <w:t xml:space="preserve"> Method of Determining the Deployment Obligation</w:t>
      </w:r>
      <w:r w:rsidRPr="00B6682A">
        <w:t xml:space="preserve"> </w:t>
      </w:r>
      <w:r>
        <w:t xml:space="preserve">for the Territories </w:t>
      </w:r>
      <w:r w:rsidR="002913AD">
        <w:t>i</w:t>
      </w:r>
      <w:r>
        <w:t>s Consistent with the Commission’s Direction</w:t>
      </w:r>
    </w:p>
    <w:p w:rsidR="00AB2365" w:rsidP="005D6FCD" w14:paraId="6325FEA9" w14:textId="77777777">
      <w:pPr>
        <w:pStyle w:val="ParaNum"/>
      </w:pPr>
      <w:r>
        <w:t>The Bureau</w:t>
      </w:r>
      <w:r w:rsidR="006717A2">
        <w:t xml:space="preserve"> grant</w:t>
      </w:r>
      <w:r>
        <w:t>s</w:t>
      </w:r>
      <w:r w:rsidR="006717A2">
        <w:t xml:space="preserve"> in part and den</w:t>
      </w:r>
      <w:r w:rsidR="00AD03F7">
        <w:t>ies</w:t>
      </w:r>
      <w:r w:rsidR="006717A2">
        <w:t xml:space="preserve"> in part the Reconsideration Petition challenging the location count adopted in the </w:t>
      </w:r>
      <w:r w:rsidRPr="00420B0F" w:rsidR="00420B0F">
        <w:rPr>
          <w:i/>
        </w:rPr>
        <w:t>Reserve Prices Public Notice</w:t>
      </w:r>
      <w:r w:rsidR="006717A2">
        <w:t xml:space="preserve">.  </w:t>
      </w:r>
      <w:r w:rsidR="0009467A">
        <w:t xml:space="preserve">First, we conclude that </w:t>
      </w:r>
      <w:r w:rsidR="00903C61">
        <w:t>the Bureau</w:t>
      </w:r>
      <w:r w:rsidR="0009467A">
        <w:t xml:space="preserve"> </w:t>
      </w:r>
      <w:r w:rsidR="00903C61">
        <w:t xml:space="preserve">did not use improper </w:t>
      </w:r>
      <w:r w:rsidR="0009467A">
        <w:t xml:space="preserve">data sources in determining the location count for the </w:t>
      </w:r>
      <w:r w:rsidRPr="0009467A" w:rsidR="0009467A">
        <w:t>U.S. Virgin Islands</w:t>
      </w:r>
      <w:r w:rsidR="0009467A">
        <w:t>.</w:t>
      </w:r>
      <w:r w:rsidR="00644C48">
        <w:t xml:space="preserve">  </w:t>
      </w:r>
      <w:r w:rsidR="0009467A">
        <w:t xml:space="preserve">We are not persuaded by Viya’s argument </w:t>
      </w:r>
      <w:r w:rsidR="00F8187E">
        <w:t xml:space="preserve">that the Bureau is required </w:t>
      </w:r>
      <w:r w:rsidR="0009467A">
        <w:t>to use solely either the 2010 Census data or the 2020 Census data</w:t>
      </w:r>
      <w:r w:rsidR="00197765">
        <w:t>.</w:t>
      </w:r>
      <w:r w:rsidRPr="001C2AFB" w:rsidR="001C2AFB">
        <w:rPr>
          <w:rStyle w:val="FootnoteReference"/>
        </w:rPr>
        <w:t xml:space="preserve"> </w:t>
      </w:r>
      <w:r>
        <w:rPr>
          <w:rStyle w:val="FootnoteReference"/>
        </w:rPr>
        <w:footnoteReference w:id="56"/>
      </w:r>
      <w:r w:rsidR="00197765">
        <w:t xml:space="preserve">  </w:t>
      </w:r>
      <w:r w:rsidR="008E47C3">
        <w:t>Although t</w:t>
      </w:r>
      <w:r w:rsidR="00017136">
        <w:t xml:space="preserve">he Commission </w:t>
      </w:r>
      <w:r w:rsidR="008E47C3">
        <w:t>in</w:t>
      </w:r>
      <w:r w:rsidR="00434560">
        <w:t xml:space="preserve">itially </w:t>
      </w:r>
      <w:r w:rsidR="00017136">
        <w:t>propos</w:t>
      </w:r>
      <w:r w:rsidR="00434560">
        <w:t>ed</w:t>
      </w:r>
      <w:r w:rsidR="00017136">
        <w:t xml:space="preserve"> to use the Connect America C</w:t>
      </w:r>
      <w:r w:rsidR="00647F6D">
        <w:t>ost Model</w:t>
      </w:r>
      <w:r w:rsidR="0025168B">
        <w:t xml:space="preserve"> (CAM)</w:t>
      </w:r>
      <w:r>
        <w:rPr>
          <w:rStyle w:val="FootnoteReference"/>
        </w:rPr>
        <w:footnoteReference w:id="57"/>
      </w:r>
      <w:r w:rsidR="00647F6D">
        <w:t xml:space="preserve"> </w:t>
      </w:r>
      <w:r w:rsidR="00C21EDB">
        <w:t>to identify the number of locations</w:t>
      </w:r>
      <w:r w:rsidR="00434560">
        <w:t>,</w:t>
      </w:r>
      <w:r w:rsidR="00C21EDB">
        <w:t xml:space="preserve"> </w:t>
      </w:r>
      <w:r w:rsidR="000E6F80">
        <w:t xml:space="preserve">it later modified this </w:t>
      </w:r>
      <w:r w:rsidR="00B825E1">
        <w:t xml:space="preserve">approach and </w:t>
      </w:r>
      <w:r w:rsidR="00647F6D">
        <w:t>directed the Bureau to</w:t>
      </w:r>
      <w:r w:rsidR="00D55739">
        <w:t xml:space="preserve"> determine the </w:t>
      </w:r>
      <w:r w:rsidR="008648E2">
        <w:t xml:space="preserve">most accurate </w:t>
      </w:r>
      <w:r w:rsidR="00D55739">
        <w:t>location</w:t>
      </w:r>
      <w:r w:rsidR="008648E2">
        <w:t>s</w:t>
      </w:r>
      <w:r w:rsidR="00647F6D">
        <w:t xml:space="preserve"> </w:t>
      </w:r>
      <w:r w:rsidR="008648E2">
        <w:t xml:space="preserve">by </w:t>
      </w:r>
      <w:r w:rsidR="00A43216">
        <w:t xml:space="preserve">using the latest Census Bureau </w:t>
      </w:r>
      <w:r w:rsidR="008648E2">
        <w:t xml:space="preserve">data </w:t>
      </w:r>
      <w:r w:rsidR="004C775C">
        <w:t xml:space="preserve">to </w:t>
      </w:r>
      <w:r w:rsidR="00A43216">
        <w:t xml:space="preserve">help </w:t>
      </w:r>
      <w:r w:rsidR="004C775C">
        <w:t>guard against inaccura</w:t>
      </w:r>
      <w:r w:rsidR="009719C4">
        <w:t xml:space="preserve">cies </w:t>
      </w:r>
      <w:r w:rsidR="00EB669C">
        <w:t xml:space="preserve">resulting from major population changes </w:t>
      </w:r>
      <w:r w:rsidR="00F61E48">
        <w:t>following Hurricanes Maria and Irma</w:t>
      </w:r>
      <w:r w:rsidR="00460A36">
        <w:t>.</w:t>
      </w:r>
      <w:r>
        <w:rPr>
          <w:rStyle w:val="FootnoteReference"/>
        </w:rPr>
        <w:footnoteReference w:id="58"/>
      </w:r>
      <w:r w:rsidR="00460A36">
        <w:t xml:space="preserve">  </w:t>
      </w:r>
      <w:r w:rsidR="00945EFE">
        <w:t>T</w:t>
      </w:r>
      <w:r w:rsidR="00FB517E">
        <w:t xml:space="preserve">o achieve </w:t>
      </w:r>
      <w:r w:rsidR="002C2DB9">
        <w:t xml:space="preserve">the Commission’s goal </w:t>
      </w:r>
      <w:r w:rsidR="009B7080">
        <w:t>of</w:t>
      </w:r>
      <w:r w:rsidR="002C2DB9">
        <w:t xml:space="preserve"> provid</w:t>
      </w:r>
      <w:r w:rsidR="001F76D8">
        <w:t>ing</w:t>
      </w:r>
      <w:r w:rsidR="002C2DB9">
        <w:t xml:space="preserve"> accurate location data</w:t>
      </w:r>
      <w:r w:rsidR="00BB21AD">
        <w:t xml:space="preserve"> for the Territories</w:t>
      </w:r>
      <w:r w:rsidR="002C2DB9">
        <w:t>,</w:t>
      </w:r>
      <w:r w:rsidR="001F76D8">
        <w:t xml:space="preserve"> it granted</w:t>
      </w:r>
      <w:r w:rsidR="002C2DB9">
        <w:t xml:space="preserve"> the </w:t>
      </w:r>
      <w:r w:rsidR="00945EFE">
        <w:t xml:space="preserve">Bureau </w:t>
      </w:r>
      <w:r w:rsidR="002C2DB9">
        <w:t xml:space="preserve">discretionary authority to consider </w:t>
      </w:r>
      <w:r w:rsidR="0032346C">
        <w:t xml:space="preserve">more recent data sources </w:t>
      </w:r>
      <w:r w:rsidR="00BB21AD">
        <w:t xml:space="preserve">to supplement the </w:t>
      </w:r>
      <w:r w:rsidR="00F3158B">
        <w:t>2010 Census Bureau data</w:t>
      </w:r>
      <w:r w:rsidR="005E5A22">
        <w:t>.</w:t>
      </w:r>
      <w:r>
        <w:rPr>
          <w:rStyle w:val="FootnoteReference"/>
        </w:rPr>
        <w:footnoteReference w:id="59"/>
      </w:r>
      <w:r w:rsidR="005E5A22">
        <w:t xml:space="preserve">  </w:t>
      </w:r>
      <w:r w:rsidR="00F5492A">
        <w:t xml:space="preserve">In this regard, the Bureau’s use of </w:t>
      </w:r>
      <w:r w:rsidR="00F9366D">
        <w:t xml:space="preserve">the </w:t>
      </w:r>
      <w:r w:rsidR="00945EFE">
        <w:t xml:space="preserve">Commission staff </w:t>
      </w:r>
      <w:r w:rsidR="002327E5">
        <w:t>estimate</w:t>
      </w:r>
      <w:r w:rsidR="006C1C37">
        <w:t xml:space="preserve">, </w:t>
      </w:r>
      <w:r w:rsidR="00F5492A">
        <w:t>which inc</w:t>
      </w:r>
      <w:r w:rsidR="00AA2F7E">
        <w:t xml:space="preserve">orporates </w:t>
      </w:r>
      <w:r w:rsidR="00F5492A">
        <w:t xml:space="preserve">data from </w:t>
      </w:r>
      <w:r w:rsidR="00C34FB7">
        <w:t>the Central Intelligence Agency</w:t>
      </w:r>
      <w:r w:rsidR="00A11AF7">
        <w:t xml:space="preserve"> </w:t>
      </w:r>
      <w:r w:rsidR="00C34FB7">
        <w:t>Factbook</w:t>
      </w:r>
      <w:r w:rsidR="008C0D18">
        <w:t xml:space="preserve"> and Economic Census data</w:t>
      </w:r>
      <w:r w:rsidR="00672F8E">
        <w:t>, is appropriate</w:t>
      </w:r>
      <w:r w:rsidR="00AA6A55">
        <w:t xml:space="preserve"> </w:t>
      </w:r>
      <w:r w:rsidR="007F3F7B">
        <w:t xml:space="preserve">for determining </w:t>
      </w:r>
      <w:r w:rsidR="006F050E">
        <w:t>the location data</w:t>
      </w:r>
      <w:r w:rsidR="00AA7930">
        <w:t xml:space="preserve"> </w:t>
      </w:r>
      <w:r w:rsidR="006F050E">
        <w:t>for the U.S. Virgin Islands</w:t>
      </w:r>
      <w:r w:rsidR="00A11AF7">
        <w:t>.</w:t>
      </w:r>
      <w:r>
        <w:rPr>
          <w:rStyle w:val="FootnoteReference"/>
        </w:rPr>
        <w:footnoteReference w:id="60"/>
      </w:r>
      <w:r w:rsidR="001B706E">
        <w:t xml:space="preserve">  </w:t>
      </w:r>
      <w:r w:rsidR="00A72F00">
        <w:t>Viya</w:t>
      </w:r>
      <w:r w:rsidR="0011648F">
        <w:t xml:space="preserve"> implicitly</w:t>
      </w:r>
      <w:r w:rsidR="00A72F00">
        <w:t xml:space="preserve"> recognize</w:t>
      </w:r>
      <w:r w:rsidR="00894C00">
        <w:t>d</w:t>
      </w:r>
      <w:r w:rsidR="00A72F00">
        <w:t xml:space="preserve"> in its petition</w:t>
      </w:r>
      <w:r w:rsidR="00894C00">
        <w:t xml:space="preserve"> that </w:t>
      </w:r>
      <w:r w:rsidR="00EF46A0">
        <w:t xml:space="preserve">the Bureau </w:t>
      </w:r>
      <w:r w:rsidR="00894C00">
        <w:t xml:space="preserve">could </w:t>
      </w:r>
      <w:r w:rsidR="00EF46A0">
        <w:t xml:space="preserve">consider </w:t>
      </w:r>
      <w:r w:rsidR="007D530E">
        <w:t>other sources</w:t>
      </w:r>
      <w:r w:rsidR="008D7977">
        <w:t xml:space="preserve"> when determining locations, such</w:t>
      </w:r>
      <w:r w:rsidR="002D32F7">
        <w:t xml:space="preserve"> </w:t>
      </w:r>
      <w:r w:rsidR="008D7977">
        <w:t>as</w:t>
      </w:r>
      <w:r w:rsidR="00894C00">
        <w:t xml:space="preserve"> when </w:t>
      </w:r>
      <w:r w:rsidR="00184D3A">
        <w:t xml:space="preserve">Viya failed to object to </w:t>
      </w:r>
      <w:r w:rsidR="002D32F7">
        <w:t>the Bureau</w:t>
      </w:r>
      <w:r w:rsidR="00184D3A">
        <w:t xml:space="preserve">’s </w:t>
      </w:r>
      <w:r w:rsidR="002D32F7">
        <w:t>use</w:t>
      </w:r>
      <w:r w:rsidR="00184D3A">
        <w:t xml:space="preserve"> of</w:t>
      </w:r>
      <w:r w:rsidR="002D32F7">
        <w:t xml:space="preserve"> </w:t>
      </w:r>
      <w:r w:rsidR="007D530E">
        <w:t>the 2012 Economic Census</w:t>
      </w:r>
      <w:r w:rsidR="00D91ABA">
        <w:t>.</w:t>
      </w:r>
      <w:r>
        <w:rPr>
          <w:rStyle w:val="FootnoteReference"/>
        </w:rPr>
        <w:footnoteReference w:id="61"/>
      </w:r>
      <w:r w:rsidR="007D530E">
        <w:t xml:space="preserve"> </w:t>
      </w:r>
      <w:r w:rsidR="00BD0987">
        <w:t xml:space="preserve"> Viya’s </w:t>
      </w:r>
      <w:r w:rsidR="00E8708C">
        <w:t>argument</w:t>
      </w:r>
      <w:r w:rsidR="00BD0987">
        <w:t xml:space="preserve"> to </w:t>
      </w:r>
      <w:r w:rsidR="00382BD0">
        <w:t xml:space="preserve">solely use the 2010 Census Bureau data runs counter to </w:t>
      </w:r>
      <w:r w:rsidR="0086468A">
        <w:t xml:space="preserve">the Commission’s </w:t>
      </w:r>
      <w:r w:rsidR="00260C91">
        <w:t xml:space="preserve">directive to </w:t>
      </w:r>
      <w:r w:rsidR="00D925E1">
        <w:t xml:space="preserve">balance the </w:t>
      </w:r>
      <w:r w:rsidR="00344418">
        <w:t xml:space="preserve">goal of </w:t>
      </w:r>
      <w:r w:rsidR="00D925E1">
        <w:t>buildout to all existing locations</w:t>
      </w:r>
      <w:r w:rsidR="00346AD9">
        <w:t xml:space="preserve"> </w:t>
      </w:r>
      <w:r w:rsidR="00346AD9">
        <w:t xml:space="preserve">while accounting for the possibility of </w:t>
      </w:r>
      <w:r w:rsidR="00255273">
        <w:t>population shifts post-hurricanes.</w:t>
      </w:r>
      <w:r>
        <w:rPr>
          <w:rStyle w:val="FootnoteReference"/>
        </w:rPr>
        <w:footnoteReference w:id="62"/>
      </w:r>
      <w:r w:rsidR="000F6F9A">
        <w:t xml:space="preserve"> </w:t>
      </w:r>
      <w:r w:rsidR="003B0BD0">
        <w:t xml:space="preserve"> </w:t>
      </w:r>
      <w:r w:rsidR="000F6F9A">
        <w:t xml:space="preserve">We thus </w:t>
      </w:r>
      <w:r w:rsidR="003B5397">
        <w:t>conclude that the</w:t>
      </w:r>
      <w:r w:rsidR="00005D24">
        <w:t xml:space="preserve"> Bureau’s methodology for determining the location data is consistent with the Commission’s direction in the </w:t>
      </w:r>
      <w:r w:rsidRPr="005D6FCD" w:rsidR="00005D24">
        <w:rPr>
          <w:i/>
          <w:iCs/>
        </w:rPr>
        <w:t>PR-USVI Stage 2 Order</w:t>
      </w:r>
      <w:r w:rsidR="00005D24">
        <w:t xml:space="preserve"> to use the latest U.S. Census Bureau data contrary to Viya’s argument.</w:t>
      </w:r>
      <w:r w:rsidR="003B5397">
        <w:t xml:space="preserve"> </w:t>
      </w:r>
      <w:r w:rsidR="0009467A">
        <w:t xml:space="preserve"> </w:t>
      </w:r>
    </w:p>
    <w:p w:rsidR="0009467A" w:rsidP="00197765" w14:paraId="43A78A3D" w14:textId="77777777">
      <w:pPr>
        <w:pStyle w:val="ParaNum"/>
      </w:pPr>
      <w:r>
        <w:t>In addition, we agree with commenters that Viya’s argument for the use of only 2020 Census Data</w:t>
      </w:r>
      <w:r>
        <w:rPr>
          <w:rStyle w:val="FootnoteReference"/>
        </w:rPr>
        <w:footnoteReference w:id="63"/>
      </w:r>
      <w:r>
        <w:t xml:space="preserve"> would materially delay the implementation of Stage 2 because such data will likely be unavailable until approximately the spring of 2021, thus </w:t>
      </w:r>
      <w:r w:rsidR="00C81C0D">
        <w:t xml:space="preserve">unnecessarily postponing </w:t>
      </w:r>
      <w:r>
        <w:t>the authorization of high-cost fixed support and broadband deployment to all areas of the Territories.</w:t>
      </w:r>
      <w:r>
        <w:rPr>
          <w:rStyle w:val="FootnoteReference"/>
        </w:rPr>
        <w:footnoteReference w:id="64"/>
      </w:r>
      <w:r>
        <w:t xml:space="preserve">  Therefore, we deny in part the Reconsideration Petition’s argument that the Bureau failed to follow the </w:t>
      </w:r>
      <w:r w:rsidRPr="00197765">
        <w:rPr>
          <w:i/>
          <w:iCs/>
        </w:rPr>
        <w:t>PR-USVI Stage 2 Order</w:t>
      </w:r>
      <w:r>
        <w:t xml:space="preserve"> when it used Commission staff estimates to determine the location count for the U.S. Virgin Islands.</w:t>
      </w:r>
    </w:p>
    <w:p w:rsidR="00D33CEF" w:rsidP="00762880" w14:paraId="0D6F0EC5" w14:textId="77777777">
      <w:pPr>
        <w:pStyle w:val="ParaNum"/>
      </w:pPr>
      <w:r>
        <w:t xml:space="preserve">Although concluding </w:t>
      </w:r>
      <w:r w:rsidR="003B6C7C">
        <w:t xml:space="preserve">that the Bureau’s methodology did not contradict the </w:t>
      </w:r>
      <w:r w:rsidRPr="003B6C7C" w:rsidR="003B6C7C">
        <w:rPr>
          <w:i/>
          <w:iCs/>
        </w:rPr>
        <w:t>PR-USVI Stage 2 Order</w:t>
      </w:r>
      <w:r w:rsidR="003B6C7C">
        <w:t xml:space="preserve">, </w:t>
      </w:r>
      <w:r w:rsidR="00361AAA">
        <w:t>we</w:t>
      </w:r>
      <w:r w:rsidR="00AD03F7">
        <w:t xml:space="preserve"> </w:t>
      </w:r>
      <w:r w:rsidR="006717A2">
        <w:t>agree</w:t>
      </w:r>
      <w:r w:rsidR="00703801">
        <w:t xml:space="preserve"> </w:t>
      </w:r>
      <w:r w:rsidR="006717A2">
        <w:t>with Viya</w:t>
      </w:r>
      <w:r w:rsidR="00C768FD">
        <w:t xml:space="preserve"> and commenters</w:t>
      </w:r>
      <w:r w:rsidR="006717A2">
        <w:t xml:space="preserve"> </w:t>
      </w:r>
      <w:r w:rsidR="00E14C7D">
        <w:t xml:space="preserve">that </w:t>
      </w:r>
      <w:r w:rsidR="00237018">
        <w:t>the data for the U.S. Virgin Islands</w:t>
      </w:r>
      <w:r w:rsidR="00A325C0">
        <w:t xml:space="preserve"> provided in the </w:t>
      </w:r>
      <w:r w:rsidRPr="00A12866" w:rsidR="00A325C0">
        <w:rPr>
          <w:i/>
          <w:iCs/>
        </w:rPr>
        <w:t>Reserve Price Public Notice</w:t>
      </w:r>
      <w:r w:rsidR="00E14C7D">
        <w:t xml:space="preserve"> included too many locations</w:t>
      </w:r>
      <w:r w:rsidR="00237018">
        <w:t>.</w:t>
      </w:r>
      <w:r>
        <w:rPr>
          <w:rStyle w:val="FootnoteReference"/>
        </w:rPr>
        <w:footnoteReference w:id="65"/>
      </w:r>
      <w:r w:rsidR="00237018">
        <w:t xml:space="preserve">  </w:t>
      </w:r>
      <w:r w:rsidR="004E1063">
        <w:t xml:space="preserve">Upon further review, we </w:t>
      </w:r>
      <w:r w:rsidR="00E14C7D">
        <w:t xml:space="preserve">confirm </w:t>
      </w:r>
      <w:r w:rsidR="004E1063">
        <w:t>that</w:t>
      </w:r>
      <w:r w:rsidR="006717A2">
        <w:t xml:space="preserve"> the </w:t>
      </w:r>
      <w:r w:rsidR="005F338B">
        <w:t xml:space="preserve">original </w:t>
      </w:r>
      <w:r w:rsidR="00B6712D">
        <w:t xml:space="preserve">2017 </w:t>
      </w:r>
      <w:r w:rsidR="00711F44">
        <w:t>Commission staff estimates</w:t>
      </w:r>
      <w:r w:rsidR="00C06C3E">
        <w:t xml:space="preserve"> used</w:t>
      </w:r>
      <w:r w:rsidR="005F338B">
        <w:t xml:space="preserve"> to determine the deployment obligation </w:t>
      </w:r>
      <w:r w:rsidR="007B6AC8">
        <w:t xml:space="preserve">incorrectly </w:t>
      </w:r>
      <w:r w:rsidR="006717A2">
        <w:t>counted the number of business locations</w:t>
      </w:r>
      <w:r w:rsidR="00E74497">
        <w:t xml:space="preserve"> in the U.S. Virgin Islands</w:t>
      </w:r>
      <w:r w:rsidR="005E7FE6">
        <w:t xml:space="preserve"> twice</w:t>
      </w:r>
      <w:r w:rsidR="006717A2">
        <w:t>, resulting in 2,414 more locations.</w:t>
      </w:r>
      <w:r>
        <w:rPr>
          <w:rStyle w:val="FootnoteReference"/>
        </w:rPr>
        <w:footnoteReference w:id="66"/>
      </w:r>
      <w:r w:rsidR="006717A2">
        <w:t xml:space="preserve">  By removing </w:t>
      </w:r>
      <w:r w:rsidR="00E14C7D">
        <w:t xml:space="preserve">the </w:t>
      </w:r>
      <w:r w:rsidR="006717A2">
        <w:t xml:space="preserve">2,414 </w:t>
      </w:r>
      <w:r w:rsidR="00E14C7D">
        <w:t xml:space="preserve">duplicative </w:t>
      </w:r>
      <w:r w:rsidR="006717A2">
        <w:t xml:space="preserve">business locations from the location data published in the </w:t>
      </w:r>
      <w:r w:rsidRPr="00420B0F" w:rsidR="00420B0F">
        <w:rPr>
          <w:i/>
        </w:rPr>
        <w:t>Reserve Prices Public Notice</w:t>
      </w:r>
      <w:r w:rsidR="006717A2">
        <w:t>, the total number of locations</w:t>
      </w:r>
      <w:r w:rsidR="00933077">
        <w:t xml:space="preserve"> for both geographic areas </w:t>
      </w:r>
      <w:r w:rsidR="009C61C4">
        <w:t>of the U.S. Virgin Islands</w:t>
      </w:r>
      <w:r w:rsidR="006717A2">
        <w:t xml:space="preserve"> </w:t>
      </w:r>
      <w:r w:rsidR="007E2E74">
        <w:t xml:space="preserve">will </w:t>
      </w:r>
      <w:r w:rsidR="009E61D4">
        <w:t>be</w:t>
      </w:r>
      <w:r w:rsidR="006717A2">
        <w:t xml:space="preserve"> reduced to 58,769 locations.</w:t>
      </w:r>
      <w:r w:rsidR="003B2927">
        <w:t xml:space="preserve">  </w:t>
      </w:r>
    </w:p>
    <w:p w:rsidR="008B6689" w:rsidP="00762880" w14:paraId="78964F6A" w14:textId="77777777">
      <w:pPr>
        <w:pStyle w:val="ParaNum"/>
      </w:pPr>
      <w:r>
        <w:t>Based on our re</w:t>
      </w:r>
      <w:r w:rsidR="002F25F4">
        <w:t>consideration of the location data</w:t>
      </w:r>
      <w:r w:rsidR="00C06C3E">
        <w:t xml:space="preserve"> above</w:t>
      </w:r>
      <w:r w:rsidR="00B001BF">
        <w:t xml:space="preserve">, </w:t>
      </w:r>
      <w:r w:rsidR="00191706">
        <w:t>as urged by PRTC</w:t>
      </w:r>
      <w:r w:rsidR="00D0541D">
        <w:t xml:space="preserve"> and others</w:t>
      </w:r>
      <w:r w:rsidR="00191706">
        <w:t>,</w:t>
      </w:r>
      <w:r>
        <w:rPr>
          <w:rStyle w:val="FootnoteReference"/>
        </w:rPr>
        <w:footnoteReference w:id="67"/>
      </w:r>
      <w:r w:rsidR="00191706">
        <w:t xml:space="preserve"> </w:t>
      </w:r>
      <w:r w:rsidR="00BC6997">
        <w:t xml:space="preserve">we </w:t>
      </w:r>
      <w:r w:rsidR="00CB3E42">
        <w:t xml:space="preserve">find </w:t>
      </w:r>
      <w:r w:rsidR="00E60827">
        <w:t xml:space="preserve">that it is appropriate </w:t>
      </w:r>
      <w:r w:rsidR="00694AA7">
        <w:t>for the Bureau</w:t>
      </w:r>
      <w:r w:rsidR="00CB3E42">
        <w:t xml:space="preserve"> to update the </w:t>
      </w:r>
      <w:r w:rsidR="00D94212">
        <w:t xml:space="preserve">deployment obligation </w:t>
      </w:r>
      <w:r w:rsidR="00766625">
        <w:t xml:space="preserve">and annual reserve prices </w:t>
      </w:r>
      <w:r w:rsidR="00D94212">
        <w:t xml:space="preserve">for all geographic areas </w:t>
      </w:r>
      <w:r w:rsidR="006D4D17">
        <w:t xml:space="preserve">previously announced in the </w:t>
      </w:r>
      <w:r w:rsidRPr="00420B0F" w:rsidR="00420B0F">
        <w:rPr>
          <w:i/>
          <w:iCs/>
        </w:rPr>
        <w:t>Reserve Prices Public Notice</w:t>
      </w:r>
      <w:r w:rsidR="006D4D17">
        <w:t>.</w:t>
      </w:r>
      <w:r>
        <w:rPr>
          <w:rStyle w:val="FootnoteReference"/>
        </w:rPr>
        <w:footnoteReference w:id="68"/>
      </w:r>
      <w:r w:rsidR="006D4D17">
        <w:t xml:space="preserve">  </w:t>
      </w:r>
      <w:r w:rsidR="00E60827">
        <w:t>F</w:t>
      </w:r>
      <w:r w:rsidR="00CA6380">
        <w:t xml:space="preserve">ollowing the release </w:t>
      </w:r>
      <w:r w:rsidR="00180727">
        <w:t xml:space="preserve">of the </w:t>
      </w:r>
      <w:r w:rsidRPr="00420B0F" w:rsidR="00420B0F">
        <w:rPr>
          <w:i/>
          <w:iCs/>
        </w:rPr>
        <w:t>Reserve Prices Public Notice</w:t>
      </w:r>
      <w:r w:rsidR="00060AE5">
        <w:t xml:space="preserve"> on December 19, 2019</w:t>
      </w:r>
      <w:r w:rsidR="00E60827">
        <w:t>, Commission staff published more recent location data for the U.S. Virgin Islands</w:t>
      </w:r>
      <w:r w:rsidR="00DF608B">
        <w:t xml:space="preserve"> and </w:t>
      </w:r>
      <w:r w:rsidR="00E60827">
        <w:t>Puerto Rico</w:t>
      </w:r>
      <w:r w:rsidR="00180727">
        <w:t>.</w:t>
      </w:r>
      <w:r>
        <w:rPr>
          <w:rStyle w:val="FootnoteReference"/>
        </w:rPr>
        <w:footnoteReference w:id="69"/>
      </w:r>
      <w:r w:rsidR="00713B36">
        <w:t xml:space="preserve"> </w:t>
      </w:r>
      <w:r w:rsidR="00882BAB">
        <w:t xml:space="preserve"> </w:t>
      </w:r>
      <w:r w:rsidR="00BF63F1">
        <w:t xml:space="preserve">Therefore, </w:t>
      </w:r>
      <w:r w:rsidR="001D4146">
        <w:t xml:space="preserve">consistent with the Commission’s direction to use the </w:t>
      </w:r>
      <w:r w:rsidR="00BB1D0D">
        <w:t xml:space="preserve">most recent </w:t>
      </w:r>
      <w:r w:rsidR="00C42A02">
        <w:t>U.S. Census Bureau data,</w:t>
      </w:r>
      <w:r>
        <w:rPr>
          <w:rStyle w:val="FootnoteReference"/>
        </w:rPr>
        <w:footnoteReference w:id="70"/>
      </w:r>
      <w:r w:rsidR="00C42A02">
        <w:t xml:space="preserve"> </w:t>
      </w:r>
      <w:r w:rsidR="00AA61FC">
        <w:t xml:space="preserve">we </w:t>
      </w:r>
      <w:r w:rsidR="00AA389F">
        <w:t>will use</w:t>
      </w:r>
      <w:r w:rsidR="00AA61FC">
        <w:t xml:space="preserve"> </w:t>
      </w:r>
      <w:r w:rsidR="00C42A02">
        <w:t xml:space="preserve">the </w:t>
      </w:r>
      <w:r w:rsidR="0062174B">
        <w:t xml:space="preserve">more recent </w:t>
      </w:r>
      <w:r w:rsidR="001D4146">
        <w:t>2018</w:t>
      </w:r>
      <w:r w:rsidR="009567DF">
        <w:t xml:space="preserve"> Commission staff estimates</w:t>
      </w:r>
      <w:r w:rsidR="006500ED">
        <w:t>,</w:t>
      </w:r>
      <w:r w:rsidR="001D4146">
        <w:t xml:space="preserve"> </w:t>
      </w:r>
      <w:r w:rsidR="00DF608B">
        <w:t xml:space="preserve">which relies upon more current U.S. Census data, </w:t>
      </w:r>
      <w:r w:rsidR="001A44B3">
        <w:t xml:space="preserve">to </w:t>
      </w:r>
      <w:r w:rsidR="001D4146">
        <w:t xml:space="preserve">revise </w:t>
      </w:r>
      <w:r w:rsidR="001A44B3">
        <w:t xml:space="preserve">the </w:t>
      </w:r>
      <w:r w:rsidR="001D4146">
        <w:t>deployment obligation</w:t>
      </w:r>
      <w:r w:rsidR="00D22273">
        <w:t xml:space="preserve"> and annual re</w:t>
      </w:r>
      <w:r w:rsidR="0028692A">
        <w:t>serve prices</w:t>
      </w:r>
      <w:r w:rsidR="003817AA">
        <w:t xml:space="preserve"> for</w:t>
      </w:r>
      <w:r w:rsidR="0028692A">
        <w:t xml:space="preserve"> </w:t>
      </w:r>
      <w:r w:rsidR="001A44B3">
        <w:t>all</w:t>
      </w:r>
      <w:r w:rsidR="0028692A">
        <w:t xml:space="preserve"> geographic areas of</w:t>
      </w:r>
      <w:r w:rsidR="003817AA">
        <w:t xml:space="preserve"> </w:t>
      </w:r>
      <w:r w:rsidR="00F343A5">
        <w:t>the Territories</w:t>
      </w:r>
      <w:r w:rsidR="00025220">
        <w:t>.</w:t>
      </w:r>
      <w:r>
        <w:rPr>
          <w:rStyle w:val="FootnoteReference"/>
        </w:rPr>
        <w:footnoteReference w:id="71"/>
      </w:r>
      <w:r w:rsidR="00E12F4A">
        <w:t xml:space="preserve">  </w:t>
      </w:r>
      <w:r w:rsidR="004A785C">
        <w:t xml:space="preserve">The 2018 location data for the Territories reflect a decrease in location counts in comparison to the </w:t>
      </w:r>
      <w:r w:rsidRPr="00420B0F" w:rsidR="004A785C">
        <w:rPr>
          <w:i/>
          <w:iCs/>
        </w:rPr>
        <w:t>Reserve Prices Public Notice</w:t>
      </w:r>
      <w:r w:rsidR="004A785C">
        <w:t xml:space="preserve"> for every geographic area of the Territories.</w:t>
      </w:r>
      <w:r>
        <w:rPr>
          <w:rStyle w:val="FootnoteReference"/>
        </w:rPr>
        <w:footnoteReference w:id="72"/>
      </w:r>
      <w:r w:rsidR="004A785C">
        <w:t xml:space="preserve">  </w:t>
      </w:r>
      <w:r w:rsidR="00064BAC">
        <w:t>For the Stage 2 competiti</w:t>
      </w:r>
      <w:r w:rsidR="00AD4D21">
        <w:t>ve process</w:t>
      </w:r>
      <w:r w:rsidR="00064BAC">
        <w:t>, t</w:t>
      </w:r>
      <w:r w:rsidR="00E12F4A">
        <w:t xml:space="preserve">he </w:t>
      </w:r>
      <w:r w:rsidR="003C79D7">
        <w:t xml:space="preserve">Bureau will </w:t>
      </w:r>
      <w:r w:rsidR="009830D6">
        <w:t xml:space="preserve">concurrently </w:t>
      </w:r>
      <w:r w:rsidR="003C79D7">
        <w:t xml:space="preserve">release </w:t>
      </w:r>
      <w:r w:rsidR="009830D6">
        <w:t xml:space="preserve">with this </w:t>
      </w:r>
      <w:r w:rsidRPr="009830D6" w:rsidR="009830D6">
        <w:rPr>
          <w:i/>
          <w:iCs/>
        </w:rPr>
        <w:t>Order</w:t>
      </w:r>
      <w:r w:rsidR="009830D6">
        <w:t xml:space="preserve"> </w:t>
      </w:r>
      <w:r w:rsidR="003C79D7">
        <w:t>a</w:t>
      </w:r>
      <w:r w:rsidR="00E560EF">
        <w:t xml:space="preserve"> </w:t>
      </w:r>
      <w:r w:rsidR="003C79D7">
        <w:t xml:space="preserve">public notice </w:t>
      </w:r>
      <w:r w:rsidR="002B63E2">
        <w:t xml:space="preserve">providing </w:t>
      </w:r>
      <w:r w:rsidR="00E12F4A">
        <w:t>updated</w:t>
      </w:r>
      <w:r w:rsidR="006D29DD">
        <w:t xml:space="preserve"> deployment obligation</w:t>
      </w:r>
      <w:r w:rsidR="00A90F03">
        <w:t>s</w:t>
      </w:r>
      <w:r w:rsidR="006D29DD">
        <w:t xml:space="preserve"> and reserve prices for </w:t>
      </w:r>
      <w:r w:rsidR="00DC21AC">
        <w:t>Puerto Rico and the U.S. Virgin Islands</w:t>
      </w:r>
      <w:r w:rsidR="0043474E">
        <w:t>.</w:t>
      </w:r>
    </w:p>
    <w:p w:rsidR="00A61441" w:rsidP="0097034E" w14:paraId="39718A06" w14:textId="77777777">
      <w:pPr>
        <w:pStyle w:val="Heading2"/>
      </w:pPr>
      <w:r>
        <w:t>The Petitions to Reconsider the Location Adjustment Process Are Untimely</w:t>
      </w:r>
    </w:p>
    <w:p w:rsidR="00A61441" w:rsidP="00A61441" w14:paraId="53C8CD0A" w14:textId="77777777">
      <w:pPr>
        <w:pStyle w:val="ParaNum"/>
      </w:pPr>
      <w:r>
        <w:t xml:space="preserve">Pursuant to </w:t>
      </w:r>
      <w:r w:rsidR="002F0381">
        <w:t>s</w:t>
      </w:r>
      <w:r>
        <w:t>ection 1.429 of the Commission’s rules,</w:t>
      </w:r>
      <w:r>
        <w:rPr>
          <w:rStyle w:val="FootnoteReference"/>
        </w:rPr>
        <w:footnoteReference w:id="73"/>
      </w:r>
      <w:r>
        <w:t xml:space="preserve"> </w:t>
      </w:r>
      <w:r w:rsidR="003B5DBD">
        <w:t xml:space="preserve">Viya and </w:t>
      </w:r>
      <w:r w:rsidR="000C320B">
        <w:t xml:space="preserve">the </w:t>
      </w:r>
      <w:r w:rsidR="003B5DBD">
        <w:t xml:space="preserve">commenters </w:t>
      </w:r>
      <w:r w:rsidR="00441324">
        <w:t xml:space="preserve">have </w:t>
      </w:r>
      <w:r w:rsidR="000C320B">
        <w:t xml:space="preserve">not </w:t>
      </w:r>
      <w:r w:rsidR="00441324">
        <w:t xml:space="preserve">properly submitted </w:t>
      </w:r>
      <w:r w:rsidR="002219BE">
        <w:t xml:space="preserve">a </w:t>
      </w:r>
      <w:r w:rsidR="00B66FB2">
        <w:t xml:space="preserve">timely </w:t>
      </w:r>
      <w:r w:rsidR="002219BE">
        <w:t xml:space="preserve">petition to reconsider </w:t>
      </w:r>
      <w:r w:rsidR="00431CBD">
        <w:t>the location adjustment process</w:t>
      </w:r>
      <w:r w:rsidR="00323F90">
        <w:t xml:space="preserve"> for the Uniendo a Puerto Rico Fund and the Connect USVI Fund</w:t>
      </w:r>
      <w:r w:rsidR="000C320B">
        <w:t xml:space="preserve"> established by the Commission</w:t>
      </w:r>
      <w:r w:rsidR="00431CBD">
        <w:t>.</w:t>
      </w:r>
      <w:r w:rsidR="00674947">
        <w:t xml:space="preserve"> </w:t>
      </w:r>
      <w:r w:rsidR="00F400E0">
        <w:t xml:space="preserve"> We therefore </w:t>
      </w:r>
      <w:r w:rsidR="009E73A3">
        <w:t xml:space="preserve">do not </w:t>
      </w:r>
      <w:r w:rsidR="008C6603">
        <w:t xml:space="preserve">consider any </w:t>
      </w:r>
      <w:r w:rsidR="00432C6B">
        <w:t xml:space="preserve">untimely </w:t>
      </w:r>
      <w:r w:rsidR="008C6603">
        <w:t>efforts to urge</w:t>
      </w:r>
      <w:r w:rsidR="00F400E0">
        <w:t xml:space="preserve"> </w:t>
      </w:r>
      <w:r w:rsidR="003A3DE5">
        <w:t xml:space="preserve">reconsideration of the Commission’s </w:t>
      </w:r>
      <w:r w:rsidR="00FB0C48">
        <w:t>location adjustment process</w:t>
      </w:r>
      <w:r w:rsidR="008C72AD">
        <w:t xml:space="preserve"> and </w:t>
      </w:r>
      <w:r w:rsidRPr="00FF3977" w:rsidR="00FF3977">
        <w:rPr>
          <w:i/>
          <w:iCs/>
        </w:rPr>
        <w:t>pro rata</w:t>
      </w:r>
      <w:r w:rsidR="008C72AD">
        <w:t xml:space="preserve"> reduction of support</w:t>
      </w:r>
      <w:r w:rsidR="00FB0C48">
        <w:t xml:space="preserve"> in the </w:t>
      </w:r>
      <w:r w:rsidRPr="00D77C0D" w:rsidR="00FB0C48">
        <w:rPr>
          <w:i/>
          <w:iCs/>
        </w:rPr>
        <w:t>PR-USVI Stage 2 Order</w:t>
      </w:r>
      <w:r w:rsidR="00EC5C4B">
        <w:t>.</w:t>
      </w:r>
      <w:r>
        <w:rPr>
          <w:rStyle w:val="FootnoteReference"/>
        </w:rPr>
        <w:footnoteReference w:id="74"/>
      </w:r>
      <w:r w:rsidR="00EC5C4B">
        <w:t xml:space="preserve"> </w:t>
      </w:r>
      <w:r w:rsidR="00674947">
        <w:t xml:space="preserve"> </w:t>
      </w:r>
      <w:r w:rsidR="00D07C7F">
        <w:t xml:space="preserve">Even if </w:t>
      </w:r>
      <w:r w:rsidR="007C79BE">
        <w:t>the reconsideration requests were timely submitted, w</w:t>
      </w:r>
      <w:r w:rsidR="00176EC5">
        <w:t>e</w:t>
      </w:r>
      <w:r w:rsidR="005578AA">
        <w:t xml:space="preserve"> find the Bureau </w:t>
      </w:r>
      <w:r w:rsidR="009C30AD">
        <w:t xml:space="preserve">does not </w:t>
      </w:r>
      <w:r w:rsidR="00D525FE">
        <w:t xml:space="preserve">have </w:t>
      </w:r>
      <w:r w:rsidR="009C30AD">
        <w:t xml:space="preserve">the authority </w:t>
      </w:r>
      <w:r w:rsidR="005578AA">
        <w:t xml:space="preserve">to reconsider the Commission’s decision adopting location adjustment process </w:t>
      </w:r>
      <w:r w:rsidR="00F65662">
        <w:t>in the</w:t>
      </w:r>
      <w:r w:rsidRPr="00F65662" w:rsidR="00F65662">
        <w:rPr>
          <w:i/>
          <w:iCs/>
        </w:rPr>
        <w:t xml:space="preserve"> PR-USVI Stage 2 Order</w:t>
      </w:r>
      <w:r w:rsidR="005578AA">
        <w:t xml:space="preserve">. </w:t>
      </w:r>
      <w:r w:rsidR="002F0381">
        <w:t xml:space="preserve"> </w:t>
      </w:r>
      <w:r w:rsidR="00176EC5">
        <w:t>Additionally</w:t>
      </w:r>
      <w:r w:rsidR="002F0381">
        <w:t>,</w:t>
      </w:r>
      <w:r w:rsidR="00176EC5">
        <w:t xml:space="preserve"> </w:t>
      </w:r>
      <w:r w:rsidR="00674947">
        <w:t xml:space="preserve">assuming </w:t>
      </w:r>
      <w:r w:rsidR="007A3B4C">
        <w:t xml:space="preserve">that </w:t>
      </w:r>
      <w:r w:rsidR="004A2185">
        <w:t xml:space="preserve">this effort to </w:t>
      </w:r>
      <w:r w:rsidR="00C87743">
        <w:t>reconsider</w:t>
      </w:r>
      <w:r w:rsidR="009F4F9F">
        <w:t xml:space="preserve"> </w:t>
      </w:r>
      <w:r w:rsidR="00C87743">
        <w:t xml:space="preserve">is appropriately </w:t>
      </w:r>
      <w:r w:rsidR="0089174E">
        <w:t xml:space="preserve">before </w:t>
      </w:r>
      <w:r w:rsidR="007A3B4C">
        <w:t>the Bureau</w:t>
      </w:r>
      <w:r w:rsidR="0089174E">
        <w:t xml:space="preserve">, we are not persuaded that it is in the public interest </w:t>
      </w:r>
      <w:r w:rsidR="00594889">
        <w:t xml:space="preserve">to modify </w:t>
      </w:r>
      <w:r w:rsidR="00075D85">
        <w:t xml:space="preserve">the </w:t>
      </w:r>
      <w:r w:rsidR="00C6502F">
        <w:t>location adjustment process in this proceeding</w:t>
      </w:r>
      <w:r w:rsidR="00EE6038">
        <w:t xml:space="preserve"> to follow the </w:t>
      </w:r>
      <w:r w:rsidR="008C7F2B">
        <w:t xml:space="preserve">process </w:t>
      </w:r>
      <w:r w:rsidR="003C0EE0">
        <w:t xml:space="preserve">subsequently </w:t>
      </w:r>
      <w:r w:rsidR="0076588B">
        <w:t xml:space="preserve">adopted </w:t>
      </w:r>
      <w:r w:rsidR="002B1640">
        <w:t xml:space="preserve">separately for </w:t>
      </w:r>
      <w:r w:rsidR="00D164E9">
        <w:t>the Rural Digital Opportunity Fund.</w:t>
      </w:r>
      <w:r>
        <w:rPr>
          <w:rStyle w:val="FootnoteReference"/>
        </w:rPr>
        <w:footnoteReference w:id="75"/>
      </w:r>
      <w:r w:rsidR="00FA25D9">
        <w:t xml:space="preserve">  </w:t>
      </w:r>
    </w:p>
    <w:p w:rsidR="008C5EF8" w:rsidP="00A61441" w14:paraId="596ECFB3" w14:textId="77777777">
      <w:pPr>
        <w:pStyle w:val="ParaNum"/>
      </w:pPr>
      <w:r>
        <w:t>T</w:t>
      </w:r>
      <w:r w:rsidR="00E460F2">
        <w:t xml:space="preserve">he Commission adopted the </w:t>
      </w:r>
      <w:r w:rsidR="00E93EDB">
        <w:t xml:space="preserve">location adjustment process in the </w:t>
      </w:r>
      <w:r w:rsidRPr="00D77C0D" w:rsidR="00E93EDB">
        <w:rPr>
          <w:i/>
          <w:iCs/>
        </w:rPr>
        <w:t>PR-USVI Stage 2 Order</w:t>
      </w:r>
      <w:r w:rsidR="00E93EDB">
        <w:t>,</w:t>
      </w:r>
      <w:r w:rsidR="00060F94">
        <w:t xml:space="preserve"> </w:t>
      </w:r>
      <w:r w:rsidR="002A167A">
        <w:t xml:space="preserve">and </w:t>
      </w:r>
      <w:r w:rsidR="00EA1471">
        <w:t xml:space="preserve">any </w:t>
      </w:r>
      <w:r w:rsidR="00060F94">
        <w:t xml:space="preserve">parties </w:t>
      </w:r>
      <w:r w:rsidR="00EF7847">
        <w:t xml:space="preserve">were required to </w:t>
      </w:r>
      <w:r w:rsidR="00060F94">
        <w:t xml:space="preserve">file a petition for reconsideration within 30 days of the publication of the </w:t>
      </w:r>
      <w:r w:rsidRPr="00D77C0D" w:rsidR="00060F94">
        <w:rPr>
          <w:i/>
          <w:iCs/>
        </w:rPr>
        <w:t>Order</w:t>
      </w:r>
      <w:r w:rsidR="00060F94">
        <w:t xml:space="preserve"> in the Federal Register</w:t>
      </w:r>
      <w:r w:rsidR="00A15588">
        <w:t>, which was</w:t>
      </w:r>
      <w:r w:rsidR="006F3A3D">
        <w:t xml:space="preserve"> </w:t>
      </w:r>
      <w:r w:rsidR="006750E0">
        <w:t xml:space="preserve">December </w:t>
      </w:r>
      <w:r w:rsidR="00660C8D">
        <w:t>9</w:t>
      </w:r>
      <w:r w:rsidR="006750E0">
        <w:t>, 2019</w:t>
      </w:r>
      <w:r w:rsidR="00060F94">
        <w:t>.</w:t>
      </w:r>
      <w:r>
        <w:rPr>
          <w:rStyle w:val="FootnoteReference"/>
        </w:rPr>
        <w:footnoteReference w:id="76"/>
      </w:r>
      <w:r w:rsidR="008B640C">
        <w:t xml:space="preserve">  </w:t>
      </w:r>
      <w:r w:rsidR="004C6DC1">
        <w:t>Since that date has long passed, rather</w:t>
      </w:r>
      <w:r w:rsidR="00FF463B">
        <w:t xml:space="preserve"> tha</w:t>
      </w:r>
      <w:r w:rsidR="00894E40">
        <w:t xml:space="preserve">n seeking </w:t>
      </w:r>
      <w:r w:rsidR="0020439E">
        <w:t xml:space="preserve">timely </w:t>
      </w:r>
      <w:r w:rsidR="00894E40">
        <w:t>reconsideration</w:t>
      </w:r>
      <w:r w:rsidR="00AB4F71">
        <w:t xml:space="preserve"> of the </w:t>
      </w:r>
      <w:r w:rsidRPr="00D77C0D" w:rsidR="00AB4F71">
        <w:rPr>
          <w:i/>
          <w:iCs/>
        </w:rPr>
        <w:t>Order</w:t>
      </w:r>
      <w:r w:rsidR="0020439E">
        <w:t xml:space="preserve">, </w:t>
      </w:r>
      <w:r w:rsidR="007541AB">
        <w:t xml:space="preserve">PRTC, </w:t>
      </w:r>
      <w:r w:rsidR="002B2E0A">
        <w:t xml:space="preserve">BBVI, </w:t>
      </w:r>
      <w:r w:rsidR="00EA5BCA">
        <w:t xml:space="preserve">and </w:t>
      </w:r>
      <w:r w:rsidR="002B2E0A">
        <w:t xml:space="preserve">AeroNet </w:t>
      </w:r>
      <w:r w:rsidR="00FF3977">
        <w:t xml:space="preserve">improperly </w:t>
      </w:r>
      <w:r w:rsidR="002D1ECF">
        <w:t xml:space="preserve">attempt to have </w:t>
      </w:r>
      <w:r w:rsidR="001345E6">
        <w:t>the Bur</w:t>
      </w:r>
      <w:r w:rsidR="003D3275">
        <w:t xml:space="preserve">eau </w:t>
      </w:r>
      <w:r w:rsidR="008B69A9">
        <w:t>reconsider</w:t>
      </w:r>
      <w:r w:rsidR="0020439E">
        <w:t xml:space="preserve"> the </w:t>
      </w:r>
      <w:r w:rsidR="003D7914">
        <w:t xml:space="preserve">Commission’s </w:t>
      </w:r>
      <w:r w:rsidR="0020439E">
        <w:t xml:space="preserve">location adjustment process </w:t>
      </w:r>
      <w:r w:rsidR="000650B3">
        <w:t xml:space="preserve">and </w:t>
      </w:r>
      <w:r w:rsidRPr="00FF3977" w:rsidR="00FF3977">
        <w:rPr>
          <w:i/>
          <w:iCs/>
        </w:rPr>
        <w:t>pro rata</w:t>
      </w:r>
      <w:r w:rsidR="000650B3">
        <w:t xml:space="preserve"> support </w:t>
      </w:r>
      <w:r w:rsidR="002C2E41">
        <w:t xml:space="preserve">determinations </w:t>
      </w:r>
      <w:r w:rsidR="00876356">
        <w:t xml:space="preserve">in comments </w:t>
      </w:r>
      <w:r w:rsidR="00BA222E">
        <w:t xml:space="preserve">and an </w:t>
      </w:r>
      <w:r w:rsidRPr="007930F5" w:rsidR="00BA222E">
        <w:rPr>
          <w:i/>
          <w:iCs/>
        </w:rPr>
        <w:t>ex parte</w:t>
      </w:r>
      <w:r w:rsidR="00BA222E">
        <w:t xml:space="preserve"> letter </w:t>
      </w:r>
      <w:r w:rsidR="00876356">
        <w:t xml:space="preserve">submitted </w:t>
      </w:r>
      <w:r w:rsidR="006F3A3D">
        <w:t xml:space="preserve">in response to </w:t>
      </w:r>
      <w:r w:rsidR="008239AC">
        <w:t xml:space="preserve">Reconsideration Petition </w:t>
      </w:r>
      <w:r w:rsidR="003E3D47">
        <w:t xml:space="preserve">of </w:t>
      </w:r>
      <w:r w:rsidR="00876356">
        <w:t>th</w:t>
      </w:r>
      <w:r w:rsidR="00994488">
        <w:t xml:space="preserve">e </w:t>
      </w:r>
      <w:r w:rsidRPr="00D77C0D" w:rsidR="00994488">
        <w:rPr>
          <w:i/>
          <w:iCs/>
        </w:rPr>
        <w:t>Reserve Prices Public Notice</w:t>
      </w:r>
      <w:r w:rsidR="00994488">
        <w:t xml:space="preserve"> that announce</w:t>
      </w:r>
      <w:r w:rsidR="00E36F37">
        <w:t>d</w:t>
      </w:r>
      <w:r w:rsidR="00994488">
        <w:t xml:space="preserve"> the </w:t>
      </w:r>
      <w:r w:rsidR="00E36F37">
        <w:t>location counts for</w:t>
      </w:r>
      <w:r w:rsidR="00994488">
        <w:t xml:space="preserve"> the geographic area</w:t>
      </w:r>
      <w:r w:rsidR="00306B2C">
        <w:t>s established for the Territories.</w:t>
      </w:r>
      <w:r w:rsidR="00B73CC3">
        <w:t xml:space="preserve">  </w:t>
      </w:r>
      <w:r>
        <w:t xml:space="preserve">Because the parties instead seek reconsideration of the location adjustment process and </w:t>
      </w:r>
      <w:r w:rsidRPr="00FF3977" w:rsidR="00FF3977">
        <w:rPr>
          <w:i/>
          <w:iCs/>
        </w:rPr>
        <w:t>pro rata</w:t>
      </w:r>
      <w:r>
        <w:t xml:space="preserve"> reduction of support, we dismiss this reconsideration as untimely.</w:t>
      </w:r>
    </w:p>
    <w:p w:rsidR="0063089D" w:rsidP="00A61441" w14:paraId="0B22E26B" w14:textId="77777777">
      <w:pPr>
        <w:pStyle w:val="ParaNum"/>
      </w:pPr>
      <w:r>
        <w:t xml:space="preserve">With regard to </w:t>
      </w:r>
      <w:r w:rsidR="00FF3977">
        <w:t xml:space="preserve">its </w:t>
      </w:r>
      <w:r w:rsidR="00B71B5D">
        <w:t>Reconsideration Petition,</w:t>
      </w:r>
      <w:r w:rsidR="006C041A">
        <w:t xml:space="preserve"> Viya </w:t>
      </w:r>
      <w:r w:rsidR="00E225D2">
        <w:t xml:space="preserve">sought review of </w:t>
      </w:r>
      <w:r w:rsidR="00114262">
        <w:t>the Bureau</w:t>
      </w:r>
      <w:r w:rsidR="0042036A">
        <w:t xml:space="preserve">’s determination of the location data announced in the </w:t>
      </w:r>
      <w:r w:rsidRPr="00926616" w:rsidR="0042036A">
        <w:rPr>
          <w:i/>
          <w:iCs/>
        </w:rPr>
        <w:t>Reserve Prices Public Notice</w:t>
      </w:r>
      <w:r w:rsidR="00F45442">
        <w:t xml:space="preserve"> and not reconsideration of the location adjustment process.</w:t>
      </w:r>
      <w:r>
        <w:rPr>
          <w:rStyle w:val="FootnoteReference"/>
        </w:rPr>
        <w:footnoteReference w:id="77"/>
      </w:r>
      <w:r w:rsidR="00B71B5D">
        <w:t xml:space="preserve"> </w:t>
      </w:r>
      <w:r w:rsidR="0042036A">
        <w:t xml:space="preserve"> </w:t>
      </w:r>
      <w:r w:rsidR="006D0A86">
        <w:t xml:space="preserve">As discussed above, </w:t>
      </w:r>
      <w:r w:rsidR="00183F6D">
        <w:t>we</w:t>
      </w:r>
      <w:r w:rsidR="006D0A86">
        <w:t xml:space="preserve"> </w:t>
      </w:r>
      <w:r w:rsidR="00183F6D">
        <w:t xml:space="preserve">have </w:t>
      </w:r>
      <w:r w:rsidR="006D0A86">
        <w:t>fully</w:t>
      </w:r>
      <w:r w:rsidR="004C0C4C">
        <w:t xml:space="preserve"> resolved</w:t>
      </w:r>
      <w:r w:rsidR="00AA2558">
        <w:t xml:space="preserve"> the issues specifically raised by</w:t>
      </w:r>
      <w:r w:rsidR="00C66184">
        <w:t xml:space="preserve"> Viya’s petition</w:t>
      </w:r>
      <w:r w:rsidR="00B129CA">
        <w:t>, c</w:t>
      </w:r>
      <w:r w:rsidR="0018481E">
        <w:t>onclud</w:t>
      </w:r>
      <w:r w:rsidR="00B129CA">
        <w:t>ing</w:t>
      </w:r>
      <w:r w:rsidR="0018481E">
        <w:t xml:space="preserve"> that </w:t>
      </w:r>
      <w:r w:rsidR="00C66184">
        <w:t xml:space="preserve">the Bureau’s </w:t>
      </w:r>
      <w:r w:rsidR="006D0A86">
        <w:t>methodology</w:t>
      </w:r>
      <w:r w:rsidR="00B661FB">
        <w:t xml:space="preserve"> </w:t>
      </w:r>
      <w:r w:rsidR="00C66184">
        <w:t xml:space="preserve">to </w:t>
      </w:r>
      <w:r w:rsidR="0089410B">
        <w:t>determine</w:t>
      </w:r>
      <w:r w:rsidR="00B661FB">
        <w:t xml:space="preserve"> the location counts </w:t>
      </w:r>
      <w:r w:rsidR="007C4249">
        <w:t xml:space="preserve">is consistent with </w:t>
      </w:r>
      <w:r w:rsidR="00B661FB">
        <w:t>the Commission’s direction to use the most recent Census data</w:t>
      </w:r>
      <w:r w:rsidR="00C621D4">
        <w:t xml:space="preserve"> and provided that</w:t>
      </w:r>
      <w:r w:rsidR="00183F6D">
        <w:t xml:space="preserve"> a</w:t>
      </w:r>
      <w:r w:rsidR="0064220B">
        <w:t>n updated</w:t>
      </w:r>
      <w:r w:rsidR="00796C9B">
        <w:t xml:space="preserve"> public notice announcing </w:t>
      </w:r>
      <w:r w:rsidR="0064220B">
        <w:t xml:space="preserve">revised </w:t>
      </w:r>
      <w:r w:rsidR="00796C9B">
        <w:t xml:space="preserve">locations counts </w:t>
      </w:r>
      <w:r w:rsidR="0064220B">
        <w:t>based on 2018</w:t>
      </w:r>
      <w:r w:rsidR="00F15EC0">
        <w:t xml:space="preserve"> data </w:t>
      </w:r>
      <w:r w:rsidR="00796C9B">
        <w:t>will be released.</w:t>
      </w:r>
      <w:r>
        <w:rPr>
          <w:rStyle w:val="FootnoteReference"/>
        </w:rPr>
        <w:footnoteReference w:id="78"/>
      </w:r>
      <w:r w:rsidR="00E02017">
        <w:t xml:space="preserve"> </w:t>
      </w:r>
      <w:r w:rsidR="006D0A86">
        <w:t xml:space="preserve"> </w:t>
      </w:r>
      <w:r w:rsidR="00065A60">
        <w:t xml:space="preserve">We find </w:t>
      </w:r>
      <w:r w:rsidR="00065A60">
        <w:t xml:space="preserve">that </w:t>
      </w:r>
      <w:r w:rsidR="000622E6">
        <w:t xml:space="preserve">Viya </w:t>
      </w:r>
      <w:r w:rsidR="002C4ABD">
        <w:t>did not seek reconsideration of the location adjustment process in this proceeding</w:t>
      </w:r>
      <w:r w:rsidR="0098200F">
        <w:t xml:space="preserve"> based on a short reference to the </w:t>
      </w:r>
      <w:r w:rsidR="0023297E">
        <w:t xml:space="preserve">draft </w:t>
      </w:r>
      <w:r w:rsidRPr="008C5AB2" w:rsidR="0023297E">
        <w:rPr>
          <w:i/>
          <w:iCs/>
        </w:rPr>
        <w:t>Rural Digital Opportunity Fund Order</w:t>
      </w:r>
      <w:r w:rsidR="002C4ABD">
        <w:t>.</w:t>
      </w:r>
      <w:r>
        <w:rPr>
          <w:rStyle w:val="FootnoteReference"/>
        </w:rPr>
        <w:footnoteReference w:id="79"/>
      </w:r>
      <w:r w:rsidR="002C4ABD">
        <w:t xml:space="preserve">  </w:t>
      </w:r>
    </w:p>
    <w:p w:rsidR="005E0B08" w:rsidP="00347B3E" w14:paraId="5454D4EC" w14:textId="77777777">
      <w:pPr>
        <w:pStyle w:val="ParaNum"/>
      </w:pPr>
      <w:r>
        <w:t>Not</w:t>
      </w:r>
      <w:r w:rsidR="00156268">
        <w:t xml:space="preserve">withstanding the untimely nature of the reconsideration </w:t>
      </w:r>
      <w:r w:rsidR="00D5317B">
        <w:t>requests</w:t>
      </w:r>
      <w:r w:rsidR="00156268">
        <w:t xml:space="preserve">, </w:t>
      </w:r>
      <w:r w:rsidR="008A2A53">
        <w:t>we deny</w:t>
      </w:r>
      <w:r w:rsidR="009C57CC">
        <w:t xml:space="preserve"> </w:t>
      </w:r>
      <w:r w:rsidR="00D5317B">
        <w:t xml:space="preserve">the requests to modify the </w:t>
      </w:r>
      <w:r w:rsidR="00561416">
        <w:t xml:space="preserve">location adjustment process </w:t>
      </w:r>
      <w:r w:rsidR="008A2A53">
        <w:t xml:space="preserve">on </w:t>
      </w:r>
      <w:r w:rsidR="00217A8D">
        <w:t>other grounds</w:t>
      </w:r>
      <w:r w:rsidR="008A2A53">
        <w:t xml:space="preserve">.  </w:t>
      </w:r>
      <w:r w:rsidR="0073699E">
        <w:t>Under the Commission’s rules, a party seeking reconsideration of</w:t>
      </w:r>
      <w:r w:rsidR="009F7695">
        <w:t xml:space="preserve"> the </w:t>
      </w:r>
      <w:r w:rsidRPr="00D77C0D" w:rsidR="009F7695">
        <w:rPr>
          <w:i/>
          <w:iCs/>
        </w:rPr>
        <w:t>PR-USVI Stage 2 Order</w:t>
      </w:r>
      <w:r w:rsidR="009F7695">
        <w:t xml:space="preserve"> must </w:t>
      </w:r>
      <w:r w:rsidR="004970CF">
        <w:t>rely on facts or a</w:t>
      </w:r>
      <w:r w:rsidR="00C65556">
        <w:t>rg</w:t>
      </w:r>
      <w:r w:rsidR="004970CF">
        <w:t>uments not previously presented to the Commission</w:t>
      </w:r>
      <w:r w:rsidR="0033399C">
        <w:t xml:space="preserve"> </w:t>
      </w:r>
      <w:r w:rsidR="006F3A3D">
        <w:t xml:space="preserve">that </w:t>
      </w:r>
      <w:r w:rsidR="00587023">
        <w:t xml:space="preserve">(1) </w:t>
      </w:r>
      <w:r w:rsidR="00246479">
        <w:t xml:space="preserve">relate to events which have </w:t>
      </w:r>
      <w:r w:rsidR="0033399C">
        <w:t xml:space="preserve">occurred or </w:t>
      </w:r>
      <w:r w:rsidR="00F31C58">
        <w:t xml:space="preserve">where </w:t>
      </w:r>
      <w:r w:rsidR="0033399C">
        <w:t>circumstances have changed</w:t>
      </w:r>
      <w:r w:rsidR="00D278CE">
        <w:t xml:space="preserve"> since last presented</w:t>
      </w:r>
      <w:r w:rsidR="0033399C">
        <w:t>; (2)</w:t>
      </w:r>
      <w:r w:rsidR="00C65556">
        <w:t xml:space="preserve"> </w:t>
      </w:r>
      <w:r w:rsidR="00587023">
        <w:t xml:space="preserve">were unknown to petitioner until after the petitioner’s last opportunity to present them to </w:t>
      </w:r>
      <w:r w:rsidR="00AA2105">
        <w:t xml:space="preserve">the Commission and </w:t>
      </w:r>
      <w:r w:rsidR="00F31C58">
        <w:t xml:space="preserve">where the petitioner </w:t>
      </w:r>
      <w:r w:rsidR="00AA2105">
        <w:t>could not have lear</w:t>
      </w:r>
      <w:r w:rsidR="00235592">
        <w:t>n</w:t>
      </w:r>
      <w:r w:rsidR="00AA2105">
        <w:t xml:space="preserve">ed of the facts or arguments previously; or (3) </w:t>
      </w:r>
      <w:r w:rsidR="00235592">
        <w:t>consideration of the fa</w:t>
      </w:r>
      <w:r w:rsidR="00353AD4">
        <w:t>c</w:t>
      </w:r>
      <w:r w:rsidR="00235592">
        <w:t>ts or arguments is in the public interest.</w:t>
      </w:r>
      <w:r>
        <w:rPr>
          <w:rStyle w:val="FootnoteReference"/>
        </w:rPr>
        <w:footnoteReference w:id="80"/>
      </w:r>
      <w:r w:rsidR="00235592">
        <w:t xml:space="preserve">  </w:t>
      </w:r>
      <w:r w:rsidRPr="000556F2" w:rsidR="00C04611">
        <w:t xml:space="preserve">As a preliminary matter, we observe that, under Commission rules, </w:t>
      </w:r>
      <w:r w:rsidRPr="000556F2" w:rsidR="00C04611">
        <w:rPr>
          <w:szCs w:val="22"/>
        </w:rPr>
        <w:t>if a petition for reconsideration simply repeats arguments that were previously considered and rejected in the proceeding, it will not likely warrant reconsideration.</w:t>
      </w:r>
      <w:r>
        <w:rPr>
          <w:rStyle w:val="FootnoteReference"/>
          <w:szCs w:val="22"/>
        </w:rPr>
        <w:footnoteReference w:id="81"/>
      </w:r>
      <w:r w:rsidR="007B7033">
        <w:rPr>
          <w:szCs w:val="22"/>
        </w:rPr>
        <w:t xml:space="preserve">  </w:t>
      </w:r>
    </w:p>
    <w:p w:rsidR="00B07F40" w:rsidP="00EB0D6F" w14:paraId="55794876" w14:textId="77777777">
      <w:pPr>
        <w:pStyle w:val="ParaNum"/>
      </w:pPr>
      <w:r>
        <w:t xml:space="preserve">With this standard in mind, </w:t>
      </w:r>
      <w:r w:rsidR="00A11D79">
        <w:t>t</w:t>
      </w:r>
      <w:r w:rsidR="00AA2AC9">
        <w:t xml:space="preserve">he Commission previously considered comments and arguments </w:t>
      </w:r>
      <w:r w:rsidR="002E7256">
        <w:t xml:space="preserve">reiterated </w:t>
      </w:r>
      <w:r w:rsidR="005E0B08">
        <w:t>by the parties</w:t>
      </w:r>
      <w:r w:rsidR="008F2834">
        <w:t xml:space="preserve"> </w:t>
      </w:r>
      <w:r w:rsidR="00FB7815">
        <w:t>related to the location adjustment process</w:t>
      </w:r>
      <w:r w:rsidR="001D2BA3">
        <w:t xml:space="preserve"> and </w:t>
      </w:r>
      <w:r w:rsidR="000A3B11">
        <w:t xml:space="preserve">pro rata </w:t>
      </w:r>
      <w:r w:rsidR="001D2BA3">
        <w:t>support reduction</w:t>
      </w:r>
      <w:r w:rsidR="008F2834">
        <w:t xml:space="preserve"> adopted in the </w:t>
      </w:r>
      <w:r w:rsidRPr="00D77C0D" w:rsidR="008F2834">
        <w:rPr>
          <w:i/>
          <w:iCs/>
        </w:rPr>
        <w:t>PR-USVI Stage 2 Order</w:t>
      </w:r>
      <w:r w:rsidR="00FB7815">
        <w:t>.</w:t>
      </w:r>
      <w:r>
        <w:rPr>
          <w:rStyle w:val="FootnoteReference"/>
        </w:rPr>
        <w:footnoteReference w:id="82"/>
      </w:r>
      <w:r w:rsidR="00FB7815">
        <w:t xml:space="preserve">  </w:t>
      </w:r>
      <w:r w:rsidR="00DA7F72">
        <w:t xml:space="preserve">We are </w:t>
      </w:r>
      <w:r w:rsidR="00B6349D">
        <w:t>unpersuaded by the commenters</w:t>
      </w:r>
      <w:r w:rsidR="00BC1B44">
        <w:t>’</w:t>
      </w:r>
      <w:r w:rsidR="00B6349D">
        <w:t xml:space="preserve"> claim that support recipients of the Stage 2 fixed competitive process </w:t>
      </w:r>
      <w:r w:rsidR="00F27CF1">
        <w:t>will be treated unfairly in comparison to recipients of the Rural Digital Opportunity Fund.</w:t>
      </w:r>
      <w:r>
        <w:rPr>
          <w:rStyle w:val="FootnoteReference"/>
        </w:rPr>
        <w:footnoteReference w:id="83"/>
      </w:r>
      <w:r w:rsidR="00F27CF1">
        <w:t xml:space="preserve">  </w:t>
      </w:r>
      <w:r w:rsidR="002E7256">
        <w:t>Based on the record,</w:t>
      </w:r>
      <w:r w:rsidR="00776438">
        <w:t xml:space="preserve"> and</w:t>
      </w:r>
      <w:r w:rsidR="00AD7387">
        <w:t xml:space="preserve"> following </w:t>
      </w:r>
      <w:r w:rsidR="0089208D">
        <w:t>Hurricanes Maria and Irma,</w:t>
      </w:r>
      <w:r w:rsidR="002E7256">
        <w:t xml:space="preserve"> t</w:t>
      </w:r>
      <w:r w:rsidR="00993ED6">
        <w:t xml:space="preserve">he </w:t>
      </w:r>
      <w:r w:rsidR="005322B9">
        <w:t xml:space="preserve">Commission crafted the </w:t>
      </w:r>
      <w:r w:rsidR="00707DDE">
        <w:t>mandatory one</w:t>
      </w:r>
      <w:r w:rsidR="003528EC">
        <w:t>-</w:t>
      </w:r>
      <w:r w:rsidR="00707DDE">
        <w:t xml:space="preserve">year and </w:t>
      </w:r>
      <w:r w:rsidR="00433B2A">
        <w:t>voluntary fifth</w:t>
      </w:r>
      <w:r w:rsidR="003528EC">
        <w:t>-</w:t>
      </w:r>
      <w:r w:rsidR="00433B2A">
        <w:t xml:space="preserve">year </w:t>
      </w:r>
      <w:r w:rsidR="005322B9">
        <w:t xml:space="preserve">location adjustment process to safeguard against inaccurate data </w:t>
      </w:r>
      <w:r w:rsidR="001D316B">
        <w:t xml:space="preserve">and to ensure </w:t>
      </w:r>
      <w:r w:rsidR="00FC6ABD">
        <w:t>that all areas are eligible for suppor</w:t>
      </w:r>
      <w:r w:rsidR="00591866">
        <w:t>t for deployment</w:t>
      </w:r>
      <w:r w:rsidR="00B739FC">
        <w:t>.</w:t>
      </w:r>
      <w:r>
        <w:rPr>
          <w:rStyle w:val="FootnoteReference"/>
        </w:rPr>
        <w:footnoteReference w:id="84"/>
      </w:r>
      <w:r w:rsidR="00B739FC">
        <w:t xml:space="preserve"> </w:t>
      </w:r>
      <w:r w:rsidR="00591866">
        <w:t xml:space="preserve"> </w:t>
      </w:r>
      <w:r w:rsidR="002835B7">
        <w:t>In adopting the support reduction</w:t>
      </w:r>
      <w:r w:rsidR="003F2680">
        <w:t xml:space="preserve"> provision</w:t>
      </w:r>
      <w:r w:rsidR="002835B7">
        <w:t xml:space="preserve"> as part of the location adjustment process, the Commission reasonably </w:t>
      </w:r>
      <w:r w:rsidR="009D0AF6">
        <w:t>considered</w:t>
      </w:r>
      <w:r w:rsidR="002835B7">
        <w:t xml:space="preserve"> the need </w:t>
      </w:r>
      <w:r w:rsidR="00826798">
        <w:t>for the efficient use of support in light of lowering the high-cost threshold</w:t>
      </w:r>
      <w:r w:rsidR="009D0AF6">
        <w:t xml:space="preserve"> </w:t>
      </w:r>
      <w:r w:rsidR="00017408">
        <w:t>to ensure eligibility of all areas</w:t>
      </w:r>
      <w:r w:rsidR="00DD2142">
        <w:t xml:space="preserve"> in the Territories</w:t>
      </w:r>
      <w:r w:rsidR="00017408">
        <w:t xml:space="preserve"> for support</w:t>
      </w:r>
      <w:r w:rsidR="00E73A0D">
        <w:t xml:space="preserve">, </w:t>
      </w:r>
      <w:r w:rsidR="009148E7">
        <w:t xml:space="preserve">including </w:t>
      </w:r>
      <w:r w:rsidR="00E73A0D">
        <w:t>areas where service is available</w:t>
      </w:r>
      <w:r w:rsidR="009148E7">
        <w:t xml:space="preserve"> from</w:t>
      </w:r>
      <w:r w:rsidR="00E73A0D">
        <w:t xml:space="preserve"> unsubsidized competitors</w:t>
      </w:r>
      <w:r w:rsidR="00554137">
        <w:t xml:space="preserve">.  </w:t>
      </w:r>
      <w:r w:rsidR="00E26728">
        <w:t>In adopting the deployment obli</w:t>
      </w:r>
      <w:r w:rsidR="00E2026E">
        <w:t>g</w:t>
      </w:r>
      <w:r w:rsidR="00E26728">
        <w:t>ations</w:t>
      </w:r>
      <w:r w:rsidR="00E2026E">
        <w:t xml:space="preserve"> and areas eligible for support, the Commission reasonably </w:t>
      </w:r>
      <w:r w:rsidR="00F44318">
        <w:t xml:space="preserve">considered that it did </w:t>
      </w:r>
      <w:r w:rsidR="00C91600">
        <w:t>not wish to provide support for non-existent locations</w:t>
      </w:r>
      <w:r w:rsidR="00E73A0D">
        <w:t>.</w:t>
      </w:r>
      <w:r>
        <w:rPr>
          <w:rStyle w:val="FootnoteReference"/>
        </w:rPr>
        <w:footnoteReference w:id="85"/>
      </w:r>
      <w:r w:rsidR="0062622F">
        <w:t xml:space="preserve">  For these reasons, the Commission</w:t>
      </w:r>
      <w:r w:rsidR="000C5977">
        <w:t xml:space="preserve"> adopted a one-year location adjustment process that included the </w:t>
      </w:r>
      <w:r w:rsidRPr="00FF3977" w:rsidR="00FF3977">
        <w:rPr>
          <w:i/>
          <w:iCs/>
        </w:rPr>
        <w:t>pro rata</w:t>
      </w:r>
      <w:r w:rsidR="000C5977">
        <w:t xml:space="preserve"> reduction of suppo</w:t>
      </w:r>
      <w:r w:rsidR="00BB219B">
        <w:t xml:space="preserve">rt specifically based on the record of this proceeding and on the </w:t>
      </w:r>
      <w:r w:rsidR="00397640">
        <w:t>unique</w:t>
      </w:r>
      <w:r w:rsidR="00A532E6">
        <w:t xml:space="preserve"> circumstances and characteri</w:t>
      </w:r>
      <w:r w:rsidR="00397640">
        <w:t xml:space="preserve">stics </w:t>
      </w:r>
      <w:r w:rsidR="00BB219B">
        <w:t xml:space="preserve">of </w:t>
      </w:r>
      <w:r w:rsidR="00A532E6">
        <w:t>Territories.</w:t>
      </w:r>
      <w:r w:rsidR="004D083E">
        <w:t xml:space="preserve"> </w:t>
      </w:r>
      <w:r w:rsidR="00880183">
        <w:t xml:space="preserve"> </w:t>
      </w:r>
      <w:r w:rsidR="00FE3357">
        <w:t xml:space="preserve">Thus, the public interest </w:t>
      </w:r>
      <w:r w:rsidR="00D92177">
        <w:t xml:space="preserve">is not </w:t>
      </w:r>
      <w:r w:rsidR="00FE3357">
        <w:t xml:space="preserve">served by </w:t>
      </w:r>
      <w:r w:rsidR="003D42B1">
        <w:t xml:space="preserve">modifying the location adjustment process </w:t>
      </w:r>
      <w:r w:rsidR="000A1109">
        <w:t xml:space="preserve">adopted in the </w:t>
      </w:r>
      <w:r w:rsidRPr="00D77C0D" w:rsidR="000A1109">
        <w:rPr>
          <w:i/>
          <w:iCs/>
        </w:rPr>
        <w:t>PR-USVI Stage 2 Order</w:t>
      </w:r>
      <w:r w:rsidR="00071E6E">
        <w:t>.</w:t>
      </w:r>
      <w:r w:rsidR="002F028A">
        <w:t xml:space="preserve">  </w:t>
      </w:r>
      <w:r w:rsidR="000A1109">
        <w:t xml:space="preserve"> </w:t>
      </w:r>
    </w:p>
    <w:p w:rsidR="00FB010F" w14:paraId="28DDB1D5" w14:textId="77777777">
      <w:pPr>
        <w:pStyle w:val="ParaNum"/>
      </w:pPr>
      <w:r>
        <w:t xml:space="preserve">We acknowledge that the Commission adopted in the </w:t>
      </w:r>
      <w:r w:rsidRPr="00EB0D6F">
        <w:rPr>
          <w:i/>
          <w:iCs/>
        </w:rPr>
        <w:t>Rural Digital Opportunity Fund Order</w:t>
      </w:r>
      <w:r>
        <w:t xml:space="preserve"> a modified location adjustment process.  However, we are not persuaded by Viya, PRTC, Broadband VI, and AeroNet that the Commission’s adoption of a modified location adjustment process in a separate proceeding is a changed circumstance on which a party may seek reconsideration</w:t>
      </w:r>
      <w:r w:rsidR="004B7A3F">
        <w:t xml:space="preserve"> due to </w:t>
      </w:r>
      <w:r w:rsidR="008208FE">
        <w:t>an uns</w:t>
      </w:r>
      <w:r w:rsidR="001F343E">
        <w:t>upported argument that applicants of the Uniendo a Puerto Rico Fund and Connect USVI Fund w</w:t>
      </w:r>
      <w:r w:rsidR="00B07F40">
        <w:t>i</w:t>
      </w:r>
      <w:r w:rsidR="001F343E">
        <w:t>ll be treated unfairly</w:t>
      </w:r>
      <w:r w:rsidR="007E2D9C">
        <w:t>.</w:t>
      </w:r>
      <w:r>
        <w:rPr>
          <w:rStyle w:val="FootnoteReference"/>
        </w:rPr>
        <w:footnoteReference w:id="86"/>
      </w:r>
      <w:r w:rsidR="007E2D9C">
        <w:t xml:space="preserve">  A</w:t>
      </w:r>
      <w:r w:rsidR="00462E77">
        <w:t xml:space="preserve">s a general rule, </w:t>
      </w:r>
      <w:r w:rsidR="00122341">
        <w:t>not all standards or requirements adopted by the Commission may universally apply to all high-cost programs</w:t>
      </w:r>
      <w:r w:rsidR="005062CA">
        <w:t>, and b</w:t>
      </w:r>
      <w:r w:rsidR="00F15169">
        <w:t>ased on the record in this proceeding, the Commission</w:t>
      </w:r>
      <w:r w:rsidR="00787944">
        <w:t xml:space="preserve"> </w:t>
      </w:r>
      <w:r w:rsidR="00787944">
        <w:t xml:space="preserve">tailored the </w:t>
      </w:r>
      <w:r w:rsidR="003B033B">
        <w:t xml:space="preserve">Stage 2 </w:t>
      </w:r>
      <w:r w:rsidR="007224D7">
        <w:t xml:space="preserve">fixed competitive process, as well as the </w:t>
      </w:r>
      <w:r w:rsidR="00787944">
        <w:t>location adjustment process</w:t>
      </w:r>
      <w:r w:rsidR="007224D7">
        <w:t>,</w:t>
      </w:r>
      <w:r w:rsidR="007A353F">
        <w:t xml:space="preserve"> for the unique characteristics and operating conditions </w:t>
      </w:r>
      <w:r w:rsidR="00880183">
        <w:t xml:space="preserve">of </w:t>
      </w:r>
      <w:r w:rsidR="00462E77">
        <w:t>the Territories</w:t>
      </w:r>
      <w:r w:rsidR="007E2D9C">
        <w:t xml:space="preserve">.  Unlike </w:t>
      </w:r>
      <w:r w:rsidR="008E2C5C">
        <w:t>the Rural Digital Opportunity Fund</w:t>
      </w:r>
      <w:r w:rsidR="006C1924">
        <w:t xml:space="preserve">, the </w:t>
      </w:r>
      <w:r w:rsidR="005B03FF">
        <w:t xml:space="preserve">Commission determined the </w:t>
      </w:r>
      <w:r w:rsidR="00D512AE">
        <w:t xml:space="preserve">need for the </w:t>
      </w:r>
      <w:r w:rsidR="005B03FF">
        <w:t xml:space="preserve">mandatory one-year </w:t>
      </w:r>
      <w:r w:rsidR="004531AC">
        <w:t xml:space="preserve">location adjustment process </w:t>
      </w:r>
      <w:r w:rsidR="008F0BD0">
        <w:t>to be</w:t>
      </w:r>
      <w:r w:rsidR="004531AC">
        <w:t xml:space="preserve"> </w:t>
      </w:r>
      <w:r w:rsidR="000A0837">
        <w:t>c</w:t>
      </w:r>
      <w:r w:rsidR="001C6E20">
        <w:t>ompelling</w:t>
      </w:r>
      <w:r w:rsidR="00BC6272">
        <w:t xml:space="preserve"> and adopted the </w:t>
      </w:r>
      <w:r w:rsidR="006D63DC">
        <w:t>one-year adjustment process</w:t>
      </w:r>
      <w:r w:rsidR="001C6E20">
        <w:t xml:space="preserve"> </w:t>
      </w:r>
      <w:r w:rsidR="004A18EC">
        <w:t xml:space="preserve">in order </w:t>
      </w:r>
      <w:r w:rsidR="001C6E20">
        <w:t xml:space="preserve">to determine the exact number of locations </w:t>
      </w:r>
      <w:r w:rsidR="00710131">
        <w:t>in the Territorie</w:t>
      </w:r>
      <w:r w:rsidR="004A18EC">
        <w:t>s</w:t>
      </w:r>
      <w:r w:rsidR="00644C7D">
        <w:t>—as the degree of the location problem is unknown</w:t>
      </w:r>
      <w:r w:rsidR="00417EB7">
        <w:t xml:space="preserve">—due to the high-level of destruction and population shifts </w:t>
      </w:r>
      <w:r w:rsidR="00F96D7B">
        <w:t>resulting from Hurricanes Maria and Irma</w:t>
      </w:r>
      <w:r w:rsidR="001A4092">
        <w:t>.</w:t>
      </w:r>
      <w:r>
        <w:rPr>
          <w:rStyle w:val="FootnoteReference"/>
        </w:rPr>
        <w:footnoteReference w:id="87"/>
      </w:r>
      <w:r w:rsidR="001A4092">
        <w:t xml:space="preserve">  The Commission reasonably concluded that </w:t>
      </w:r>
      <w:r w:rsidR="00E3700D">
        <w:t xml:space="preserve">delaying the location adjustment process </w:t>
      </w:r>
      <w:r w:rsidR="006436E9">
        <w:t xml:space="preserve">until the </w:t>
      </w:r>
      <w:r w:rsidR="00902220">
        <w:t xml:space="preserve">sixth </w:t>
      </w:r>
      <w:r w:rsidR="00CD067C">
        <w:t xml:space="preserve">year </w:t>
      </w:r>
      <w:r w:rsidR="006436E9">
        <w:t xml:space="preserve">of support, </w:t>
      </w:r>
      <w:r w:rsidR="00057E32">
        <w:t xml:space="preserve">as </w:t>
      </w:r>
      <w:r w:rsidR="00CD067C">
        <w:t>adopted in the Rural Digital Opportunity Fund</w:t>
      </w:r>
      <w:r w:rsidR="00057E32">
        <w:t>, is insufficient to</w:t>
      </w:r>
      <w:r w:rsidR="006436E9">
        <w:t xml:space="preserve"> mitigate the </w:t>
      </w:r>
      <w:r w:rsidR="00730DE3">
        <w:t>issues with location accuracy</w:t>
      </w:r>
      <w:r w:rsidR="00CF1917">
        <w:t xml:space="preserve"> following the hurricanes</w:t>
      </w:r>
      <w:r w:rsidR="00730DE3">
        <w:t>.</w:t>
      </w:r>
      <w:r>
        <w:rPr>
          <w:rStyle w:val="FootnoteReference"/>
        </w:rPr>
        <w:footnoteReference w:id="88"/>
      </w:r>
    </w:p>
    <w:p w:rsidR="004650DA" w14:paraId="5BFBFF7C" w14:textId="77777777">
      <w:pPr>
        <w:pStyle w:val="ParaNum"/>
      </w:pPr>
      <w:r>
        <w:t>We are similarly un</w:t>
      </w:r>
      <w:r w:rsidR="00BC17CA">
        <w:t>convinced</w:t>
      </w:r>
      <w:r>
        <w:t xml:space="preserve"> by the parties’ request to review the adoption of the </w:t>
      </w:r>
      <w:r w:rsidRPr="005D7608">
        <w:rPr>
          <w:i/>
          <w:iCs/>
        </w:rPr>
        <w:t>pro rata</w:t>
      </w:r>
      <w:r>
        <w:t xml:space="preserve"> support reduction</w:t>
      </w:r>
      <w:r w:rsidR="00B36AC7">
        <w:t xml:space="preserve"> </w:t>
      </w:r>
      <w:r w:rsidR="000D43CB">
        <w:t xml:space="preserve">mechanism as part of the one-year location adjustment process of </w:t>
      </w:r>
      <w:r w:rsidR="00B36AC7">
        <w:t xml:space="preserve">the Uniendo a Puerto Rico Fund and the Connect USVI Fund.  </w:t>
      </w:r>
      <w:r w:rsidR="009B2F8B">
        <w:t>As we noted above, the Commission previously considered and declined to</w:t>
      </w:r>
      <w:r w:rsidR="00C2235A">
        <w:t xml:space="preserve"> adopt a proposal to</w:t>
      </w:r>
      <w:r w:rsidR="009B2F8B">
        <w:t xml:space="preserve"> </w:t>
      </w:r>
      <w:r w:rsidR="00CD579C">
        <w:t xml:space="preserve">apply a </w:t>
      </w:r>
      <w:r w:rsidRPr="005D7608" w:rsidR="00CD579C">
        <w:rPr>
          <w:i/>
          <w:iCs/>
        </w:rPr>
        <w:t>pro rata</w:t>
      </w:r>
      <w:r w:rsidR="00CD579C">
        <w:t xml:space="preserve"> reduction</w:t>
      </w:r>
      <w:r w:rsidR="00C2235A">
        <w:t xml:space="preserve"> of support </w:t>
      </w:r>
      <w:r w:rsidR="00B1658D">
        <w:t>only where the final number of locations is less than 90% of the total locations.</w:t>
      </w:r>
      <w:r>
        <w:rPr>
          <w:rStyle w:val="FootnoteReference"/>
        </w:rPr>
        <w:footnoteReference w:id="89"/>
      </w:r>
      <w:r w:rsidR="00CD579C">
        <w:t xml:space="preserve"> </w:t>
      </w:r>
      <w:r w:rsidR="008A21AD">
        <w:t xml:space="preserve"> Moreover, although </w:t>
      </w:r>
      <w:r w:rsidR="000477C4">
        <w:t>the</w:t>
      </w:r>
      <w:r w:rsidR="008A21AD">
        <w:t xml:space="preserve"> Commission </w:t>
      </w:r>
      <w:r w:rsidR="009B1531">
        <w:t xml:space="preserve">adopted </w:t>
      </w:r>
      <w:r w:rsidR="003E35EF">
        <w:t xml:space="preserve">a modified support reduction mechanism for the </w:t>
      </w:r>
      <w:r w:rsidR="000477C4">
        <w:t>Rural Digital Opportunity Fund,</w:t>
      </w:r>
      <w:r>
        <w:rPr>
          <w:rStyle w:val="FootnoteReference"/>
        </w:rPr>
        <w:footnoteReference w:id="90"/>
      </w:r>
      <w:r w:rsidR="000477C4">
        <w:t xml:space="preserve"> the Commission</w:t>
      </w:r>
      <w:r w:rsidR="008C2AC6">
        <w:t xml:space="preserve"> reasonably considered, on balance, the</w:t>
      </w:r>
      <w:r w:rsidR="00D66728">
        <w:t xml:space="preserve"> need for </w:t>
      </w:r>
      <w:r w:rsidRPr="005D7608" w:rsidR="002C13E8">
        <w:rPr>
          <w:i/>
          <w:iCs/>
        </w:rPr>
        <w:t>pro rata</w:t>
      </w:r>
      <w:r w:rsidR="002C13E8">
        <w:t xml:space="preserve"> </w:t>
      </w:r>
      <w:r w:rsidR="00D66728">
        <w:t xml:space="preserve">support reduction </w:t>
      </w:r>
      <w:r w:rsidR="004E71C2">
        <w:t xml:space="preserve">for the Territories </w:t>
      </w:r>
      <w:r w:rsidR="00D66728">
        <w:t xml:space="preserve">in light of the </w:t>
      </w:r>
      <w:r w:rsidR="00EB221D">
        <w:t>high-level of uncertainty regarding the location data post-hurricanes</w:t>
      </w:r>
      <w:r w:rsidR="00375CD3">
        <w:t xml:space="preserve"> for the Territories</w:t>
      </w:r>
      <w:r w:rsidR="00347D60">
        <w:t xml:space="preserve"> and concluded that the public interest will be best served to</w:t>
      </w:r>
      <w:r w:rsidR="002604C6">
        <w:t xml:space="preserve"> ensure that universal service support is wisely and efficiently spent.</w:t>
      </w:r>
      <w:r>
        <w:rPr>
          <w:rStyle w:val="FootnoteReference"/>
        </w:rPr>
        <w:footnoteReference w:id="91"/>
      </w:r>
      <w:r w:rsidR="00043C87">
        <w:t xml:space="preserve">  </w:t>
      </w:r>
      <w:r w:rsidR="00071E6E">
        <w:t>Therefore, we deny the petition to reconsider the location adjust process</w:t>
      </w:r>
      <w:r w:rsidR="00B44D7B">
        <w:t xml:space="preserve">, including the </w:t>
      </w:r>
      <w:r w:rsidRPr="005D7608" w:rsidR="00B44D7B">
        <w:rPr>
          <w:i/>
          <w:iCs/>
        </w:rPr>
        <w:t>pro rata</w:t>
      </w:r>
      <w:r w:rsidR="00B44D7B">
        <w:t xml:space="preserve"> support </w:t>
      </w:r>
      <w:r w:rsidR="008827CE">
        <w:t>reduction mechanism</w:t>
      </w:r>
      <w:r w:rsidR="00071E6E">
        <w:t>.</w:t>
      </w:r>
    </w:p>
    <w:p w:rsidR="006C0B39" w:rsidP="0097034E" w14:paraId="6D852058" w14:textId="77777777">
      <w:pPr>
        <w:pStyle w:val="Heading2"/>
      </w:pPr>
      <w:r>
        <w:t xml:space="preserve">Waiver of </w:t>
      </w:r>
      <w:r w:rsidR="00323FDF">
        <w:t xml:space="preserve">Certain </w:t>
      </w:r>
      <w:r w:rsidR="00FA04B0">
        <w:t>Letter of Credit</w:t>
      </w:r>
      <w:r w:rsidR="00C50761">
        <w:t xml:space="preserve"> </w:t>
      </w:r>
      <w:r w:rsidR="004848BB">
        <w:t>Requirement</w:t>
      </w:r>
      <w:r w:rsidR="00323FDF">
        <w:t>s</w:t>
      </w:r>
      <w:r w:rsidR="00880183">
        <w:t xml:space="preserve"> </w:t>
      </w:r>
      <w:r w:rsidR="00323FDF">
        <w:t xml:space="preserve">Will Further Broadband Network Deployment </w:t>
      </w:r>
    </w:p>
    <w:p w:rsidR="00FA71B8" w:rsidP="00483A43" w14:paraId="2736CA2E" w14:textId="77777777">
      <w:pPr>
        <w:pStyle w:val="ParaNum"/>
      </w:pPr>
      <w:r>
        <w:t xml:space="preserve">Under </w:t>
      </w:r>
      <w:r w:rsidR="00221D54">
        <w:t>s</w:t>
      </w:r>
      <w:r>
        <w:t>ection 1.</w:t>
      </w:r>
      <w:r w:rsidR="001245FC">
        <w:t>3</w:t>
      </w:r>
      <w:r>
        <w:t xml:space="preserve"> of the Commission’s rules, a rule may be waived for good cause shown.</w:t>
      </w:r>
      <w:r>
        <w:rPr>
          <w:rStyle w:val="FootnoteReference"/>
        </w:rPr>
        <w:footnoteReference w:id="92"/>
      </w:r>
      <w:r>
        <w:t xml:space="preserve">  </w:t>
      </w:r>
      <w:r w:rsidRPr="00BB3C3D" w:rsidR="00267959">
        <w:t>W</w:t>
      </w:r>
      <w:r w:rsidRPr="00BB3C3D" w:rsidR="00267959">
        <w:rPr>
          <w:bCs/>
        </w:rPr>
        <w:t>aiver</w:t>
      </w:r>
      <w:r w:rsidRPr="00BB3C3D" w:rsidR="00267959">
        <w:t xml:space="preserve"> of </w:t>
      </w:r>
      <w:r w:rsidR="00267959">
        <w:t>the</w:t>
      </w:r>
      <w:r w:rsidRPr="00BB3C3D" w:rsidR="00267959">
        <w:t xml:space="preserve"> Commission’s rules is appropriate if both: (1) special circumstances warrant a deviation from the general rule, and (2) such deviation will serve the public interest.</w:t>
      </w:r>
      <w:r>
        <w:rPr>
          <w:rStyle w:val="FootnoteReference"/>
          <w:spacing w:val="-2"/>
        </w:rPr>
        <w:footnoteReference w:id="93"/>
      </w:r>
      <w:r w:rsidR="00267959">
        <w:t xml:space="preserve">  </w:t>
      </w:r>
    </w:p>
    <w:p w:rsidR="0002599A" w:rsidP="00FA04B0" w14:paraId="7BF70413" w14:textId="77777777">
      <w:pPr>
        <w:pStyle w:val="ParaNum"/>
      </w:pPr>
      <w:r>
        <w:rPr>
          <w:i/>
          <w:iCs/>
        </w:rPr>
        <w:t xml:space="preserve">Letter of Credit Value Requirement.  </w:t>
      </w:r>
      <w:r w:rsidR="007F59CB">
        <w:t xml:space="preserve">We find good cause pursuant to </w:t>
      </w:r>
      <w:r w:rsidR="00221D54">
        <w:t>s</w:t>
      </w:r>
      <w:r w:rsidR="007F59CB">
        <w:t>ection 1.3 of the Commission’s rules</w:t>
      </w:r>
      <w:r w:rsidR="00AB2839">
        <w:t xml:space="preserve"> </w:t>
      </w:r>
      <w:r w:rsidR="0081469C">
        <w:t xml:space="preserve">to waive part of </w:t>
      </w:r>
      <w:r w:rsidR="00AB2839">
        <w:t>the letter of credit value r</w:t>
      </w:r>
      <w:r w:rsidR="00094387">
        <w:t>equirements</w:t>
      </w:r>
      <w:r w:rsidR="00AB2839">
        <w:t xml:space="preserve"> for the Uniendo a Puerto Rico and</w:t>
      </w:r>
      <w:r w:rsidR="00765286">
        <w:t xml:space="preserve"> the</w:t>
      </w:r>
      <w:r w:rsidR="00AB2839">
        <w:t xml:space="preserve"> Connect USVI Fund.</w:t>
      </w:r>
      <w:r>
        <w:rPr>
          <w:rStyle w:val="FootnoteReference"/>
        </w:rPr>
        <w:footnoteReference w:id="94"/>
      </w:r>
      <w:r w:rsidR="00AB2839">
        <w:t xml:space="preserve">  </w:t>
      </w:r>
      <w:r w:rsidR="00A776A9">
        <w:t>Therefore, we waive section 54.1508(c) of the Commission’s rules for Coalition members and direct them to instead comply with section 54.804(c) of the Commission’s rules with regard to their letter of credit value obligations.</w:t>
      </w:r>
      <w:r>
        <w:rPr>
          <w:rStyle w:val="FootnoteReference"/>
        </w:rPr>
        <w:footnoteReference w:id="95"/>
      </w:r>
      <w:r w:rsidR="00A776A9">
        <w:t xml:space="preserve">  Additionally, on our own motion, we extend this relief not only to Coalition members, but to all Stage 2 fixed support recipients of the Uniendo a Puerto Rico Fund and the Connect USVI Fund that wish to reduce their letter of credit value burdens.  </w:t>
      </w:r>
    </w:p>
    <w:p w:rsidR="005F0013" w:rsidP="00FA04B0" w14:paraId="4E64440A" w14:textId="77777777">
      <w:pPr>
        <w:pStyle w:val="ParaNum"/>
      </w:pPr>
      <w:r>
        <w:t xml:space="preserve">First, </w:t>
      </w:r>
      <w:r w:rsidR="007F59CB">
        <w:t>w</w:t>
      </w:r>
      <w:r w:rsidR="00716F41">
        <w:t xml:space="preserve">e </w:t>
      </w:r>
      <w:r w:rsidR="004E70CB">
        <w:t>find that special circumstances warrant deviation from</w:t>
      </w:r>
      <w:r w:rsidR="007606CC">
        <w:t xml:space="preserve"> </w:t>
      </w:r>
      <w:r w:rsidR="001C4E66">
        <w:t>the</w:t>
      </w:r>
      <w:r w:rsidR="00A15338">
        <w:t xml:space="preserve"> letter of credit</w:t>
      </w:r>
      <w:r w:rsidR="001C4E66">
        <w:t xml:space="preserve"> </w:t>
      </w:r>
      <w:r w:rsidR="002F21C3">
        <w:t xml:space="preserve">rules </w:t>
      </w:r>
      <w:r w:rsidR="001C4E66">
        <w:t xml:space="preserve">adopted for Stage 2 </w:t>
      </w:r>
      <w:r w:rsidR="00094387">
        <w:t>fixed support</w:t>
      </w:r>
      <w:r w:rsidR="000522E7">
        <w:t xml:space="preserve">.  </w:t>
      </w:r>
      <w:r w:rsidR="00257449">
        <w:t xml:space="preserve">In addition to the </w:t>
      </w:r>
      <w:r w:rsidR="00EB0F44">
        <w:t>existing economic challenges in the Territories, t</w:t>
      </w:r>
      <w:r w:rsidR="000522E7">
        <w:t xml:space="preserve">he </w:t>
      </w:r>
      <w:r w:rsidR="0081469C">
        <w:t xml:space="preserve">COVID-19 </w:t>
      </w:r>
      <w:r w:rsidR="00FD0C40">
        <w:t xml:space="preserve">pandemic </w:t>
      </w:r>
      <w:r w:rsidR="00186BC5">
        <w:t xml:space="preserve">and recent earthquakes </w:t>
      </w:r>
      <w:r w:rsidR="002C0C04">
        <w:t xml:space="preserve">in Puerto Rico have </w:t>
      </w:r>
      <w:r w:rsidR="0081469C">
        <w:t xml:space="preserve">made more difficult the ability for carriers </w:t>
      </w:r>
      <w:r w:rsidR="00883230">
        <w:t xml:space="preserve">to obtain </w:t>
      </w:r>
      <w:r w:rsidR="006B46B4">
        <w:t>letters of credit</w:t>
      </w:r>
      <w:r w:rsidR="00E93FDA">
        <w:t>.</w:t>
      </w:r>
      <w:r>
        <w:rPr>
          <w:rStyle w:val="FootnoteReference"/>
        </w:rPr>
        <w:footnoteReference w:id="96"/>
      </w:r>
      <w:r w:rsidR="001200EA">
        <w:t xml:space="preserve"> </w:t>
      </w:r>
      <w:r w:rsidR="00F16CC7">
        <w:t xml:space="preserve"> </w:t>
      </w:r>
      <w:r w:rsidR="003A1024">
        <w:t>The Coalition and commenters argue that reducing the letter of credit value requirements</w:t>
      </w:r>
      <w:r w:rsidR="00C32957">
        <w:t xml:space="preserve"> </w:t>
      </w:r>
      <w:r w:rsidR="0081469C">
        <w:t xml:space="preserve">will also blunt </w:t>
      </w:r>
      <w:r w:rsidR="00C32957">
        <w:t xml:space="preserve">the </w:t>
      </w:r>
      <w:r w:rsidR="005F6113">
        <w:t xml:space="preserve">negative impact </w:t>
      </w:r>
      <w:r w:rsidR="0081469C">
        <w:t xml:space="preserve">on the financial markets from </w:t>
      </w:r>
      <w:r w:rsidR="005F6113">
        <w:t>the pandemic and earthquakes</w:t>
      </w:r>
      <w:r w:rsidR="0094724F">
        <w:t>,</w:t>
      </w:r>
      <w:r w:rsidR="00B504D3">
        <w:t xml:space="preserve"> </w:t>
      </w:r>
      <w:r w:rsidR="0081469C">
        <w:t xml:space="preserve">and </w:t>
      </w:r>
      <w:r w:rsidR="00B504D3">
        <w:t xml:space="preserve">will </w:t>
      </w:r>
      <w:r w:rsidR="003A1024">
        <w:t xml:space="preserve">foster greater competition </w:t>
      </w:r>
      <w:r w:rsidR="0081469C">
        <w:t xml:space="preserve">by permitting more participants in Stage 2, increasing the chance of </w:t>
      </w:r>
      <w:r w:rsidR="009966F8">
        <w:t>bring</w:t>
      </w:r>
      <w:r w:rsidR="0081469C">
        <w:t>ing</w:t>
      </w:r>
      <w:r w:rsidR="009966F8">
        <w:t xml:space="preserve"> </w:t>
      </w:r>
      <w:r w:rsidR="000B6674">
        <w:t xml:space="preserve">broadband </w:t>
      </w:r>
      <w:r w:rsidR="003A1024">
        <w:t>to all locations in the Territories.</w:t>
      </w:r>
      <w:r>
        <w:rPr>
          <w:rStyle w:val="FootnoteReference"/>
        </w:rPr>
        <w:footnoteReference w:id="97"/>
      </w:r>
      <w:r w:rsidR="00F16CC7">
        <w:t xml:space="preserve">  </w:t>
      </w:r>
    </w:p>
    <w:p w:rsidR="00782604" w:rsidP="00FA04B0" w14:paraId="77930647" w14:textId="77777777">
      <w:pPr>
        <w:pStyle w:val="ParaNum"/>
      </w:pPr>
      <w:r>
        <w:t xml:space="preserve">It is inarguable </w:t>
      </w:r>
      <w:r w:rsidR="00FE080E">
        <w:t>that t</w:t>
      </w:r>
      <w:r w:rsidR="00171D74">
        <w:t xml:space="preserve">he public health crisis </w:t>
      </w:r>
      <w:r>
        <w:t xml:space="preserve">brought on by the COVID-19 pandemic </w:t>
      </w:r>
      <w:r w:rsidR="00171D74">
        <w:t>has increased consumer deman</w:t>
      </w:r>
      <w:r w:rsidR="00FE693B">
        <w:t>d</w:t>
      </w:r>
      <w:r w:rsidR="00171D74">
        <w:t xml:space="preserve"> for robust broadband services</w:t>
      </w:r>
      <w:r>
        <w:t xml:space="preserve">.  At the same time, however, it has greatly hampered if not </w:t>
      </w:r>
      <w:r w:rsidR="00171D74">
        <w:t>impeded the a</w:t>
      </w:r>
      <w:r w:rsidR="00563ABA">
        <w:t xml:space="preserve">bility of companies to conduct their business, negatively impacting their </w:t>
      </w:r>
      <w:r w:rsidR="00FE693B">
        <w:t xml:space="preserve">financials and affecting their long-term creditworthiness.  </w:t>
      </w:r>
      <w:r>
        <w:t>E</w:t>
      </w:r>
      <w:r w:rsidR="00357BFF">
        <w:t xml:space="preserve">xacerbating the </w:t>
      </w:r>
      <w:r>
        <w:t xml:space="preserve">existing </w:t>
      </w:r>
      <w:r w:rsidR="00357BFF">
        <w:t xml:space="preserve">economic downturn in the Territories, </w:t>
      </w:r>
      <w:r>
        <w:t xml:space="preserve">the </w:t>
      </w:r>
      <w:r w:rsidR="00887E9E">
        <w:t xml:space="preserve">Coalition argues that the </w:t>
      </w:r>
      <w:r>
        <w:t xml:space="preserve">pandemic </w:t>
      </w:r>
      <w:r w:rsidR="000E515E">
        <w:t>will tighten the underwriting policies for new financial instruments.</w:t>
      </w:r>
      <w:r>
        <w:rPr>
          <w:rStyle w:val="FootnoteReference"/>
        </w:rPr>
        <w:footnoteReference w:id="98"/>
      </w:r>
      <w:r w:rsidR="0036355D">
        <w:t xml:space="preserve">  </w:t>
      </w:r>
      <w:r w:rsidR="007B0BD3">
        <w:t>W</w:t>
      </w:r>
      <w:r w:rsidR="00C453D6">
        <w:t xml:space="preserve">e agree with </w:t>
      </w:r>
      <w:r w:rsidR="00523618">
        <w:t xml:space="preserve">the Coalition and WISPA </w:t>
      </w:r>
      <w:r w:rsidR="00C453D6">
        <w:t xml:space="preserve">that </w:t>
      </w:r>
      <w:r w:rsidR="003D3CE8">
        <w:t xml:space="preserve">reducing </w:t>
      </w:r>
      <w:r w:rsidR="0097066E">
        <w:t xml:space="preserve">the </w:t>
      </w:r>
      <w:r w:rsidR="00C453D6">
        <w:t>letter of credit</w:t>
      </w:r>
      <w:r w:rsidR="0097066E">
        <w:t xml:space="preserve"> value</w:t>
      </w:r>
      <w:r w:rsidR="00C453D6">
        <w:t xml:space="preserve"> obligations is appropriate given the current </w:t>
      </w:r>
      <w:r w:rsidR="003D3CE8">
        <w:t xml:space="preserve">financial </w:t>
      </w:r>
      <w:r w:rsidR="00C453D6">
        <w:t xml:space="preserve">market conditions </w:t>
      </w:r>
      <w:r w:rsidR="003D3CE8">
        <w:t xml:space="preserve">resulting from </w:t>
      </w:r>
      <w:r w:rsidR="00C453D6">
        <w:t>the</w:t>
      </w:r>
      <w:r w:rsidR="002923E1">
        <w:t xml:space="preserve"> </w:t>
      </w:r>
      <w:r w:rsidR="00C453D6">
        <w:t>pandemic.</w:t>
      </w:r>
      <w:r>
        <w:rPr>
          <w:rStyle w:val="FootnoteReference"/>
        </w:rPr>
        <w:footnoteReference w:id="99"/>
      </w:r>
      <w:r w:rsidR="00E76077">
        <w:t xml:space="preserve">  </w:t>
      </w:r>
      <w:r w:rsidR="00DF348B">
        <w:t xml:space="preserve">The </w:t>
      </w:r>
      <w:r w:rsidR="00536121">
        <w:t xml:space="preserve">pandemic’s impact on the </w:t>
      </w:r>
      <w:r w:rsidR="00DF348B">
        <w:t xml:space="preserve">financial </w:t>
      </w:r>
      <w:r w:rsidR="00536121">
        <w:t>markets</w:t>
      </w:r>
      <w:r w:rsidR="00DF348B">
        <w:t xml:space="preserve"> </w:t>
      </w:r>
      <w:r w:rsidR="00AC6266">
        <w:t xml:space="preserve">will impede access to credit and increase the already difficult financial challenges companies currently </w:t>
      </w:r>
      <w:r w:rsidR="00E83998">
        <w:t>face in the Territories</w:t>
      </w:r>
      <w:r w:rsidR="00323FDF">
        <w:t>;</w:t>
      </w:r>
      <w:r>
        <w:rPr>
          <w:rStyle w:val="FootnoteReference"/>
        </w:rPr>
        <w:footnoteReference w:id="100"/>
      </w:r>
      <w:r w:rsidR="00E83998">
        <w:t xml:space="preserve"> </w:t>
      </w:r>
      <w:r w:rsidR="00323FDF">
        <w:t xml:space="preserve">thus, </w:t>
      </w:r>
      <w:r w:rsidR="00E83998">
        <w:t>we determine that special circumstances exist to</w:t>
      </w:r>
      <w:r w:rsidR="00270665">
        <w:t xml:space="preserve"> </w:t>
      </w:r>
      <w:r w:rsidR="00DF348B">
        <w:t xml:space="preserve">waive the Commission’s letter of credit rules </w:t>
      </w:r>
      <w:r w:rsidR="00270665">
        <w:t>by</w:t>
      </w:r>
      <w:r w:rsidR="00E83998">
        <w:t xml:space="preserve"> </w:t>
      </w:r>
      <w:r w:rsidR="00AA445C">
        <w:t xml:space="preserve">applying </w:t>
      </w:r>
      <w:r w:rsidR="005F63F5">
        <w:t xml:space="preserve">the Rural Digital Opportunity Fund letter of credit value rules to the Uniendo a Puerto Rico Fund and </w:t>
      </w:r>
      <w:r w:rsidR="001D0E2F">
        <w:t xml:space="preserve">the </w:t>
      </w:r>
      <w:r w:rsidR="005F63F5">
        <w:t xml:space="preserve">Connect </w:t>
      </w:r>
      <w:r w:rsidR="00765286">
        <w:t xml:space="preserve">USVI </w:t>
      </w:r>
      <w:r w:rsidR="005F63F5">
        <w:t>Fund.</w:t>
      </w:r>
    </w:p>
    <w:p w:rsidR="0066414B" w:rsidP="0066414B" w14:paraId="5E64B90B" w14:textId="77777777">
      <w:pPr>
        <w:pStyle w:val="ParaNum"/>
        <w:widowControl/>
      </w:pPr>
      <w:r>
        <w:t>Second, we find that it serves the public interest to grant the Coalition’s waiver petition</w:t>
      </w:r>
      <w:r w:rsidR="005E32A5">
        <w:t xml:space="preserve"> in part</w:t>
      </w:r>
      <w:r>
        <w:t xml:space="preserve"> and extend this same relief to all </w:t>
      </w:r>
      <w:r w:rsidR="0062743B">
        <w:t>Stage 2 fixed</w:t>
      </w:r>
      <w:r>
        <w:t xml:space="preserve"> support recipients.  </w:t>
      </w:r>
      <w:r w:rsidR="00207EA3">
        <w:t xml:space="preserve">Shortly after the adoption of the </w:t>
      </w:r>
      <w:r w:rsidRPr="00207C33" w:rsidR="00207EA3">
        <w:rPr>
          <w:i/>
          <w:iCs/>
        </w:rPr>
        <w:t>PR-USVI Stage 2 Order</w:t>
      </w:r>
      <w:r w:rsidR="00207EA3">
        <w:t xml:space="preserve">, the Commission </w:t>
      </w:r>
      <w:r w:rsidR="00F965E2">
        <w:t xml:space="preserve">acknowledged </w:t>
      </w:r>
      <w:r w:rsidR="005A1FCB">
        <w:t xml:space="preserve">in the </w:t>
      </w:r>
      <w:r w:rsidRPr="00BB00C1" w:rsidR="00BB00C1">
        <w:rPr>
          <w:i/>
          <w:iCs/>
        </w:rPr>
        <w:t>Rural Digital Opportunity Fund Order</w:t>
      </w:r>
      <w:r w:rsidR="00F965E2">
        <w:t xml:space="preserve"> </w:t>
      </w:r>
      <w:r w:rsidR="00207EA3">
        <w:t xml:space="preserve">the large fees </w:t>
      </w:r>
      <w:r w:rsidR="003E1266">
        <w:t>required to</w:t>
      </w:r>
      <w:r w:rsidR="00207EA3">
        <w:t xml:space="preserve"> maintain letters of credit during the term of support.</w:t>
      </w:r>
      <w:r>
        <w:rPr>
          <w:rStyle w:val="FootnoteReference"/>
        </w:rPr>
        <w:footnoteReference w:id="101"/>
      </w:r>
      <w:r w:rsidR="00207EA3">
        <w:t xml:space="preserve">  As the Commission explained, letter of credit value rules “impose a disproportionate financial burden on support recipients and result in less funding going directly to broadband deployment.”</w:t>
      </w:r>
      <w:r>
        <w:rPr>
          <w:rStyle w:val="FootnoteReference"/>
        </w:rPr>
        <w:footnoteReference w:id="102"/>
      </w:r>
      <w:r w:rsidR="00207EA3">
        <w:t xml:space="preserve">  We agree with the Coalition that </w:t>
      </w:r>
      <w:r w:rsidR="00D55FE5">
        <w:t xml:space="preserve">reducing </w:t>
      </w:r>
      <w:r w:rsidR="00207EA3">
        <w:t xml:space="preserve">the letter of credit value requirements would enable Stage 2 winning applicants to allocate </w:t>
      </w:r>
      <w:r w:rsidR="003C2E6F">
        <w:t xml:space="preserve">more funding </w:t>
      </w:r>
      <w:r w:rsidR="00207EA3">
        <w:t xml:space="preserve">to </w:t>
      </w:r>
      <w:r w:rsidR="0025042F">
        <w:t>br</w:t>
      </w:r>
      <w:r w:rsidR="00207EA3">
        <w:t>oadband network deployment.</w:t>
      </w:r>
      <w:r>
        <w:rPr>
          <w:rStyle w:val="FootnoteReference"/>
        </w:rPr>
        <w:footnoteReference w:id="103"/>
      </w:r>
      <w:r w:rsidR="00207EA3">
        <w:t xml:space="preserve">  </w:t>
      </w:r>
      <w:r w:rsidR="00795B4E">
        <w:t xml:space="preserve">We believe the size of the geographic areas for Stage 2 fixed support, coupled with the unique operating conditions and </w:t>
      </w:r>
      <w:r w:rsidR="008257EA">
        <w:t xml:space="preserve">struggling </w:t>
      </w:r>
      <w:r w:rsidR="00795B4E">
        <w:t>local economies,</w:t>
      </w:r>
      <w:r>
        <w:rPr>
          <w:rStyle w:val="FootnoteReference"/>
        </w:rPr>
        <w:footnoteReference w:id="104"/>
      </w:r>
      <w:r w:rsidR="00795B4E">
        <w:t xml:space="preserve"> would </w:t>
      </w:r>
      <w:r w:rsidR="00795B4E">
        <w:t>result in less high-cost support going directly to broadband deployment.</w:t>
      </w:r>
      <w:r>
        <w:rPr>
          <w:rStyle w:val="FootnoteReference"/>
        </w:rPr>
        <w:footnoteReference w:id="105"/>
      </w:r>
      <w:r w:rsidR="00795B4E">
        <w:t xml:space="preserve">  </w:t>
      </w:r>
      <w:r w:rsidR="00207EA3">
        <w:t xml:space="preserve">Thus, we find it </w:t>
      </w:r>
      <w:r w:rsidR="00137210">
        <w:t xml:space="preserve">is in the public interest </w:t>
      </w:r>
      <w:r w:rsidR="00207EA3">
        <w:t xml:space="preserve">to extend </w:t>
      </w:r>
      <w:r w:rsidR="00923550">
        <w:t xml:space="preserve">relief </w:t>
      </w:r>
      <w:r w:rsidR="00207EA3">
        <w:t xml:space="preserve">to Stage 2 winning applicants </w:t>
      </w:r>
      <w:r w:rsidR="00794576">
        <w:t xml:space="preserve">by maintaining </w:t>
      </w:r>
      <w:r w:rsidR="00526C2E">
        <w:t>reduced letter of credits values.</w:t>
      </w:r>
      <w:r w:rsidR="00207EA3">
        <w:t xml:space="preserve">  </w:t>
      </w:r>
    </w:p>
    <w:p w:rsidR="0025042F" w:rsidP="0066414B" w14:paraId="591BC086" w14:textId="77777777">
      <w:pPr>
        <w:pStyle w:val="ParaNum"/>
        <w:widowControl/>
      </w:pPr>
      <w:r>
        <w:t>Such an approach for the Territories would allow winning applicants to reduce their letter of credit value burdens by demonstrating concrete progress in building their networks earlier than existing milestones, while maintaining the Commission’s policy interests in ensuring that universal service dollars are being used efficiently and protecting against the potential for carriers that may fail to fulfill their broadband deployment obligations.</w:t>
      </w:r>
      <w:r>
        <w:rPr>
          <w:rStyle w:val="FootnoteReference"/>
        </w:rPr>
        <w:footnoteReference w:id="106"/>
      </w:r>
      <w:r>
        <w:t xml:space="preserve">  </w:t>
      </w:r>
      <w:r w:rsidR="007C4E91">
        <w:t xml:space="preserve">With this decision, we will </w:t>
      </w:r>
      <w:r>
        <w:t>permit a support recipient to reduce its letter of credit to one year of support upon verification by USAC that the provider had met an optional 20% buildout milestone by the end of its second year of support.</w:t>
      </w:r>
      <w:r>
        <w:rPr>
          <w:rStyle w:val="FootnoteReference"/>
        </w:rPr>
        <w:footnoteReference w:id="107"/>
      </w:r>
      <w:r>
        <w:t xml:space="preserve">  Because Stage 2 competition has not commenced and no fixed support has been authorized, allowing prospective support recipients to comply with the </w:t>
      </w:r>
      <w:r w:rsidR="00AD4A35">
        <w:t xml:space="preserve">more relaxed </w:t>
      </w:r>
      <w:r>
        <w:t xml:space="preserve">letter of credit value rules </w:t>
      </w:r>
      <w:r w:rsidR="00DE7029">
        <w:t xml:space="preserve">should </w:t>
      </w:r>
      <w:r>
        <w:t>result in faster broadband deployment.  As the current COVID-19 pandemic has demonstrated, robust broadband service plays a vital role in allowing all Americans—but particularly those living in the Territories, and other rural communities—to stay connected.  Thus, incentivizing more rapid deployments is especially critical in these times.</w:t>
      </w:r>
      <w:r w:rsidR="002A7937">
        <w:t xml:space="preserve">  </w:t>
      </w:r>
    </w:p>
    <w:p w:rsidR="001C0B1B" w:rsidP="001C0B1B" w14:paraId="18B5B33E" w14:textId="77777777">
      <w:pPr>
        <w:pStyle w:val="ParaNum"/>
        <w:widowControl/>
      </w:pPr>
      <w:r>
        <w:t>M</w:t>
      </w:r>
      <w:r w:rsidR="00B46C2E">
        <w:t>oreo</w:t>
      </w:r>
      <w:r w:rsidR="00E32430">
        <w:t>ver, w</w:t>
      </w:r>
      <w:r w:rsidR="00B46C2E">
        <w:t xml:space="preserve">e </w:t>
      </w:r>
      <w:r w:rsidR="00B30369">
        <w:t>believe</w:t>
      </w:r>
      <w:r w:rsidR="001B5383">
        <w:t xml:space="preserve"> that</w:t>
      </w:r>
      <w:r w:rsidR="00B46C2E">
        <w:t xml:space="preserve"> it is in the public interest</w:t>
      </w:r>
      <w:r w:rsidR="0038553B">
        <w:t xml:space="preserve"> to </w:t>
      </w:r>
      <w:r w:rsidR="00DE548D">
        <w:t>grant th</w:t>
      </w:r>
      <w:r w:rsidR="001C2D0A">
        <w:t>is</w:t>
      </w:r>
      <w:r w:rsidR="00DE548D">
        <w:t xml:space="preserve"> request </w:t>
      </w:r>
      <w:r w:rsidR="001B5383">
        <w:t>for</w:t>
      </w:r>
      <w:r w:rsidR="00F6076D">
        <w:t xml:space="preserve"> additional reasons.  As the Coalition noted, </w:t>
      </w:r>
      <w:r w:rsidR="003E63F6">
        <w:t xml:space="preserve">providing for reduced letter of credit values </w:t>
      </w:r>
      <w:r w:rsidR="00F6076D">
        <w:t>will help ensure the Commission’s goal of creating more competition among potential applicants.</w:t>
      </w:r>
      <w:r>
        <w:rPr>
          <w:rStyle w:val="FootnoteReference"/>
        </w:rPr>
        <w:footnoteReference w:id="108"/>
      </w:r>
      <w:r w:rsidR="00F6076D">
        <w:t xml:space="preserve">  Specifically, the cumulative nature of the current letter of credit value rules applicable to Stage 2 recipients are more financially burdensome and may impede their ability to participate.  We conclude that it will serve the public interest to instead require prospective providers to comply with the Rural Digital Opportunity Fund letter of credit value rules, creating greater competition and potentially resulting in even greater efficiencies for broadband deployment in the Territories.</w:t>
      </w:r>
      <w:r>
        <w:rPr>
          <w:rStyle w:val="FootnoteReference"/>
        </w:rPr>
        <w:footnoteReference w:id="109"/>
      </w:r>
      <w:r w:rsidR="001B5383">
        <w:t xml:space="preserve"> </w:t>
      </w:r>
      <w:r w:rsidR="00BF4904">
        <w:t xml:space="preserve"> </w:t>
      </w:r>
      <w:r w:rsidR="00FE66C7">
        <w:t>Finally,</w:t>
      </w:r>
      <w:r w:rsidR="00BF4904">
        <w:t xml:space="preserve"> </w:t>
      </w:r>
      <w:r w:rsidR="00C65ADF">
        <w:t xml:space="preserve">aligning the letter of credit rules </w:t>
      </w:r>
      <w:r w:rsidR="00132AB9">
        <w:t xml:space="preserve">will provide greater </w:t>
      </w:r>
      <w:r w:rsidR="001B5383">
        <w:t>administrative ease</w:t>
      </w:r>
      <w:r w:rsidR="00EA4BA0">
        <w:t xml:space="preserve"> </w:t>
      </w:r>
      <w:r w:rsidR="00132AB9">
        <w:t>for the Commission and USAC</w:t>
      </w:r>
      <w:r w:rsidR="000F7AC4">
        <w:t>.</w:t>
      </w:r>
      <w:r>
        <w:rPr>
          <w:rStyle w:val="FootnoteReference"/>
        </w:rPr>
        <w:footnoteReference w:id="110"/>
      </w:r>
      <w:r w:rsidR="00057C97">
        <w:t xml:space="preserve"> </w:t>
      </w:r>
      <w:r w:rsidR="00002B2A">
        <w:t xml:space="preserve"> Thus, we </w:t>
      </w:r>
      <w:r w:rsidR="00D1116C">
        <w:t>conclud</w:t>
      </w:r>
      <w:r w:rsidR="00002B2A">
        <w:t>e the</w:t>
      </w:r>
      <w:r w:rsidR="00452C14">
        <w:t xml:space="preserve">re is good cause </w:t>
      </w:r>
      <w:r w:rsidR="00002B2A">
        <w:t>warrant</w:t>
      </w:r>
      <w:r w:rsidR="00E443B8">
        <w:t>ing</w:t>
      </w:r>
      <w:r w:rsidR="00002B2A">
        <w:t xml:space="preserve"> the waiver the letter of credit value</w:t>
      </w:r>
      <w:r w:rsidR="00E443B8">
        <w:t xml:space="preserve"> rules</w:t>
      </w:r>
      <w:r w:rsidR="0033551A">
        <w:t xml:space="preserve"> for all </w:t>
      </w:r>
      <w:r w:rsidR="0057220B">
        <w:t xml:space="preserve">prospective </w:t>
      </w:r>
      <w:r w:rsidR="00573E22">
        <w:t>Stage 2 support recipients</w:t>
      </w:r>
      <w:r w:rsidR="00002B2A">
        <w:t xml:space="preserve">. </w:t>
      </w:r>
    </w:p>
    <w:p w:rsidR="000F4BE4" w:rsidP="00CD34A2" w14:paraId="0DAA0DD8" w14:textId="77777777">
      <w:pPr>
        <w:pStyle w:val="ParaNum"/>
      </w:pPr>
      <w:r>
        <w:t xml:space="preserve">We </w:t>
      </w:r>
      <w:r w:rsidR="00257C4A">
        <w:t xml:space="preserve">are not persuaded by </w:t>
      </w:r>
      <w:r w:rsidR="005B6738">
        <w:t>argument</w:t>
      </w:r>
      <w:r w:rsidR="00FF5F20">
        <w:t>s</w:t>
      </w:r>
      <w:r w:rsidR="007714DB">
        <w:t xml:space="preserve"> </w:t>
      </w:r>
      <w:r>
        <w:t>opposing the Coalition’s waiver request</w:t>
      </w:r>
      <w:r w:rsidR="00944C88">
        <w:t xml:space="preserve"> </w:t>
      </w:r>
      <w:r w:rsidR="004E00B3">
        <w:t xml:space="preserve">based on </w:t>
      </w:r>
      <w:r w:rsidR="002F45B4">
        <w:t xml:space="preserve">total </w:t>
      </w:r>
      <w:r w:rsidR="00055BE5">
        <w:t>budget</w:t>
      </w:r>
      <w:r w:rsidR="002F45B4">
        <w:t xml:space="preserve"> of the Rural Digital Opportunity Fund</w:t>
      </w:r>
      <w:r w:rsidR="008616A3">
        <w:t>.</w:t>
      </w:r>
      <w:r>
        <w:rPr>
          <w:rStyle w:val="FootnoteReference"/>
        </w:rPr>
        <w:footnoteReference w:id="111"/>
      </w:r>
      <w:r w:rsidR="008616A3">
        <w:t xml:space="preserve"> </w:t>
      </w:r>
      <w:r w:rsidR="00653164">
        <w:t xml:space="preserve"> </w:t>
      </w:r>
      <w:r w:rsidR="002D76CC">
        <w:t xml:space="preserve">We disagree with </w:t>
      </w:r>
      <w:r w:rsidR="00B365B7">
        <w:t>Viya</w:t>
      </w:r>
      <w:r w:rsidR="002D76CC">
        <w:t xml:space="preserve">’s </w:t>
      </w:r>
      <w:r w:rsidR="00A256D8">
        <w:t>argu</w:t>
      </w:r>
      <w:r w:rsidR="003003F4">
        <w:t xml:space="preserve">ment </w:t>
      </w:r>
      <w:r w:rsidR="00A256D8">
        <w:t>that “[t]he primary reason that the Commissioned modified the letter of credit approach</w:t>
      </w:r>
      <w:r w:rsidR="00FD10A7">
        <w:t xml:space="preserve"> in RDOF was the significant size of the RDOF auction</w:t>
      </w:r>
      <w:r w:rsidR="00306F18">
        <w:t>[</w:t>
      </w:r>
      <w:r w:rsidR="0057028F">
        <w:t>,</w:t>
      </w:r>
      <w:r w:rsidR="00306F18">
        <w:t>]</w:t>
      </w:r>
      <w:r w:rsidR="00FD10A7">
        <w:t>”</w:t>
      </w:r>
      <w:r>
        <w:rPr>
          <w:rStyle w:val="FootnoteReference"/>
        </w:rPr>
        <w:footnoteReference w:id="112"/>
      </w:r>
      <w:r w:rsidR="0081158F">
        <w:t xml:space="preserve"> </w:t>
      </w:r>
      <w:r w:rsidR="0057028F">
        <w:t>which</w:t>
      </w:r>
      <w:r w:rsidR="0081158F">
        <w:t xml:space="preserve"> would lead to </w:t>
      </w:r>
      <w:r w:rsidR="00671C16">
        <w:t>larger bank fees</w:t>
      </w:r>
      <w:r w:rsidR="0057028F">
        <w:t>, as the basis to distinguish the Rural Digital Opportunity Fund</w:t>
      </w:r>
      <w:r w:rsidR="00671C16">
        <w:t>.</w:t>
      </w:r>
      <w:r w:rsidR="005B1CFA">
        <w:t xml:space="preserve">  </w:t>
      </w:r>
      <w:r w:rsidR="00FC3202">
        <w:t xml:space="preserve">The </w:t>
      </w:r>
      <w:r w:rsidR="001E1D01">
        <w:t xml:space="preserve">Commission modified the letter of credit value requirements </w:t>
      </w:r>
      <w:r w:rsidR="00A947D9">
        <w:t xml:space="preserve">in the </w:t>
      </w:r>
      <w:r w:rsidRPr="008D39AB" w:rsidR="00A947D9">
        <w:rPr>
          <w:i/>
          <w:iCs/>
        </w:rPr>
        <w:t>Rural Digital Opportunity Fund Order</w:t>
      </w:r>
      <w:r w:rsidR="00A947D9">
        <w:t xml:space="preserve"> </w:t>
      </w:r>
      <w:r w:rsidR="001E1D01">
        <w:t xml:space="preserve">to reduce </w:t>
      </w:r>
      <w:r w:rsidR="00DA4681">
        <w:t xml:space="preserve">barriers to </w:t>
      </w:r>
      <w:r w:rsidR="001E1D01">
        <w:t xml:space="preserve">participation </w:t>
      </w:r>
      <w:r w:rsidR="003269F8">
        <w:t xml:space="preserve">that </w:t>
      </w:r>
      <w:r w:rsidR="00DA4681">
        <w:t>the Commission believed</w:t>
      </w:r>
      <w:r w:rsidR="003269F8">
        <w:t xml:space="preserve"> would negatively impact </w:t>
      </w:r>
      <w:r w:rsidR="0078481E">
        <w:t>individual applicants</w:t>
      </w:r>
      <w:r w:rsidR="001C2CE3">
        <w:t>.</w:t>
      </w:r>
      <w:r>
        <w:rPr>
          <w:rStyle w:val="FootnoteReference"/>
        </w:rPr>
        <w:footnoteReference w:id="113"/>
      </w:r>
      <w:r w:rsidR="001C2CE3">
        <w:t xml:space="preserve">  Thus, while Viya </w:t>
      </w:r>
      <w:r w:rsidR="008E5EAD">
        <w:t xml:space="preserve">correctly notes </w:t>
      </w:r>
      <w:r w:rsidR="001C2CE3">
        <w:t xml:space="preserve">that the total Rural Digital </w:t>
      </w:r>
      <w:r w:rsidR="001C2CE3">
        <w:t>Opportunity Fund budget</w:t>
      </w:r>
      <w:r w:rsidR="00FE40BB">
        <w:t>, and thus the cumulative fees for letters of credit,</w:t>
      </w:r>
      <w:r w:rsidR="001C2CE3">
        <w:t xml:space="preserve"> </w:t>
      </w:r>
      <w:r w:rsidR="004D1DEB">
        <w:t xml:space="preserve">is significantly greater than for the </w:t>
      </w:r>
      <w:r w:rsidR="00CA1A6B">
        <w:t>Territories, we conclude that</w:t>
      </w:r>
      <w:r w:rsidR="00CC17C1">
        <w:t xml:space="preserve"> </w:t>
      </w:r>
      <w:r w:rsidR="00401110">
        <w:t xml:space="preserve">Viya’s focus on the total budget rather than </w:t>
      </w:r>
      <w:r w:rsidR="00CC17C1">
        <w:t>reducing the burdens on individual participants</w:t>
      </w:r>
      <w:r w:rsidR="00F452D8">
        <w:t xml:space="preserve"> is misplaced.</w:t>
      </w:r>
      <w:r w:rsidR="00CC17C1">
        <w:t xml:space="preserve"> </w:t>
      </w:r>
      <w:r w:rsidR="00F452D8">
        <w:t xml:space="preserve"> </w:t>
      </w:r>
    </w:p>
    <w:p w:rsidR="00EA3122" w:rsidP="00AD5BA1" w14:paraId="4FE1D369" w14:textId="77777777">
      <w:pPr>
        <w:pStyle w:val="ParaNum"/>
      </w:pPr>
      <w:r>
        <w:t xml:space="preserve">We likewise are not persuaded </w:t>
      </w:r>
      <w:r w:rsidR="00E4387F">
        <w:t>by commenters who argue</w:t>
      </w:r>
      <w:r>
        <w:t xml:space="preserve"> that the modified letter of credit value </w:t>
      </w:r>
      <w:r w:rsidR="00031CAE">
        <w:t xml:space="preserve">requirements are ineffective to </w:t>
      </w:r>
      <w:r w:rsidR="00A35922">
        <w:t>secure against default for the Uniendo a Puerto Rico and</w:t>
      </w:r>
      <w:r w:rsidR="00765286">
        <w:t xml:space="preserve"> the</w:t>
      </w:r>
      <w:r w:rsidR="00A35922">
        <w:t xml:space="preserve"> Connect </w:t>
      </w:r>
      <w:r w:rsidR="00765286">
        <w:t xml:space="preserve">USVI </w:t>
      </w:r>
      <w:r w:rsidR="00A35922">
        <w:t>Fund.</w:t>
      </w:r>
      <w:r>
        <w:rPr>
          <w:rStyle w:val="FootnoteReference"/>
        </w:rPr>
        <w:footnoteReference w:id="114"/>
      </w:r>
      <w:r w:rsidR="00A35922">
        <w:t xml:space="preserve">  </w:t>
      </w:r>
      <w:r w:rsidR="006A067D">
        <w:t xml:space="preserve">For Stage 2, the Commission </w:t>
      </w:r>
      <w:r w:rsidR="00F7280B">
        <w:t xml:space="preserve">explained </w:t>
      </w:r>
      <w:r w:rsidR="0053109D">
        <w:t xml:space="preserve">its rationale </w:t>
      </w:r>
      <w:r w:rsidR="0046598D">
        <w:t>for</w:t>
      </w:r>
      <w:r w:rsidR="0053109D">
        <w:t xml:space="preserve"> adopting </w:t>
      </w:r>
      <w:r w:rsidR="006A067D">
        <w:t xml:space="preserve">the same letter of credit </w:t>
      </w:r>
      <w:r w:rsidR="00432AB2">
        <w:t>value rules</w:t>
      </w:r>
      <w:r w:rsidR="006A067D">
        <w:t xml:space="preserve"> as CAF Phase II</w:t>
      </w:r>
      <w:r w:rsidR="002F45B4">
        <w:t xml:space="preserve"> auction</w:t>
      </w:r>
      <w:r w:rsidR="0053109D">
        <w:t xml:space="preserve">:  </w:t>
      </w:r>
      <w:r w:rsidR="006A067D">
        <w:t>to protect the Fund and provid</w:t>
      </w:r>
      <w:r w:rsidR="005B0224">
        <w:t>e</w:t>
      </w:r>
      <w:r w:rsidR="006A067D">
        <w:t xml:space="preserve"> an effective means of securing the Commission’s </w:t>
      </w:r>
      <w:r w:rsidR="00032F11">
        <w:t xml:space="preserve">financial </w:t>
      </w:r>
      <w:r w:rsidR="006A067D">
        <w:t>support.</w:t>
      </w:r>
      <w:r>
        <w:rPr>
          <w:rStyle w:val="FootnoteReference"/>
        </w:rPr>
        <w:footnoteReference w:id="115"/>
      </w:r>
      <w:r w:rsidR="00774C1D">
        <w:t xml:space="preserve"> </w:t>
      </w:r>
      <w:r w:rsidR="002507E7">
        <w:t xml:space="preserve"> </w:t>
      </w:r>
      <w:r w:rsidR="00493BED">
        <w:t>We acknow</w:t>
      </w:r>
      <w:r w:rsidR="00E30304">
        <w:t>ledge that</w:t>
      </w:r>
      <w:r w:rsidR="00A53667">
        <w:t>,</w:t>
      </w:r>
      <w:r w:rsidR="00241433">
        <w:t xml:space="preserve"> </w:t>
      </w:r>
      <w:r w:rsidR="003D0E9C">
        <w:t xml:space="preserve">although </w:t>
      </w:r>
      <w:r w:rsidR="00241433">
        <w:t>support recipients of</w:t>
      </w:r>
      <w:r w:rsidR="00E30304">
        <w:t xml:space="preserve"> </w:t>
      </w:r>
      <w:r w:rsidR="00C7725F">
        <w:t xml:space="preserve">the Uniendo a Puerto Rico Fund and </w:t>
      </w:r>
      <w:r w:rsidR="0026715F">
        <w:t xml:space="preserve">the </w:t>
      </w:r>
      <w:r w:rsidR="00BF23EF">
        <w:t xml:space="preserve">Connect </w:t>
      </w:r>
      <w:r w:rsidR="0026715F">
        <w:t xml:space="preserve">USVI </w:t>
      </w:r>
      <w:r w:rsidR="00BF23EF">
        <w:t>Fund</w:t>
      </w:r>
      <w:r w:rsidR="00241433">
        <w:t xml:space="preserve"> </w:t>
      </w:r>
      <w:r w:rsidR="00CE0481">
        <w:t>may</w:t>
      </w:r>
      <w:r w:rsidR="00241433">
        <w:t xml:space="preserve"> have greater deployment costs</w:t>
      </w:r>
      <w:r w:rsidR="00D73583">
        <w:t xml:space="preserve">, </w:t>
      </w:r>
      <w:r w:rsidR="00AD2B66">
        <w:t>the</w:t>
      </w:r>
      <w:r w:rsidR="009E47EA">
        <w:t xml:space="preserve"> modified letter of credit requirements </w:t>
      </w:r>
      <w:r w:rsidR="00F3354D">
        <w:t xml:space="preserve">we adopt </w:t>
      </w:r>
      <w:r w:rsidR="00853C06">
        <w:t xml:space="preserve">today </w:t>
      </w:r>
      <w:r w:rsidR="00257E66">
        <w:t xml:space="preserve">were </w:t>
      </w:r>
      <w:r w:rsidR="00AE3664">
        <w:t>designed to</w:t>
      </w:r>
      <w:r w:rsidR="00605106">
        <w:t xml:space="preserve"> easily recover disbursed fund</w:t>
      </w:r>
      <w:r w:rsidR="00684BD6">
        <w:t>ing and</w:t>
      </w:r>
      <w:r w:rsidR="00AE3664">
        <w:t xml:space="preserve"> </w:t>
      </w:r>
      <w:r w:rsidR="008F3317">
        <w:t>“</w:t>
      </w:r>
      <w:r w:rsidR="00AE3664">
        <w:t xml:space="preserve">fulfill </w:t>
      </w:r>
      <w:r w:rsidR="008F3317">
        <w:t>[</w:t>
      </w:r>
      <w:r w:rsidR="00AE3664">
        <w:t>the Commission’s responsibility</w:t>
      </w:r>
      <w:r w:rsidR="008F3317">
        <w:t>]</w:t>
      </w:r>
      <w:r w:rsidR="00AE3664">
        <w:t xml:space="preserve"> to protect program funds whil</w:t>
      </w:r>
      <w:r w:rsidR="00275B67">
        <w:t>e</w:t>
      </w:r>
      <w:r w:rsidR="00AE3664">
        <w:t xml:space="preserve"> also reducing </w:t>
      </w:r>
      <w:r w:rsidR="00275B67">
        <w:t>costs of participat</w:t>
      </w:r>
      <w:r w:rsidR="00824FEA">
        <w:t>[</w:t>
      </w:r>
      <w:r w:rsidR="00275B67">
        <w:t>ion</w:t>
      </w:r>
      <w:r w:rsidR="00605106">
        <w:t>.</w:t>
      </w:r>
      <w:r w:rsidR="00824FEA">
        <w:t>]</w:t>
      </w:r>
      <w:r w:rsidR="008F3317">
        <w:t>”</w:t>
      </w:r>
      <w:r>
        <w:rPr>
          <w:rStyle w:val="FootnoteReference"/>
        </w:rPr>
        <w:footnoteReference w:id="116"/>
      </w:r>
      <w:r w:rsidR="00275B67">
        <w:t xml:space="preserve"> </w:t>
      </w:r>
      <w:r w:rsidR="00802EB0">
        <w:t>T</w:t>
      </w:r>
      <w:r w:rsidR="00257A19">
        <w:t>he</w:t>
      </w:r>
      <w:r w:rsidR="00D15873">
        <w:t>se</w:t>
      </w:r>
      <w:r w:rsidR="00257A19">
        <w:t xml:space="preserve"> modified letter of credit </w:t>
      </w:r>
      <w:r w:rsidR="00EE62EB">
        <w:t xml:space="preserve">value </w:t>
      </w:r>
      <w:r w:rsidR="00257A19">
        <w:t>r</w:t>
      </w:r>
      <w:r w:rsidR="00257E66">
        <w:t xml:space="preserve">equirements </w:t>
      </w:r>
      <w:r w:rsidR="00932C10">
        <w:t xml:space="preserve">are </w:t>
      </w:r>
      <w:r w:rsidR="00FA16CB">
        <w:t>an effective means</w:t>
      </w:r>
      <w:r w:rsidR="005008EA">
        <w:t xml:space="preserve"> </w:t>
      </w:r>
      <w:r w:rsidR="00FA16CB">
        <w:t xml:space="preserve">to safeguard </w:t>
      </w:r>
      <w:r w:rsidR="005604B2">
        <w:t>high</w:t>
      </w:r>
      <w:r w:rsidR="0064606B">
        <w:t>-</w:t>
      </w:r>
      <w:r w:rsidR="005604B2">
        <w:t xml:space="preserve">cost support </w:t>
      </w:r>
      <w:r w:rsidR="00DB4C34">
        <w:t>dis</w:t>
      </w:r>
      <w:r w:rsidR="00350C4E">
        <w:t xml:space="preserve">bursed to support recipients </w:t>
      </w:r>
      <w:r w:rsidR="009511FC">
        <w:t>in the Territories</w:t>
      </w:r>
      <w:r>
        <w:rPr>
          <w:rStyle w:val="FootnoteReference"/>
        </w:rPr>
        <w:footnoteReference w:id="117"/>
      </w:r>
      <w:r w:rsidR="009511FC">
        <w:t xml:space="preserve"> </w:t>
      </w:r>
      <w:r w:rsidR="00216FC6">
        <w:t xml:space="preserve">against </w:t>
      </w:r>
      <w:r w:rsidR="00446B21">
        <w:t>possible</w:t>
      </w:r>
      <w:r w:rsidR="000C6424">
        <w:t xml:space="preserve"> default</w:t>
      </w:r>
      <w:r w:rsidR="00E45D61">
        <w:t xml:space="preserve"> </w:t>
      </w:r>
      <w:r w:rsidR="009E4154">
        <w:t xml:space="preserve">by requiring </w:t>
      </w:r>
      <w:r w:rsidR="006C5117">
        <w:t xml:space="preserve">applicants to </w:t>
      </w:r>
      <w:r w:rsidR="001E5528">
        <w:t xml:space="preserve">demonstrate </w:t>
      </w:r>
      <w:r w:rsidR="00470D76">
        <w:t>verifi</w:t>
      </w:r>
      <w:r w:rsidR="001E6B8F">
        <w:t>able</w:t>
      </w:r>
      <w:r w:rsidR="00470D76">
        <w:t xml:space="preserve"> </w:t>
      </w:r>
      <w:r w:rsidR="001E6B8F">
        <w:t>steps towards mee</w:t>
      </w:r>
      <w:r w:rsidR="00BB0076">
        <w:t>t</w:t>
      </w:r>
      <w:r w:rsidR="001E6B8F">
        <w:t>ing deployment obligations</w:t>
      </w:r>
      <w:r w:rsidR="008610D4">
        <w:t xml:space="preserve"> </w:t>
      </w:r>
      <w:r w:rsidR="00B20887">
        <w:t xml:space="preserve">and </w:t>
      </w:r>
      <w:r w:rsidR="0050786B">
        <w:t xml:space="preserve">by </w:t>
      </w:r>
      <w:r w:rsidR="003B5606">
        <w:t>impos</w:t>
      </w:r>
      <w:r w:rsidR="0050786B">
        <w:t>ing</w:t>
      </w:r>
      <w:r w:rsidR="003B5606">
        <w:t xml:space="preserve"> increasing letter of credit </w:t>
      </w:r>
      <w:r w:rsidR="00AA20E7">
        <w:t xml:space="preserve">values </w:t>
      </w:r>
      <w:r w:rsidR="008F1ABF">
        <w:t>for recipients that fail to meet required milestones</w:t>
      </w:r>
      <w:r w:rsidR="000C71B3">
        <w:t>.</w:t>
      </w:r>
      <w:r>
        <w:rPr>
          <w:rStyle w:val="FootnoteReference"/>
        </w:rPr>
        <w:footnoteReference w:id="118"/>
      </w:r>
      <w:r w:rsidR="00CD34A2">
        <w:t xml:space="preserve">  </w:t>
      </w:r>
    </w:p>
    <w:p w:rsidR="00D75D32" w:rsidP="00FA04B0" w14:paraId="257848F9" w14:textId="77777777">
      <w:pPr>
        <w:pStyle w:val="ParaNum"/>
      </w:pPr>
      <w:r>
        <w:rPr>
          <w:i/>
          <w:iCs/>
        </w:rPr>
        <w:t xml:space="preserve">Bank Commitment Letter and Weiss Safety Rating.  </w:t>
      </w:r>
      <w:r w:rsidR="006827E2">
        <w:t xml:space="preserve">In addition to </w:t>
      </w:r>
      <w:r w:rsidR="00933EAF">
        <w:t>waiv</w:t>
      </w:r>
      <w:r w:rsidR="00197C33">
        <w:t>ing</w:t>
      </w:r>
      <w:r w:rsidR="00933EAF">
        <w:t xml:space="preserve"> the letter of credit </w:t>
      </w:r>
      <w:r w:rsidR="004C6E82">
        <w:t>value r</w:t>
      </w:r>
      <w:r w:rsidR="004E6280">
        <w:t>ules</w:t>
      </w:r>
      <w:r w:rsidR="006827E2">
        <w:t xml:space="preserve">, </w:t>
      </w:r>
      <w:r w:rsidRPr="00CD64D9" w:rsidR="006827E2">
        <w:t xml:space="preserve">the Coalition </w:t>
      </w:r>
      <w:r w:rsidRPr="00CD64D9" w:rsidR="00703BE5">
        <w:t xml:space="preserve">seeks a waiver </w:t>
      </w:r>
      <w:r w:rsidRPr="00CD64D9" w:rsidR="00285C76">
        <w:t>of</w:t>
      </w:r>
      <w:r w:rsidRPr="00CD64D9" w:rsidR="00146141">
        <w:t xml:space="preserve"> the Commission’s requirements </w:t>
      </w:r>
      <w:r w:rsidRPr="00CD64D9" w:rsidR="00FE1538">
        <w:t xml:space="preserve">for </w:t>
      </w:r>
      <w:r w:rsidRPr="00CD64D9" w:rsidR="005249E3">
        <w:t>the</w:t>
      </w:r>
      <w:r w:rsidRPr="00CD64D9" w:rsidR="00DC436D">
        <w:t xml:space="preserve"> requisite</w:t>
      </w:r>
      <w:r w:rsidRPr="00CD64D9" w:rsidR="005249E3">
        <w:t xml:space="preserve"> letter of credit commitment letter and Weiss safety rating of at least B-</w:t>
      </w:r>
      <w:r w:rsidRPr="00CD64D9" w:rsidR="002E4E79">
        <w:t xml:space="preserve"> </w:t>
      </w:r>
      <w:r w:rsidRPr="00CD64D9" w:rsidR="009D20B0">
        <w:t>for banks issuing a letter of credit</w:t>
      </w:r>
      <w:r w:rsidRPr="00CD64D9" w:rsidR="006B68BC">
        <w:t>.</w:t>
      </w:r>
      <w:r>
        <w:rPr>
          <w:rStyle w:val="FootnoteReference"/>
        </w:rPr>
        <w:footnoteReference w:id="119"/>
      </w:r>
      <w:r w:rsidRPr="00CD64D9" w:rsidR="006B68BC">
        <w:t xml:space="preserve">  </w:t>
      </w:r>
      <w:r w:rsidR="009D40BB">
        <w:t xml:space="preserve">For the </w:t>
      </w:r>
      <w:r w:rsidR="00392C7F">
        <w:t xml:space="preserve">single-round </w:t>
      </w:r>
      <w:r w:rsidR="00C14FBB">
        <w:t xml:space="preserve">Stage 2 competitive process, the Commission required </w:t>
      </w:r>
      <w:r w:rsidR="009D76F2">
        <w:t xml:space="preserve">prospective </w:t>
      </w:r>
      <w:r w:rsidR="00C14FBB">
        <w:t>applicants to submit a letter of credit commitment letter from a</w:t>
      </w:r>
      <w:r w:rsidR="00C23520">
        <w:t xml:space="preserve">n eligible bank with the requisite Weiss safety rating </w:t>
      </w:r>
      <w:r w:rsidR="009D76F2">
        <w:t>as part of</w:t>
      </w:r>
      <w:r w:rsidR="003D57DD">
        <w:t xml:space="preserve"> </w:t>
      </w:r>
      <w:r w:rsidR="00392C7F">
        <w:t>its application.</w:t>
      </w:r>
      <w:r>
        <w:rPr>
          <w:rStyle w:val="FootnoteReference"/>
        </w:rPr>
        <w:footnoteReference w:id="120"/>
      </w:r>
      <w:r w:rsidR="00392C7F">
        <w:t xml:space="preserve"> </w:t>
      </w:r>
      <w:r w:rsidR="009D76F2">
        <w:t xml:space="preserve"> </w:t>
      </w:r>
      <w:r w:rsidRPr="00CD64D9" w:rsidR="002B34D8">
        <w:t>The Coalition argues</w:t>
      </w:r>
      <w:r w:rsidRPr="00CD64D9" w:rsidR="00047A60">
        <w:t xml:space="preserve"> that special circumstances </w:t>
      </w:r>
      <w:r w:rsidRPr="00CD64D9" w:rsidR="00F21424">
        <w:t>exist for the waiver because</w:t>
      </w:r>
      <w:r w:rsidRPr="00CD64D9" w:rsidR="002D13F0">
        <w:t xml:space="preserve"> </w:t>
      </w:r>
      <w:r w:rsidRPr="00CD64D9" w:rsidR="00267F41">
        <w:t xml:space="preserve">there is insufficient time to obtain </w:t>
      </w:r>
      <w:r w:rsidRPr="00CD64D9" w:rsidR="002D13F0">
        <w:t>the commitment letter</w:t>
      </w:r>
      <w:r w:rsidR="00D05969">
        <w:t>;</w:t>
      </w:r>
      <w:r>
        <w:rPr>
          <w:rStyle w:val="FootnoteReference"/>
        </w:rPr>
        <w:footnoteReference w:id="121"/>
      </w:r>
      <w:r w:rsidRPr="00CD64D9" w:rsidR="002D13F0">
        <w:t xml:space="preserve"> </w:t>
      </w:r>
      <w:r w:rsidRPr="00CD64D9" w:rsidR="006827E2">
        <w:t xml:space="preserve">there are no banks in the Territories </w:t>
      </w:r>
      <w:r w:rsidRPr="00CD64D9" w:rsidR="000F2B76">
        <w:t>meeting the Weiss safety rating</w:t>
      </w:r>
      <w:r w:rsidR="00485929">
        <w:t xml:space="preserve"> of at least B-</w:t>
      </w:r>
      <w:r w:rsidR="00433379">
        <w:t>;</w:t>
      </w:r>
      <w:r w:rsidRPr="00CD64D9" w:rsidR="00A26995">
        <w:t xml:space="preserve"> and</w:t>
      </w:r>
      <w:r w:rsidRPr="00CD64D9" w:rsidR="006827E2">
        <w:t xml:space="preserve"> </w:t>
      </w:r>
      <w:r w:rsidRPr="00CD64D9" w:rsidR="000417C4">
        <w:t>it has not found</w:t>
      </w:r>
      <w:r w:rsidRPr="00CD64D9" w:rsidR="006827E2">
        <w:t xml:space="preserve"> </w:t>
      </w:r>
      <w:r w:rsidRPr="00CD64D9" w:rsidR="000417C4">
        <w:t xml:space="preserve">a </w:t>
      </w:r>
      <w:r w:rsidRPr="00CD64D9" w:rsidR="006827E2">
        <w:t xml:space="preserve">mainland bank willing to issue a letter of credit to </w:t>
      </w:r>
      <w:r w:rsidRPr="00CD64D9" w:rsidR="00AD05A8">
        <w:t>Coalition</w:t>
      </w:r>
      <w:r w:rsidRPr="00CD64D9" w:rsidR="006827E2">
        <w:t xml:space="preserve"> members.</w:t>
      </w:r>
      <w:r>
        <w:rPr>
          <w:rStyle w:val="FootnoteReference"/>
        </w:rPr>
        <w:footnoteReference w:id="122"/>
      </w:r>
      <w:r w:rsidR="004E6280">
        <w:t xml:space="preserve"> </w:t>
      </w:r>
      <w:r w:rsidR="000A697D">
        <w:t xml:space="preserve"> While we </w:t>
      </w:r>
      <w:r w:rsidR="00085154">
        <w:t xml:space="preserve">continue to be </w:t>
      </w:r>
      <w:r w:rsidR="000A697D">
        <w:t>mindful of the e</w:t>
      </w:r>
      <w:r w:rsidR="00FC0366">
        <w:t>conomic challenges in the Territories,</w:t>
      </w:r>
      <w:r w:rsidR="004C6E82">
        <w:t xml:space="preserve"> we </w:t>
      </w:r>
      <w:r w:rsidR="00F81BC8">
        <w:t xml:space="preserve">are not persuaded by </w:t>
      </w:r>
      <w:r w:rsidR="00984987">
        <w:t xml:space="preserve">the Coalition and </w:t>
      </w:r>
      <w:r w:rsidR="000B3467">
        <w:t xml:space="preserve">commenters </w:t>
      </w:r>
      <w:r w:rsidR="00F81BC8">
        <w:t xml:space="preserve">to </w:t>
      </w:r>
      <w:r w:rsidR="00E36B16">
        <w:t>also</w:t>
      </w:r>
      <w:r w:rsidR="004B3568">
        <w:t xml:space="preserve"> </w:t>
      </w:r>
      <w:r w:rsidR="00F81BC8">
        <w:t>waive</w:t>
      </w:r>
      <w:r w:rsidR="001A6FF4">
        <w:t xml:space="preserve"> the </w:t>
      </w:r>
      <w:r w:rsidR="00337C3E">
        <w:t>letter of credit</w:t>
      </w:r>
      <w:r w:rsidR="001A6FF4">
        <w:t xml:space="preserve"> commitment letter and Weiss bank safety rating</w:t>
      </w:r>
      <w:r w:rsidR="00C257CA">
        <w:t xml:space="preserve"> requirements.</w:t>
      </w:r>
      <w:r>
        <w:rPr>
          <w:rStyle w:val="FootnoteReference"/>
        </w:rPr>
        <w:footnoteReference w:id="123"/>
      </w:r>
      <w:r w:rsidR="00BD35CB">
        <w:t xml:space="preserve">  </w:t>
      </w:r>
      <w:r>
        <w:t xml:space="preserve">We do not find good cause to forego </w:t>
      </w:r>
      <w:r w:rsidR="008E3283">
        <w:t xml:space="preserve">these </w:t>
      </w:r>
      <w:r w:rsidR="00FA1843">
        <w:t xml:space="preserve">particular </w:t>
      </w:r>
      <w:r w:rsidR="008E3283">
        <w:t>letter of credit requirements</w:t>
      </w:r>
      <w:r w:rsidR="00557CE2">
        <w:t xml:space="preserve"> and </w:t>
      </w:r>
      <w:r w:rsidR="00742A94">
        <w:t xml:space="preserve">thus </w:t>
      </w:r>
      <w:r w:rsidR="00557CE2">
        <w:t xml:space="preserve">deny the </w:t>
      </w:r>
      <w:r w:rsidR="007204AC">
        <w:t>waiver request as to</w:t>
      </w:r>
      <w:r w:rsidR="00557CE2">
        <w:t xml:space="preserve"> the letter of credit </w:t>
      </w:r>
      <w:r w:rsidR="000F6294">
        <w:t>commitment letter and Weiss bank safety rating.</w:t>
      </w:r>
      <w:r>
        <w:rPr>
          <w:rStyle w:val="FootnoteReference"/>
        </w:rPr>
        <w:footnoteReference w:id="124"/>
      </w:r>
      <w:r w:rsidR="000F6294">
        <w:t xml:space="preserve">  </w:t>
      </w:r>
    </w:p>
    <w:p w:rsidR="004379B1" w:rsidP="00FA04B0" w14:paraId="12944C88" w14:textId="77777777">
      <w:pPr>
        <w:pStyle w:val="ParaNum"/>
      </w:pPr>
      <w:r>
        <w:t xml:space="preserve">We are not persuaded by </w:t>
      </w:r>
      <w:r w:rsidR="00510B34">
        <w:t xml:space="preserve">arguments from the Coalition and commenters that the Weiss safety rating of B- </w:t>
      </w:r>
      <w:r w:rsidR="00C20146">
        <w:t>act</w:t>
      </w:r>
      <w:r w:rsidR="006E48BA">
        <w:t>s</w:t>
      </w:r>
      <w:r w:rsidR="00C20146">
        <w:t xml:space="preserve"> as a bar</w:t>
      </w:r>
      <w:r w:rsidR="00C95574">
        <w:t xml:space="preserve"> to participation because it</w:t>
      </w:r>
      <w:r w:rsidR="00EB77F6">
        <w:t xml:space="preserve"> impossible to meet</w:t>
      </w:r>
      <w:r w:rsidR="00584CE0">
        <w:t>.</w:t>
      </w:r>
      <w:r>
        <w:rPr>
          <w:rStyle w:val="FootnoteReference"/>
        </w:rPr>
        <w:footnoteReference w:id="125"/>
      </w:r>
      <w:r w:rsidR="00C95574">
        <w:t xml:space="preserve">  </w:t>
      </w:r>
      <w:r w:rsidR="00952B7E">
        <w:t xml:space="preserve">Contrary to </w:t>
      </w:r>
      <w:r w:rsidR="00C95574">
        <w:t>the Coalition</w:t>
      </w:r>
      <w:r w:rsidR="001F144F">
        <w:t>’s argument</w:t>
      </w:r>
      <w:r w:rsidR="00161318">
        <w:t xml:space="preserve"> that there are no banks </w:t>
      </w:r>
      <w:r w:rsidR="00AF6916">
        <w:t xml:space="preserve">with a Weiss </w:t>
      </w:r>
      <w:r w:rsidR="00CB3E05">
        <w:t>safety rating of B- or better</w:t>
      </w:r>
      <w:r w:rsidR="00236C5A">
        <w:t xml:space="preserve"> </w:t>
      </w:r>
      <w:r w:rsidR="006578F9">
        <w:t>currently</w:t>
      </w:r>
      <w:r w:rsidR="003D1E02">
        <w:t xml:space="preserve"> </w:t>
      </w:r>
      <w:r w:rsidR="00C07E5E">
        <w:t>in the Territories</w:t>
      </w:r>
      <w:r w:rsidR="00161318">
        <w:t>,</w:t>
      </w:r>
      <w:r>
        <w:rPr>
          <w:rStyle w:val="FootnoteReference"/>
        </w:rPr>
        <w:footnoteReference w:id="126"/>
      </w:r>
      <w:r w:rsidR="00C07E5E">
        <w:t xml:space="preserve"> </w:t>
      </w:r>
      <w:r w:rsidR="009B75E3">
        <w:t xml:space="preserve">the </w:t>
      </w:r>
      <w:r w:rsidR="006B2DE2">
        <w:t xml:space="preserve">Weiss </w:t>
      </w:r>
      <w:r w:rsidR="009B75E3">
        <w:t>safety ratings</w:t>
      </w:r>
      <w:r w:rsidR="001040CA">
        <w:t xml:space="preserve"> currently </w:t>
      </w:r>
      <w:r w:rsidR="00CF4765">
        <w:t>list</w:t>
      </w:r>
      <w:r w:rsidR="009B75E3">
        <w:t xml:space="preserve"> several </w:t>
      </w:r>
      <w:r w:rsidR="00EB01C7">
        <w:t xml:space="preserve">eligible </w:t>
      </w:r>
      <w:r w:rsidR="009B75E3">
        <w:t xml:space="preserve">banks </w:t>
      </w:r>
      <w:r w:rsidR="00FE3D20">
        <w:t xml:space="preserve">with a presence </w:t>
      </w:r>
      <w:r w:rsidR="009B75E3">
        <w:t xml:space="preserve">in the Territories </w:t>
      </w:r>
      <w:r w:rsidR="006B2DE2">
        <w:t>that possess</w:t>
      </w:r>
      <w:r w:rsidR="00E90248">
        <w:t xml:space="preserve"> </w:t>
      </w:r>
      <w:r w:rsidR="009B75E3">
        <w:t xml:space="preserve">the minimum </w:t>
      </w:r>
      <w:r w:rsidR="007327C1">
        <w:t>eligibility rating required by Section 54.1508(c)(1)(ii).</w:t>
      </w:r>
      <w:r>
        <w:rPr>
          <w:rStyle w:val="FootnoteReference"/>
        </w:rPr>
        <w:footnoteReference w:id="127"/>
      </w:r>
      <w:r w:rsidR="003425D1">
        <w:t xml:space="preserve"> </w:t>
      </w:r>
      <w:r w:rsidR="00906A60">
        <w:t xml:space="preserve"> </w:t>
      </w:r>
      <w:r w:rsidR="00A51048">
        <w:t xml:space="preserve">Further, we believe that there </w:t>
      </w:r>
      <w:r w:rsidR="00DE4E08">
        <w:t>is</w:t>
      </w:r>
      <w:r w:rsidR="00A51048">
        <w:t xml:space="preserve"> </w:t>
      </w:r>
      <w:r w:rsidR="00EB0AEC">
        <w:t>a sufficient pool of eligible</w:t>
      </w:r>
      <w:r w:rsidR="006E2A89">
        <w:t xml:space="preserve"> banks </w:t>
      </w:r>
      <w:r w:rsidR="00C25947">
        <w:t xml:space="preserve">from which </w:t>
      </w:r>
      <w:r w:rsidR="00741AC4">
        <w:t xml:space="preserve">the Coalition members may seek letters of credit, even if the banks are not </w:t>
      </w:r>
      <w:r w:rsidR="005E0AA2">
        <w:t xml:space="preserve">chartered </w:t>
      </w:r>
      <w:r w:rsidR="00741AC4">
        <w:t>or have their pr</w:t>
      </w:r>
      <w:r w:rsidR="00963A49">
        <w:t>incipal</w:t>
      </w:r>
      <w:r w:rsidR="00741AC4">
        <w:t xml:space="preserve"> place of business in the Territories.</w:t>
      </w:r>
      <w:r w:rsidRPr="00107DFB" w:rsidR="00107DFB">
        <w:rPr>
          <w:rStyle w:val="FootnoteReference"/>
        </w:rPr>
        <w:t xml:space="preserve"> </w:t>
      </w:r>
      <w:r>
        <w:rPr>
          <w:rStyle w:val="FootnoteReference"/>
        </w:rPr>
        <w:footnoteReference w:id="128"/>
      </w:r>
      <w:r w:rsidR="00E53B4B">
        <w:t xml:space="preserve">  </w:t>
      </w:r>
    </w:p>
    <w:p w:rsidR="00203135" w:rsidP="00FA04B0" w14:paraId="5E48A93D" w14:textId="77777777">
      <w:pPr>
        <w:pStyle w:val="ParaNum"/>
      </w:pPr>
      <w:r>
        <w:t xml:space="preserve">In addition, </w:t>
      </w:r>
      <w:r w:rsidR="00375BE4">
        <w:t xml:space="preserve">as stewards of the Universal Service Fund, </w:t>
      </w:r>
      <w:r>
        <w:t>w</w:t>
      </w:r>
      <w:r w:rsidR="000549E1">
        <w:t xml:space="preserve">e agree with </w:t>
      </w:r>
      <w:r w:rsidR="00A0338D">
        <w:t xml:space="preserve">commenters </w:t>
      </w:r>
      <w:r w:rsidR="000549E1">
        <w:t xml:space="preserve">that the </w:t>
      </w:r>
      <w:r w:rsidR="00436CD2">
        <w:t xml:space="preserve">Weiss safety rating and </w:t>
      </w:r>
      <w:r w:rsidR="000549E1">
        <w:t>bank commitment letter</w:t>
      </w:r>
      <w:r w:rsidR="00436CD2">
        <w:t xml:space="preserve"> </w:t>
      </w:r>
      <w:r w:rsidR="000549E1">
        <w:t>serve</w:t>
      </w:r>
      <w:r w:rsidR="002E76DC">
        <w:t xml:space="preserve"> as</w:t>
      </w:r>
      <w:r w:rsidR="000549E1">
        <w:t xml:space="preserve"> important safeguard</w:t>
      </w:r>
      <w:r w:rsidR="00511E3C">
        <w:t>s</w:t>
      </w:r>
      <w:r w:rsidR="000549E1">
        <w:t xml:space="preserve"> that help demonstrate an applicant’s financial capability and commitment to fulfilling its deployment obligations throughout the Stage 2 funding term.</w:t>
      </w:r>
      <w:r>
        <w:rPr>
          <w:rStyle w:val="FootnoteReference"/>
        </w:rPr>
        <w:footnoteReference w:id="129"/>
      </w:r>
      <w:r w:rsidR="000549E1">
        <w:t xml:space="preserve">  </w:t>
      </w:r>
      <w:r w:rsidR="00BE189D">
        <w:t>Just a</w:t>
      </w:r>
      <w:r w:rsidR="000549E1">
        <w:t xml:space="preserve">s the Commission found when it declined to permit CAF Phase II auction bidders to “use any bank that is federally-insured” for issuing letters of credit, </w:t>
      </w:r>
      <w:r w:rsidR="002F004F">
        <w:t>we</w:t>
      </w:r>
      <w:r w:rsidR="00390408">
        <w:t xml:space="preserve"> conclude </w:t>
      </w:r>
      <w:r w:rsidR="00E5758C">
        <w:t xml:space="preserve">that the Weiss safety rating </w:t>
      </w:r>
      <w:r w:rsidR="00883241">
        <w:t>provides an independent</w:t>
      </w:r>
      <w:r w:rsidR="001C784F">
        <w:t>, comprehensive</w:t>
      </w:r>
      <w:r w:rsidR="00883241">
        <w:t xml:space="preserve"> </w:t>
      </w:r>
      <w:r w:rsidR="00410F56">
        <w:t xml:space="preserve">evaluation </w:t>
      </w:r>
      <w:r w:rsidR="00C50D65">
        <w:t xml:space="preserve">of the safety and soundness of </w:t>
      </w:r>
      <w:r w:rsidR="004C1CDD">
        <w:t xml:space="preserve">banks that may issue letters of credit </w:t>
      </w:r>
      <w:r w:rsidR="007E4CA1">
        <w:t>for Stage 2 fixed support recipients.</w:t>
      </w:r>
      <w:r w:rsidRPr="00F21F63" w:rsidR="00F21F63">
        <w:rPr>
          <w:rStyle w:val="FootnoteReference"/>
        </w:rPr>
        <w:t xml:space="preserve"> </w:t>
      </w:r>
      <w:r>
        <w:rPr>
          <w:rStyle w:val="FootnoteReference"/>
        </w:rPr>
        <w:footnoteReference w:id="130"/>
      </w:r>
      <w:r w:rsidR="000549E1">
        <w:t xml:space="preserve">  </w:t>
      </w:r>
      <w:r w:rsidR="0051175B">
        <w:t xml:space="preserve">We likewise conclude that </w:t>
      </w:r>
      <w:r w:rsidR="00646F39">
        <w:t>by</w:t>
      </w:r>
      <w:r w:rsidR="0051175B">
        <w:t xml:space="preserve"> </w:t>
      </w:r>
      <w:r w:rsidR="009E3A26">
        <w:t xml:space="preserve">maintaining the minimum safety rating of B- or better, </w:t>
      </w:r>
      <w:r w:rsidR="008577AC">
        <w:t xml:space="preserve">the Commission helps ensure that the bank offers financial security </w:t>
      </w:r>
      <w:r w:rsidR="00C915ED">
        <w:t>and has the resources to deal with a variety of adverse economic conditions.</w:t>
      </w:r>
      <w:r>
        <w:rPr>
          <w:rStyle w:val="FootnoteReference"/>
        </w:rPr>
        <w:footnoteReference w:id="131"/>
      </w:r>
      <w:r w:rsidR="00C915ED">
        <w:t xml:space="preserve">  </w:t>
      </w:r>
      <w:r w:rsidR="004737F8">
        <w:t xml:space="preserve">In this regard, </w:t>
      </w:r>
      <w:r w:rsidR="007A460A">
        <w:t>the Weiss safety rating provides sufficient assurance that letters of credit issued by banks will be honored.</w:t>
      </w:r>
      <w:r>
        <w:rPr>
          <w:rStyle w:val="FootnoteReference"/>
        </w:rPr>
        <w:footnoteReference w:id="132"/>
      </w:r>
      <w:r w:rsidR="00913DB6">
        <w:t xml:space="preserve">  </w:t>
      </w:r>
    </w:p>
    <w:p w:rsidR="000549E1" w:rsidP="00FA04B0" w14:paraId="24916CF7" w14:textId="77777777">
      <w:pPr>
        <w:pStyle w:val="ParaNum"/>
      </w:pPr>
      <w:r>
        <w:t>We</w:t>
      </w:r>
      <w:r w:rsidR="0078617C">
        <w:t xml:space="preserve"> further find that</w:t>
      </w:r>
      <w:r w:rsidR="008F7A8C">
        <w:t xml:space="preserve">, on balance, </w:t>
      </w:r>
      <w:r w:rsidR="00B262F9">
        <w:t xml:space="preserve">maintaining </w:t>
      </w:r>
      <w:r w:rsidR="0078617C">
        <w:t xml:space="preserve">the Weiss safety rating will serve to protect </w:t>
      </w:r>
      <w:r w:rsidR="008F7A8C">
        <w:t xml:space="preserve">the Fund </w:t>
      </w:r>
      <w:r w:rsidR="00D4760C">
        <w:t>considering</w:t>
      </w:r>
      <w:r w:rsidR="00487BD9">
        <w:t xml:space="preserve"> the greater exposure to risk </w:t>
      </w:r>
      <w:r w:rsidR="00220F63">
        <w:t xml:space="preserve">assumed </w:t>
      </w:r>
      <w:r>
        <w:t xml:space="preserve">by granting </w:t>
      </w:r>
      <w:r w:rsidR="00220F63">
        <w:t xml:space="preserve">in part the Coalition’s </w:t>
      </w:r>
      <w:r>
        <w:t xml:space="preserve">waiver to reduce the value of a letter of credit as discussed above.  </w:t>
      </w:r>
      <w:r w:rsidR="003D5083">
        <w:t>We therefore are not persuaded</w:t>
      </w:r>
      <w:r w:rsidR="00295226">
        <w:t xml:space="preserve"> </w:t>
      </w:r>
      <w:r w:rsidR="002E672D">
        <w:t xml:space="preserve">by the Coalition </w:t>
      </w:r>
      <w:r w:rsidR="00295226">
        <w:t>that the Commission should assume greater risk in the event of default by an applicant</w:t>
      </w:r>
      <w:r w:rsidR="007A56BC">
        <w:t xml:space="preserve"> because </w:t>
      </w:r>
      <w:r w:rsidR="00352C97">
        <w:t xml:space="preserve">an issuing bank </w:t>
      </w:r>
      <w:r w:rsidR="007A56BC">
        <w:t>is less financially stable.</w:t>
      </w:r>
      <w:r>
        <w:rPr>
          <w:rStyle w:val="FootnoteReference"/>
        </w:rPr>
        <w:footnoteReference w:id="133"/>
      </w:r>
      <w:r w:rsidR="002E672D">
        <w:t xml:space="preserve">  </w:t>
      </w:r>
      <w:r w:rsidR="00C522B4">
        <w:t>We ma</w:t>
      </w:r>
      <w:r w:rsidR="003C7CC3">
        <w:t xml:space="preserve">intain the </w:t>
      </w:r>
      <w:r>
        <w:t xml:space="preserve">Weiss safety rating </w:t>
      </w:r>
      <w:r w:rsidR="003C7CC3">
        <w:t>to</w:t>
      </w:r>
      <w:r w:rsidR="002622BA">
        <w:t xml:space="preserve"> guard against </w:t>
      </w:r>
      <w:r w:rsidR="00937905">
        <w:t xml:space="preserve">a bank’s </w:t>
      </w:r>
      <w:r w:rsidR="000228D1">
        <w:t>failure and inability to honor</w:t>
      </w:r>
      <w:r w:rsidR="00C2680F">
        <w:t xml:space="preserve"> even a redu</w:t>
      </w:r>
      <w:r w:rsidR="00AC17BB">
        <w:t>ced</w:t>
      </w:r>
      <w:r w:rsidR="000228D1">
        <w:t xml:space="preserve"> </w:t>
      </w:r>
      <w:r w:rsidR="00937905">
        <w:t>letter of credit</w:t>
      </w:r>
      <w:r w:rsidR="00AC17BB">
        <w:t xml:space="preserve"> value</w:t>
      </w:r>
      <w:r w:rsidR="00CE5B2E">
        <w:t xml:space="preserve"> in the event of default by a support recipient</w:t>
      </w:r>
      <w:r w:rsidR="002622BA">
        <w:t xml:space="preserve">.  </w:t>
      </w:r>
      <w:r w:rsidR="00E9306A">
        <w:t xml:space="preserve">A </w:t>
      </w:r>
      <w:r>
        <w:t xml:space="preserve">draw on a reduced letter of credit </w:t>
      </w:r>
      <w:r w:rsidR="00F90520">
        <w:t xml:space="preserve">would be </w:t>
      </w:r>
      <w:r>
        <w:t xml:space="preserve">impossible if the issuing bank </w:t>
      </w:r>
      <w:r w:rsidR="00362186">
        <w:t xml:space="preserve">does not have </w:t>
      </w:r>
      <w:r w:rsidR="005521C1">
        <w:t xml:space="preserve">a minimum level of </w:t>
      </w:r>
      <w:r w:rsidR="00362186">
        <w:t>financial security or resources</w:t>
      </w:r>
      <w:r w:rsidR="005521C1">
        <w:t xml:space="preserve"> that would protect the Fund</w:t>
      </w:r>
      <w:r>
        <w:t>.  Thus, we agree with CoBank and others</w:t>
      </w:r>
      <w:r>
        <w:rPr>
          <w:rStyle w:val="FootnoteReference"/>
        </w:rPr>
        <w:footnoteReference w:id="134"/>
      </w:r>
      <w:r>
        <w:t xml:space="preserve"> that it is not in the public interest for the Fund to assume additional, significant financial risk by also granting the Coalition’s waiver request of the Weiss safety rating.  </w:t>
      </w:r>
      <w:r w:rsidR="00E43A05">
        <w:t>As the Commission provided previously, “</w:t>
      </w:r>
      <w:r w:rsidR="009E4BAA">
        <w:t xml:space="preserve">this approach achieves an appropriate balance between encouraging the </w:t>
      </w:r>
      <w:r w:rsidR="003D04BC">
        <w:t>participation in the [competitive process], particularly of small entities</w:t>
      </w:r>
      <w:r w:rsidR="00E573A6">
        <w:t>, and protecting the public funds.”</w:t>
      </w:r>
      <w:r>
        <w:rPr>
          <w:rStyle w:val="FootnoteReference"/>
        </w:rPr>
        <w:footnoteReference w:id="135"/>
      </w:r>
      <w:r w:rsidR="00E573A6">
        <w:t xml:space="preserve">  </w:t>
      </w:r>
    </w:p>
    <w:p w:rsidR="00307339" w:rsidP="00C53674" w14:paraId="7A0E1778" w14:textId="77777777">
      <w:pPr>
        <w:pStyle w:val="ParaNum"/>
      </w:pPr>
      <w:r>
        <w:t>We</w:t>
      </w:r>
      <w:r w:rsidR="000F6294">
        <w:t xml:space="preserve"> </w:t>
      </w:r>
      <w:r w:rsidR="00EC1FC0">
        <w:t xml:space="preserve">further </w:t>
      </w:r>
      <w:r w:rsidR="00FB089C">
        <w:t>find that it is not in the public inter</w:t>
      </w:r>
      <w:r w:rsidR="00592040">
        <w:t>est to waive the</w:t>
      </w:r>
      <w:r w:rsidR="0086332E">
        <w:t xml:space="preserve"> letter of credit commitment letter</w:t>
      </w:r>
      <w:r w:rsidR="002B0617">
        <w:t>.</w:t>
      </w:r>
      <w:r w:rsidR="00592040">
        <w:t xml:space="preserve">  </w:t>
      </w:r>
      <w:r w:rsidR="00145246">
        <w:t>Like the Weiss safety rating,</w:t>
      </w:r>
      <w:r w:rsidR="009D36FC">
        <w:t xml:space="preserve"> the letter of credit commitment letter </w:t>
      </w:r>
      <w:r w:rsidR="00C661D4">
        <w:t>serve</w:t>
      </w:r>
      <w:r w:rsidR="000966FB">
        <w:t>s</w:t>
      </w:r>
      <w:r w:rsidR="00C661D4">
        <w:t xml:space="preserve"> as</w:t>
      </w:r>
      <w:r w:rsidR="007B3E37">
        <w:t xml:space="preserve"> </w:t>
      </w:r>
      <w:r w:rsidR="000966FB">
        <w:t xml:space="preserve">a </w:t>
      </w:r>
      <w:r w:rsidR="007B3E37">
        <w:t xml:space="preserve">critical safeguard </w:t>
      </w:r>
      <w:r w:rsidR="00201C34">
        <w:t>that protect</w:t>
      </w:r>
      <w:r w:rsidR="000966FB">
        <w:t>s</w:t>
      </w:r>
      <w:r w:rsidR="00201C34">
        <w:t xml:space="preserve"> the </w:t>
      </w:r>
      <w:r w:rsidRPr="00201C34" w:rsidR="008D1063">
        <w:t>Fund.</w:t>
      </w:r>
      <w:r>
        <w:rPr>
          <w:rStyle w:val="FootnoteReference"/>
        </w:rPr>
        <w:footnoteReference w:id="136"/>
      </w:r>
      <w:r w:rsidR="00201C34">
        <w:t xml:space="preserve">  </w:t>
      </w:r>
      <w:r w:rsidR="008A4163">
        <w:t>We agree with Viya</w:t>
      </w:r>
      <w:r w:rsidR="004F08BA">
        <w:t xml:space="preserve"> that “requiring each applicant to submit a commitment letter effectively provides the Commission with an early, independent</w:t>
      </w:r>
      <w:r w:rsidR="00E80804">
        <w:t xml:space="preserve"> review of its proposal by an appro</w:t>
      </w:r>
      <w:r w:rsidR="00A92D99">
        <w:t>v</w:t>
      </w:r>
      <w:r w:rsidR="00E80804">
        <w:t>ed bank with an incentive to undertake appropriate scrutiny of the applicant’s financial situation.”</w:t>
      </w:r>
      <w:r>
        <w:rPr>
          <w:rStyle w:val="FootnoteReference"/>
        </w:rPr>
        <w:footnoteReference w:id="137"/>
      </w:r>
      <w:r w:rsidR="00E80804">
        <w:t xml:space="preserve"> </w:t>
      </w:r>
      <w:r w:rsidR="00A92D99">
        <w:t xml:space="preserve"> And as </w:t>
      </w:r>
      <w:r w:rsidR="007B4A2B">
        <w:t xml:space="preserve">CoBank </w:t>
      </w:r>
      <w:r w:rsidR="0040538E">
        <w:t>observed</w:t>
      </w:r>
      <w:r w:rsidR="007B4A2B">
        <w:t xml:space="preserve">, </w:t>
      </w:r>
      <w:r w:rsidR="0040538E">
        <w:t>“[t]he financial sector has the resources and knowledge base to underwrite the ability of the support applicants to achieve the goals of universal service programs.”</w:t>
      </w:r>
      <w:r>
        <w:rPr>
          <w:rStyle w:val="FootnoteReference"/>
        </w:rPr>
        <w:footnoteReference w:id="138"/>
      </w:r>
      <w:r w:rsidR="0040538E">
        <w:t xml:space="preserve">  For the Uniendo a Puerto Rico Fund and the Connect USVI Fund, the Burea</w:t>
      </w:r>
      <w:r w:rsidR="008C41AD">
        <w:t xml:space="preserve">u </w:t>
      </w:r>
      <w:r w:rsidR="00221CA5">
        <w:t xml:space="preserve">will </w:t>
      </w:r>
      <w:r w:rsidR="008C41AD">
        <w:t xml:space="preserve">leverage the underwriting process </w:t>
      </w:r>
      <w:r w:rsidR="0040538E">
        <w:t>to assess an applicant’s qualification to facilitate more prompt funding in the single-round competitive proposal process established for Stage 2 fixed support.</w:t>
      </w:r>
      <w:r>
        <w:rPr>
          <w:rStyle w:val="FootnoteReference"/>
        </w:rPr>
        <w:footnoteReference w:id="139"/>
      </w:r>
      <w:r w:rsidR="004D66EC">
        <w:t xml:space="preserve">  Moreover,</w:t>
      </w:r>
      <w:r w:rsidR="00256D46">
        <w:t xml:space="preserve"> the letter of credit commitment letter provides the Commission additional </w:t>
      </w:r>
      <w:r w:rsidR="003A3B67">
        <w:t xml:space="preserve">indicia </w:t>
      </w:r>
      <w:r w:rsidR="00256D46">
        <w:t xml:space="preserve">that an applicant </w:t>
      </w:r>
      <w:r w:rsidR="008C399F">
        <w:t xml:space="preserve">has sought a letter of credit from a eligible bank to ensure it will </w:t>
      </w:r>
      <w:r w:rsidR="00157B00">
        <w:t xml:space="preserve">meet its </w:t>
      </w:r>
      <w:r w:rsidR="007A466E">
        <w:t xml:space="preserve">application </w:t>
      </w:r>
      <w:r w:rsidR="00157B00">
        <w:t>commitments and the program requirements</w:t>
      </w:r>
      <w:r w:rsidR="00045A6C">
        <w:t>, rather than</w:t>
      </w:r>
      <w:r w:rsidR="00AA2D71">
        <w:t xml:space="preserve"> default prior to the authorization of support.  </w:t>
      </w:r>
      <w:r w:rsidR="00E947CD">
        <w:t xml:space="preserve">We find that the public interest </w:t>
      </w:r>
      <w:r w:rsidR="00352BFE">
        <w:t xml:space="preserve">is best served by ensuring that </w:t>
      </w:r>
      <w:r w:rsidR="00367703">
        <w:t xml:space="preserve">applicants are </w:t>
      </w:r>
      <w:r w:rsidR="00352BFE">
        <w:t xml:space="preserve">financially qualified and capable of </w:t>
      </w:r>
      <w:r w:rsidR="00EC4AB7">
        <w:t xml:space="preserve">fulfill commitments to </w:t>
      </w:r>
      <w:r w:rsidR="00352BFE">
        <w:t>provid</w:t>
      </w:r>
      <w:r w:rsidR="00EC4AB7">
        <w:t>e</w:t>
      </w:r>
      <w:r w:rsidR="00352BFE">
        <w:t xml:space="preserve"> high-quality </w:t>
      </w:r>
      <w:r w:rsidR="004C5783">
        <w:t>voice and broadband services</w:t>
      </w:r>
      <w:r w:rsidR="008068CD">
        <w:t xml:space="preserve"> to consumers.</w:t>
      </w:r>
      <w:r>
        <w:rPr>
          <w:rStyle w:val="FootnoteReference"/>
        </w:rPr>
        <w:footnoteReference w:id="140"/>
      </w:r>
      <w:r w:rsidR="004C5783">
        <w:t xml:space="preserve"> </w:t>
      </w:r>
      <w:r w:rsidR="00045A6C">
        <w:t xml:space="preserve"> </w:t>
      </w:r>
      <w:r w:rsidR="008C399F">
        <w:t xml:space="preserve"> </w:t>
      </w:r>
      <w:r w:rsidR="00E80804">
        <w:t xml:space="preserve"> </w:t>
      </w:r>
      <w:r w:rsidR="00FD4B84">
        <w:t xml:space="preserve">  </w:t>
      </w:r>
    </w:p>
    <w:p w:rsidR="003553C9" w:rsidRPr="00FA04B0" w:rsidP="00C53674" w14:paraId="09A74B56" w14:textId="77777777">
      <w:pPr>
        <w:pStyle w:val="ParaNum"/>
      </w:pPr>
      <w:r>
        <w:t>For these reasons, w</w:t>
      </w:r>
      <w:r w:rsidR="0020097D">
        <w:t xml:space="preserve">e find that </w:t>
      </w:r>
      <w:r w:rsidR="009C3FD6">
        <w:t xml:space="preserve">it is in the </w:t>
      </w:r>
      <w:r w:rsidR="001E218A">
        <w:t xml:space="preserve">public interest </w:t>
      </w:r>
      <w:r w:rsidR="009C3FD6">
        <w:t>to</w:t>
      </w:r>
      <w:r w:rsidR="001E218A">
        <w:t xml:space="preserve"> maintain</w:t>
      </w:r>
      <w:r w:rsidR="005B4136">
        <w:t xml:space="preserve"> </w:t>
      </w:r>
      <w:r w:rsidR="00E81839">
        <w:t xml:space="preserve">an </w:t>
      </w:r>
      <w:r w:rsidR="00E615C1">
        <w:t xml:space="preserve">appropriate </w:t>
      </w:r>
      <w:r w:rsidR="001E218A">
        <w:t xml:space="preserve">balance </w:t>
      </w:r>
      <w:r w:rsidR="004812A9">
        <w:t>between encouraging participatio</w:t>
      </w:r>
      <w:r w:rsidR="0054567F">
        <w:t>n, particularly of small entit</w:t>
      </w:r>
      <w:r w:rsidR="00677089">
        <w:t>i</w:t>
      </w:r>
      <w:r w:rsidR="0054567F">
        <w:t xml:space="preserve">es, </w:t>
      </w:r>
      <w:r w:rsidR="0078248F">
        <w:t xml:space="preserve">by </w:t>
      </w:r>
      <w:r w:rsidR="002F33E7">
        <w:t xml:space="preserve">modifying the </w:t>
      </w:r>
      <w:r w:rsidR="003465EA">
        <w:t xml:space="preserve">letter of credit </w:t>
      </w:r>
      <w:r w:rsidR="00580B28">
        <w:t xml:space="preserve">value </w:t>
      </w:r>
      <w:r w:rsidR="003465EA">
        <w:t>requirements</w:t>
      </w:r>
      <w:r w:rsidR="005F31C7">
        <w:t xml:space="preserve">, </w:t>
      </w:r>
      <w:r w:rsidR="0054567F">
        <w:t>and protecting the public funds</w:t>
      </w:r>
      <w:r w:rsidR="00EE18FC">
        <w:t xml:space="preserve"> </w:t>
      </w:r>
      <w:r w:rsidR="004F09E4">
        <w:t xml:space="preserve">by maintaining </w:t>
      </w:r>
      <w:r w:rsidR="00EE18FC">
        <w:t xml:space="preserve">the letter of credit commitment letter </w:t>
      </w:r>
      <w:r w:rsidR="004F09E4">
        <w:t xml:space="preserve">requirement </w:t>
      </w:r>
      <w:r w:rsidR="00EE18FC">
        <w:t xml:space="preserve">and the Weiss safety rating </w:t>
      </w:r>
      <w:r w:rsidR="001C2071">
        <w:t xml:space="preserve">requirement </w:t>
      </w:r>
      <w:r w:rsidR="00DB2A21">
        <w:t>for the Uniendo a Puerto Rico Fund and</w:t>
      </w:r>
      <w:r w:rsidR="00EA08EA">
        <w:t xml:space="preserve"> the</w:t>
      </w:r>
      <w:r w:rsidR="00DB2A21">
        <w:t xml:space="preserve"> Connect USVI Fund</w:t>
      </w:r>
      <w:r w:rsidR="0054567F">
        <w:t>.</w:t>
      </w:r>
      <w:r w:rsidR="00284323">
        <w:t xml:space="preserve">  </w:t>
      </w:r>
    </w:p>
    <w:p w:rsidR="006F2563" w:rsidP="00C14CD0" w14:paraId="7201D5B7" w14:textId="77777777">
      <w:pPr>
        <w:pStyle w:val="Heading1"/>
        <w:tabs>
          <w:tab w:val="clear" w:pos="2610"/>
        </w:tabs>
        <w:ind w:left="720"/>
      </w:pPr>
      <w:r>
        <w:t>ordering clauses</w:t>
      </w:r>
    </w:p>
    <w:p w:rsidR="003716B6" w:rsidP="00BB11CF" w14:paraId="4B70C584"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402D69" w:rsidP="00693528" w14:paraId="4056327E" w14:textId="77777777">
      <w:pPr>
        <w:pStyle w:val="ParaNum"/>
      </w:pPr>
      <w:r>
        <w:t xml:space="preserve">IT IS FURTHER ORDERED that the Petition for Reconsideration filed by </w:t>
      </w:r>
      <w:r w:rsidR="00F04854">
        <w:t>Virgin Islands Telephone Corp. on January 21, 2020</w:t>
      </w:r>
      <w:r>
        <w:t xml:space="preserve"> is </w:t>
      </w:r>
      <w:r w:rsidR="00F04854">
        <w:t xml:space="preserve">GRANTED IN PART AND </w:t>
      </w:r>
      <w:r>
        <w:t>DENIED</w:t>
      </w:r>
      <w:r w:rsidR="00F04854">
        <w:t xml:space="preserve"> IN PART</w:t>
      </w:r>
      <w:r>
        <w:t>.</w:t>
      </w:r>
    </w:p>
    <w:p w:rsidR="004C5C89" w:rsidP="0016641D" w14:paraId="45DBE7EF" w14:textId="77777777">
      <w:pPr>
        <w:pStyle w:val="ParaNum"/>
      </w:pPr>
      <w:r w:rsidRPr="00935F41">
        <w:t xml:space="preserve">IT IS FURTHER ORDERED that the </w:t>
      </w:r>
      <w:r w:rsidR="003B7B2A">
        <w:t xml:space="preserve">Emergency </w:t>
      </w:r>
      <w:r w:rsidR="00450ABF">
        <w:t xml:space="preserve">Request for Waiver </w:t>
      </w:r>
      <w:r w:rsidRPr="00935F41">
        <w:t xml:space="preserve">filed by </w:t>
      </w:r>
      <w:r w:rsidR="0052026B">
        <w:t xml:space="preserve">the PR-USVI </w:t>
      </w:r>
      <w:r w:rsidR="00D64B48">
        <w:t xml:space="preserve">Fund </w:t>
      </w:r>
      <w:r w:rsidR="0052026B">
        <w:t xml:space="preserve">Coalition on April </w:t>
      </w:r>
      <w:r w:rsidR="00714773">
        <w:t>7</w:t>
      </w:r>
      <w:r w:rsidR="0052026B">
        <w:t>, 2020</w:t>
      </w:r>
      <w:r>
        <w:t xml:space="preserve"> </w:t>
      </w:r>
      <w:r w:rsidRPr="00935F41">
        <w:t xml:space="preserve">is </w:t>
      </w:r>
      <w:r w:rsidR="00315719">
        <w:t>GRANTED IN PART AND DENIED IN PART</w:t>
      </w:r>
      <w:r w:rsidR="006B78D5">
        <w:t>.</w:t>
      </w:r>
    </w:p>
    <w:p w:rsidR="003716B6" w:rsidP="005821B4" w14:paraId="205DA5B3" w14:textId="77777777">
      <w:pPr>
        <w:pStyle w:val="ParaNum"/>
      </w:pPr>
      <w:r w:rsidRPr="0019242C">
        <w:t>IT IS FURTHER ORDERED that, pursuant to section 1.102(b)(1) of the Commission’s rules, 47 CFR § 1.102(b)(1), this Order SHALL BE EFFECTIVE upon release.</w:t>
      </w:r>
    </w:p>
    <w:p w:rsidR="003716B6" w:rsidP="00740038" w14:paraId="43AA90C1" w14:textId="77777777">
      <w:pPr>
        <w:pStyle w:val="ParaNum"/>
        <w:numPr>
          <w:ilvl w:val="0"/>
          <w:numId w:val="0"/>
        </w:numPr>
        <w:spacing w:after="0"/>
        <w:ind w:left="2880" w:firstLine="1440"/>
      </w:pPr>
      <w:r>
        <w:t>FEDERAL COMMUNICATIONS COMMISSION</w:t>
      </w:r>
    </w:p>
    <w:p w:rsidR="003716B6" w:rsidP="00740038" w14:paraId="018015F5" w14:textId="77777777">
      <w:pPr>
        <w:pStyle w:val="ParaNum"/>
        <w:numPr>
          <w:ilvl w:val="0"/>
          <w:numId w:val="0"/>
        </w:numPr>
        <w:spacing w:after="0"/>
        <w:ind w:left="720"/>
      </w:pPr>
    </w:p>
    <w:p w:rsidR="003716B6" w:rsidP="00740038" w14:paraId="29D70350" w14:textId="77777777">
      <w:pPr>
        <w:pStyle w:val="ParaNum"/>
        <w:numPr>
          <w:ilvl w:val="0"/>
          <w:numId w:val="0"/>
        </w:numPr>
        <w:spacing w:after="0"/>
        <w:ind w:left="720"/>
      </w:pPr>
    </w:p>
    <w:p w:rsidR="003716B6" w:rsidP="00740038" w14:paraId="38A6ED74" w14:textId="77777777">
      <w:pPr>
        <w:pStyle w:val="ParaNum"/>
        <w:numPr>
          <w:ilvl w:val="0"/>
          <w:numId w:val="0"/>
        </w:numPr>
        <w:spacing w:after="0"/>
        <w:ind w:left="720"/>
      </w:pPr>
    </w:p>
    <w:p w:rsidR="003716B6" w:rsidP="00740038" w14:paraId="76F054DD" w14:textId="77777777">
      <w:pPr>
        <w:pStyle w:val="ParaNum"/>
        <w:numPr>
          <w:ilvl w:val="0"/>
          <w:numId w:val="0"/>
        </w:numPr>
        <w:spacing w:after="0"/>
        <w:ind w:left="720"/>
      </w:pPr>
    </w:p>
    <w:p w:rsidR="003716B6" w:rsidP="00740038" w14:paraId="7CF4A302" w14:textId="77777777">
      <w:pPr>
        <w:pStyle w:val="ParaNum"/>
        <w:numPr>
          <w:ilvl w:val="0"/>
          <w:numId w:val="0"/>
        </w:numPr>
        <w:spacing w:after="0"/>
        <w:ind w:left="720"/>
      </w:pPr>
      <w:r>
        <w:tab/>
      </w:r>
      <w:r>
        <w:tab/>
      </w:r>
      <w:r>
        <w:tab/>
      </w:r>
      <w:r>
        <w:tab/>
      </w:r>
      <w:r>
        <w:tab/>
      </w:r>
      <w:r w:rsidR="004768C8">
        <w:t>Kris</w:t>
      </w:r>
      <w:r w:rsidR="00717846">
        <w:t xml:space="preserve"> </w:t>
      </w:r>
      <w:r w:rsidR="004E2D25">
        <w:t xml:space="preserve">Anne </w:t>
      </w:r>
      <w:r w:rsidR="00717846">
        <w:t>Monteith</w:t>
      </w:r>
    </w:p>
    <w:p w:rsidR="00A85652" w:rsidP="00740038" w14:paraId="501E8653" w14:textId="77777777">
      <w:pPr>
        <w:pStyle w:val="ParaNum"/>
        <w:numPr>
          <w:ilvl w:val="0"/>
          <w:numId w:val="0"/>
        </w:numPr>
        <w:spacing w:after="0"/>
        <w:ind w:left="720"/>
      </w:pPr>
      <w:r>
        <w:tab/>
      </w:r>
      <w:r>
        <w:tab/>
      </w:r>
      <w:r>
        <w:tab/>
      </w:r>
      <w:r>
        <w:tab/>
      </w:r>
      <w:r>
        <w:tab/>
      </w:r>
      <w:r w:rsidR="00717846">
        <w:t>Chief</w:t>
      </w:r>
    </w:p>
    <w:p w:rsidR="004E2D25" w:rsidRPr="00A85652" w:rsidP="00740038" w14:paraId="3E140F12" w14:textId="77777777">
      <w:pPr>
        <w:pStyle w:val="ParaNum"/>
        <w:numPr>
          <w:ilvl w:val="0"/>
          <w:numId w:val="0"/>
        </w:numPr>
        <w:spacing w:after="0"/>
        <w:ind w:left="720"/>
      </w:pP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847" w:rsidP="0055614C" w14:paraId="2B3A15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7847" w14:paraId="6E5667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847" w:rsidP="00C76F5D" w14:paraId="2DF5C3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847" w14:paraId="133558E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4BD5" w14:paraId="61A0F9B0" w14:textId="77777777">
      <w:r>
        <w:separator/>
      </w:r>
    </w:p>
  </w:footnote>
  <w:footnote w:type="continuationSeparator" w:id="1">
    <w:p w:rsidR="001A4BD5" w:rsidP="00C721AC" w14:paraId="165FDD2F" w14:textId="77777777">
      <w:pPr>
        <w:spacing w:before="120"/>
        <w:rPr>
          <w:sz w:val="20"/>
        </w:rPr>
      </w:pPr>
      <w:r>
        <w:rPr>
          <w:sz w:val="20"/>
        </w:rPr>
        <w:t xml:space="preserve">(Continued from previous page)  </w:t>
      </w:r>
      <w:r>
        <w:rPr>
          <w:sz w:val="20"/>
        </w:rPr>
        <w:separator/>
      </w:r>
    </w:p>
  </w:footnote>
  <w:footnote w:type="continuationNotice" w:id="2">
    <w:p w:rsidR="001A4BD5" w:rsidP="00C721AC" w14:paraId="1CCF5CCA" w14:textId="77777777">
      <w:pPr>
        <w:jc w:val="right"/>
        <w:rPr>
          <w:sz w:val="20"/>
        </w:rPr>
      </w:pPr>
      <w:r>
        <w:rPr>
          <w:sz w:val="20"/>
        </w:rPr>
        <w:t>(continued….)</w:t>
      </w:r>
    </w:p>
  </w:footnote>
  <w:footnote w:id="3">
    <w:p w:rsidR="00EA1D36" w14:paraId="1A72F8D8" w14:textId="77777777">
      <w:pPr>
        <w:pStyle w:val="FootnoteText"/>
      </w:pPr>
      <w:r>
        <w:rPr>
          <w:rStyle w:val="FootnoteReference"/>
        </w:rPr>
        <w:footnoteRef/>
      </w:r>
      <w:r>
        <w:t xml:space="preserve"> </w:t>
      </w:r>
      <w:r w:rsidRPr="00905981" w:rsidR="00D062ED">
        <w:rPr>
          <w:i/>
          <w:iCs/>
        </w:rPr>
        <w:t>The Uniendo a Puerto Rico and the Connect USVI Fund</w:t>
      </w:r>
      <w:r w:rsidRPr="0027099A" w:rsidR="00D062ED">
        <w:rPr>
          <w:i/>
          <w:iCs/>
        </w:rPr>
        <w:t>, et al.</w:t>
      </w:r>
      <w:r w:rsidRPr="00905981" w:rsidR="00D062ED">
        <w:t xml:space="preserve">, Order and </w:t>
      </w:r>
      <w:r w:rsidR="00D062ED">
        <w:t xml:space="preserve">Notice of Proposed Rulemaking, 33 FCC Rcd 5405, 5406, para. 2 </w:t>
      </w:r>
      <w:r w:rsidRPr="00905981" w:rsidR="00D062ED">
        <w:t>(201</w:t>
      </w:r>
      <w:r w:rsidR="00D062ED">
        <w:t>8</w:t>
      </w:r>
      <w:r w:rsidRPr="00905981" w:rsidR="00D062ED">
        <w:t>)</w:t>
      </w:r>
      <w:r w:rsidR="00E34B4A">
        <w:t xml:space="preserve"> (</w:t>
      </w:r>
      <w:r w:rsidRPr="00956D7A" w:rsidR="00956D7A">
        <w:rPr>
          <w:i/>
          <w:iCs/>
        </w:rPr>
        <w:t>PR-USVI</w:t>
      </w:r>
      <w:r w:rsidRPr="00956D7A" w:rsidR="00E34B4A">
        <w:rPr>
          <w:i/>
          <w:iCs/>
        </w:rPr>
        <w:t xml:space="preserve"> Order and FNPRM</w:t>
      </w:r>
      <w:r w:rsidR="00E34B4A">
        <w:t>)</w:t>
      </w:r>
      <w:r w:rsidR="00D062ED">
        <w:t>.</w:t>
      </w:r>
    </w:p>
  </w:footnote>
  <w:footnote w:id="4">
    <w:p w:rsidR="0085098E" w:rsidP="0085098E" w14:paraId="47C13C14" w14:textId="77777777">
      <w:pPr>
        <w:pStyle w:val="FootnoteText"/>
      </w:pPr>
      <w:r>
        <w:rPr>
          <w:rStyle w:val="FootnoteReference"/>
        </w:rPr>
        <w:footnoteRef/>
      </w:r>
      <w:r>
        <w:t xml:space="preserve"> </w:t>
      </w:r>
      <w:r w:rsidRPr="00905981">
        <w:rPr>
          <w:i/>
          <w:iCs/>
        </w:rPr>
        <w:t>The Uniendo a Puerto Rico and the Connect USVI Fund</w:t>
      </w:r>
      <w:r w:rsidRPr="0027099A">
        <w:rPr>
          <w:i/>
          <w:iCs/>
        </w:rPr>
        <w:t>, et al.</w:t>
      </w:r>
      <w:r w:rsidRPr="00905981">
        <w:t>, Report and Order and Order on Reconsideration, 34 FCC Rcd 9109, 9116-18, paras. 13-16 (2019) (</w:t>
      </w:r>
      <w:r w:rsidRPr="00905981">
        <w:rPr>
          <w:i/>
          <w:iCs/>
        </w:rPr>
        <w:t xml:space="preserve">PR-USVI </w:t>
      </w:r>
      <w:r>
        <w:rPr>
          <w:i/>
          <w:iCs/>
        </w:rPr>
        <w:t xml:space="preserve">Stage 2 </w:t>
      </w:r>
      <w:r w:rsidRPr="00905981">
        <w:rPr>
          <w:i/>
          <w:iCs/>
        </w:rPr>
        <w:t>Order</w:t>
      </w:r>
      <w:r w:rsidRPr="00905981">
        <w:t>).</w:t>
      </w:r>
    </w:p>
  </w:footnote>
  <w:footnote w:id="5">
    <w:p w:rsidR="0045073F" w:rsidP="0085098E" w14:paraId="5B2A9B4A" w14:textId="77777777">
      <w:pPr>
        <w:pStyle w:val="FootnoteText"/>
      </w:pPr>
      <w:r>
        <w:rPr>
          <w:rStyle w:val="FootnoteReference"/>
        </w:rPr>
        <w:footnoteRef/>
      </w:r>
      <w:r>
        <w:t xml:space="preserve"> Petition for Reconsideration by Virgin Islands Telephone Corporation dba Viya, WC Docket Nos. 18-143 et al. (filed Jan. 21, 2020), </w:t>
      </w:r>
      <w:hyperlink r:id="rId1" w:history="1">
        <w:r w:rsidRPr="008B3542">
          <w:rPr>
            <w:rStyle w:val="Hyperlink"/>
          </w:rPr>
          <w:t>https://ecfsapi.fcc.gov/file/10122260921402/Viya%20USVI%20Locations%20PN%20PFR-c3.pdf</w:t>
        </w:r>
      </w:hyperlink>
      <w:r>
        <w:t xml:space="preserve"> (Reconsideration Petition).</w:t>
      </w:r>
    </w:p>
  </w:footnote>
  <w:footnote w:id="6">
    <w:p w:rsidR="00EF7847" w:rsidP="00F1243F" w14:paraId="0C943F6D" w14:textId="77777777">
      <w:pPr>
        <w:pStyle w:val="FootnoteText"/>
      </w:pPr>
      <w:r>
        <w:rPr>
          <w:rStyle w:val="FootnoteReference"/>
        </w:rPr>
        <w:footnoteRef/>
      </w:r>
      <w:r>
        <w:t xml:space="preserve"> </w:t>
      </w:r>
      <w:r w:rsidRPr="00A12866">
        <w:rPr>
          <w:i/>
          <w:iCs/>
        </w:rPr>
        <w:t>Wireline Competition Bureau Releases List of Reserve Prices and Location Counts for the Uniendo a Puerto Rico Fund and Connect USVI Stage 2 Fixed Support Competitive Proposal Process</w:t>
      </w:r>
      <w:r w:rsidRPr="00050A77">
        <w:t xml:space="preserve">, Public Notice, </w:t>
      </w:r>
      <w:r w:rsidRPr="00073324">
        <w:t>34 FCC Rcd 10360</w:t>
      </w:r>
      <w:r w:rsidRPr="00050A77">
        <w:t xml:space="preserve"> (WCB 2019)</w:t>
      </w:r>
      <w:r>
        <w:t xml:space="preserve"> (</w:t>
      </w:r>
      <w:r w:rsidRPr="00420B0F">
        <w:rPr>
          <w:i/>
          <w:iCs/>
        </w:rPr>
        <w:t>Reserve Prices Public Notice</w:t>
      </w:r>
      <w:r>
        <w:t>)</w:t>
      </w:r>
      <w:r w:rsidRPr="00050A77">
        <w:t>.</w:t>
      </w:r>
    </w:p>
  </w:footnote>
  <w:footnote w:id="7">
    <w:p w:rsidR="00EF7847" w14:paraId="2E51EE66" w14:textId="77777777">
      <w:pPr>
        <w:pStyle w:val="FootnoteText"/>
      </w:pPr>
      <w:r>
        <w:rPr>
          <w:rStyle w:val="FootnoteReference"/>
        </w:rPr>
        <w:footnoteRef/>
      </w:r>
      <w:r>
        <w:t xml:space="preserve"> Emergency Request for Waiver of PR-USVI Fund Coalition, WC Docket No. 18-143 (filed Apr. 7, 2020) (Coalition Waiver Request).</w:t>
      </w:r>
    </w:p>
  </w:footnote>
  <w:footnote w:id="8">
    <w:p w:rsidR="00EF7847" w:rsidP="00EE12B3" w14:paraId="18338291" w14:textId="77777777">
      <w:pPr>
        <w:pStyle w:val="FootnoteText"/>
      </w:pPr>
      <w:r>
        <w:rPr>
          <w:rStyle w:val="FootnoteReference"/>
        </w:rPr>
        <w:footnoteRef/>
      </w:r>
      <w:r>
        <w:t xml:space="preserve"> </w:t>
      </w:r>
      <w:r w:rsidRPr="005C7514">
        <w:rPr>
          <w:i/>
          <w:iCs/>
        </w:rPr>
        <w:t>Rural Digital Opportunity Fund and Connect America Fund</w:t>
      </w:r>
      <w:r>
        <w:t>, Report and Order, 35 FCC Rcd 686 (Feb. 7, 2020) (</w:t>
      </w:r>
      <w:r w:rsidRPr="005C7514">
        <w:rPr>
          <w:i/>
          <w:iCs/>
        </w:rPr>
        <w:t>R</w:t>
      </w:r>
      <w:r>
        <w:rPr>
          <w:i/>
          <w:iCs/>
        </w:rPr>
        <w:t>ural Digital Opportunity Fund</w:t>
      </w:r>
      <w:r w:rsidRPr="005C7514">
        <w:rPr>
          <w:i/>
          <w:iCs/>
        </w:rPr>
        <w:t xml:space="preserve"> Order</w:t>
      </w:r>
      <w:r>
        <w:t>).</w:t>
      </w:r>
    </w:p>
  </w:footnote>
  <w:footnote w:id="9">
    <w:p w:rsidR="00EF7847" w14:paraId="0B24C168" w14:textId="77777777">
      <w:pPr>
        <w:pStyle w:val="FootnoteText"/>
      </w:pPr>
      <w:r>
        <w:rPr>
          <w:rStyle w:val="FootnoteReference"/>
        </w:rPr>
        <w:footnoteRef/>
      </w:r>
      <w:r>
        <w:t xml:space="preserve"> </w:t>
      </w:r>
      <w:r w:rsidRPr="00905981">
        <w:rPr>
          <w:i/>
          <w:iCs/>
        </w:rPr>
        <w:t xml:space="preserve">PR-USVI </w:t>
      </w:r>
      <w:r>
        <w:rPr>
          <w:i/>
          <w:iCs/>
        </w:rPr>
        <w:t xml:space="preserve">Stage 2 </w:t>
      </w:r>
      <w:r w:rsidRPr="00905981">
        <w:rPr>
          <w:i/>
          <w:iCs/>
        </w:rPr>
        <w:t>Order</w:t>
      </w:r>
      <w:r>
        <w:t xml:space="preserve">, </w:t>
      </w:r>
      <w:r w:rsidRPr="00905981">
        <w:t>34 FCC Rcd</w:t>
      </w:r>
      <w:r>
        <w:t xml:space="preserve"> at 9114-15, paras. 10, 11.</w:t>
      </w:r>
    </w:p>
  </w:footnote>
  <w:footnote w:id="10">
    <w:p w:rsidR="00EF7847" w:rsidP="00B6682A" w14:paraId="1C1C6642" w14:textId="77777777">
      <w:pPr>
        <w:pStyle w:val="FootnoteText"/>
      </w:pPr>
      <w:r>
        <w:rPr>
          <w:rStyle w:val="FootnoteReference"/>
        </w:rPr>
        <w:footnoteRef/>
      </w:r>
      <w:r>
        <w:t xml:space="preserve"> </w:t>
      </w:r>
      <w:r>
        <w:rPr>
          <w:i/>
          <w:iCs/>
        </w:rPr>
        <w:t>Id.</w:t>
      </w:r>
      <w:r>
        <w:t xml:space="preserve"> at 9143, para. 59.</w:t>
      </w:r>
    </w:p>
  </w:footnote>
  <w:footnote w:id="11">
    <w:p w:rsidR="00EF7847" w:rsidP="00B6682A" w14:paraId="088BC3A7" w14:textId="77777777">
      <w:pPr>
        <w:pStyle w:val="FootnoteText"/>
      </w:pPr>
      <w:r>
        <w:rPr>
          <w:rStyle w:val="FootnoteReference"/>
        </w:rPr>
        <w:footnoteRef/>
      </w:r>
      <w:r>
        <w:t xml:space="preserve"> </w:t>
      </w:r>
      <w:r>
        <w:rPr>
          <w:i/>
          <w:iCs/>
        </w:rPr>
        <w:t xml:space="preserve">Id. </w:t>
      </w:r>
      <w:r>
        <w:t xml:space="preserve">at 9143, </w:t>
      </w:r>
      <w:r w:rsidRPr="00B775E2">
        <w:t>para. 61</w:t>
      </w:r>
      <w:r>
        <w:t>.</w:t>
      </w:r>
    </w:p>
  </w:footnote>
  <w:footnote w:id="12">
    <w:p w:rsidR="00EF7847" w14:paraId="74DD90B1" w14:textId="77777777">
      <w:pPr>
        <w:pStyle w:val="FootnoteText"/>
      </w:pPr>
      <w:r>
        <w:rPr>
          <w:rStyle w:val="FootnoteReference"/>
        </w:rPr>
        <w:footnoteRef/>
      </w:r>
      <w:r>
        <w:t xml:space="preserve"> </w:t>
      </w:r>
      <w:r w:rsidRPr="00A12866">
        <w:rPr>
          <w:i/>
          <w:iCs/>
        </w:rPr>
        <w:t>Reserve Prices Public Notice</w:t>
      </w:r>
      <w:r>
        <w:t xml:space="preserve">, </w:t>
      </w:r>
      <w:r w:rsidRPr="00073324">
        <w:t>34 FCC Rcd 10360</w:t>
      </w:r>
      <w:r>
        <w:t xml:space="preserve"> (2019).</w:t>
      </w:r>
    </w:p>
  </w:footnote>
  <w:footnote w:id="13">
    <w:p w:rsidR="00EF7847" w:rsidP="000042F0" w14:paraId="7304CAE3" w14:textId="77777777">
      <w:pPr>
        <w:pStyle w:val="FootnoteText"/>
      </w:pPr>
      <w:r>
        <w:rPr>
          <w:rStyle w:val="FootnoteReference"/>
        </w:rPr>
        <w:footnoteRef/>
      </w:r>
      <w:r>
        <w:t xml:space="preserve"> </w:t>
      </w:r>
      <w:r w:rsidR="003D160A">
        <w:t xml:space="preserve">FCC </w:t>
      </w:r>
      <w:r w:rsidR="00A66E51">
        <w:t>Wireline Competition Bureau, Staff Block Estimates Methodol</w:t>
      </w:r>
      <w:r w:rsidR="0045073F">
        <w:t>o</w:t>
      </w:r>
      <w:r w:rsidR="00A66E51">
        <w:t>g</w:t>
      </w:r>
      <w:r w:rsidR="00970AD4">
        <w:t>y</w:t>
      </w:r>
      <w:r w:rsidR="00A76885">
        <w:t xml:space="preserve">, </w:t>
      </w:r>
      <w:r w:rsidRPr="00C4342F" w:rsidR="00A76885">
        <w:rPr>
          <w:i/>
          <w:iCs/>
        </w:rPr>
        <w:t>available at</w:t>
      </w:r>
      <w:r w:rsidR="00C4342F">
        <w:t xml:space="preserve"> </w:t>
      </w:r>
      <w:hyperlink r:id="rId2" w:history="1">
        <w:r w:rsidRPr="00561C38" w:rsidR="00C4342F">
          <w:rPr>
            <w:rStyle w:val="Hyperlink"/>
          </w:rPr>
          <w:t>https://www.fcc.gov/reports-research/data/staff-block-estimates</w:t>
        </w:r>
      </w:hyperlink>
      <w:r w:rsidR="00BD7ED5">
        <w:rPr>
          <w:rStyle w:val="Hyperlink"/>
        </w:rPr>
        <w:t xml:space="preserve"> (last visited July 16, 2020) (Commission Staff Methodology)</w:t>
      </w:r>
      <w:r>
        <w:t>.</w:t>
      </w:r>
    </w:p>
  </w:footnote>
  <w:footnote w:id="14">
    <w:p w:rsidR="00EF7847" w14:paraId="19E85895" w14:textId="77777777">
      <w:pPr>
        <w:pStyle w:val="FootnoteText"/>
      </w:pPr>
      <w:r>
        <w:rPr>
          <w:rStyle w:val="FootnoteReference"/>
        </w:rPr>
        <w:footnoteRef/>
      </w:r>
      <w:r>
        <w:t xml:space="preserve"> In general, the Commission staff estimates use block-level counts for housing units from the 2010 U.S. Census and then take county-level estimates from the U.S. Census Bureau for mid-year</w:t>
      </w:r>
      <w:r w:rsidR="00B53BE4">
        <w:t xml:space="preserve"> data</w:t>
      </w:r>
      <w:r>
        <w:t xml:space="preserve"> to provide block-level estimates.  </w:t>
      </w:r>
      <w:r w:rsidR="00227D60">
        <w:t>Commission Staff Methodol</w:t>
      </w:r>
      <w:r w:rsidR="008F568E">
        <w:t>o</w:t>
      </w:r>
      <w:r w:rsidR="00227D60">
        <w:t xml:space="preserve">gy at </w:t>
      </w:r>
      <w:r w:rsidR="001E62AB">
        <w:t>2</w:t>
      </w:r>
      <w:r w:rsidR="009357EE">
        <w:t>.</w:t>
      </w:r>
    </w:p>
  </w:footnote>
  <w:footnote w:id="15">
    <w:p w:rsidR="00EF7847" w14:paraId="019B182F" w14:textId="77777777">
      <w:pPr>
        <w:pStyle w:val="FootnoteText"/>
      </w:pPr>
      <w:r>
        <w:rPr>
          <w:rStyle w:val="FootnoteReference"/>
        </w:rPr>
        <w:footnoteRef/>
      </w:r>
      <w:r>
        <w:t xml:space="preserve"> Commission Staff housing estimates for the U.S. Virgin Islands may also be found at the FCC website.</w:t>
      </w:r>
    </w:p>
  </w:footnote>
  <w:footnote w:id="16">
    <w:p w:rsidR="00EF7847" w14:paraId="35FB8490" w14:textId="77777777">
      <w:pPr>
        <w:pStyle w:val="FootnoteText"/>
      </w:pPr>
      <w:r>
        <w:rPr>
          <w:rStyle w:val="FootnoteReference"/>
        </w:rPr>
        <w:footnoteRef/>
      </w:r>
      <w:r>
        <w:t xml:space="preserve"> </w:t>
      </w:r>
      <w:r w:rsidRPr="00A12866">
        <w:rPr>
          <w:i/>
          <w:iCs/>
        </w:rPr>
        <w:t>Reserve Prices Public Notice</w:t>
      </w:r>
      <w:r>
        <w:t xml:space="preserve">, </w:t>
      </w:r>
      <w:r w:rsidRPr="00073324">
        <w:t xml:space="preserve">34 FCC Rcd </w:t>
      </w:r>
      <w:r>
        <w:t xml:space="preserve">at </w:t>
      </w:r>
      <w:r w:rsidRPr="00073324">
        <w:t>1036</w:t>
      </w:r>
      <w:r>
        <w:t>1, Attach.</w:t>
      </w:r>
    </w:p>
  </w:footnote>
  <w:footnote w:id="17">
    <w:p w:rsidR="00EF7847" w14:paraId="0D1958B7" w14:textId="77777777">
      <w:pPr>
        <w:pStyle w:val="FootnoteText"/>
      </w:pPr>
      <w:r>
        <w:rPr>
          <w:rStyle w:val="FootnoteReference"/>
        </w:rPr>
        <w:footnoteRef/>
      </w:r>
      <w:r>
        <w:t xml:space="preserve"> Reconsideration Petition at 1.  Viya explicitly stated that its petition did not seek reconsideration of the location data for geographic areas of Puerto Rico.  </w:t>
      </w:r>
      <w:r w:rsidRPr="00327640">
        <w:rPr>
          <w:i/>
          <w:iCs/>
        </w:rPr>
        <w:t>Id</w:t>
      </w:r>
      <w:r>
        <w:t>. at 1, n.4.</w:t>
      </w:r>
    </w:p>
  </w:footnote>
  <w:footnote w:id="18">
    <w:p w:rsidR="00537D0B" w14:paraId="206D1F9A" w14:textId="77777777">
      <w:pPr>
        <w:pStyle w:val="FootnoteText"/>
      </w:pPr>
      <w:r>
        <w:rPr>
          <w:rStyle w:val="FootnoteReference"/>
        </w:rPr>
        <w:footnoteRef/>
      </w:r>
      <w:r>
        <w:t xml:space="preserve"> </w:t>
      </w:r>
      <w:r w:rsidR="00C867D0">
        <w:t>Reconsideration Petition at 4.</w:t>
      </w:r>
    </w:p>
  </w:footnote>
  <w:footnote w:id="19">
    <w:p w:rsidR="00EF7847" w14:paraId="1562167D" w14:textId="77777777">
      <w:pPr>
        <w:pStyle w:val="FootnoteText"/>
      </w:pPr>
      <w:r>
        <w:rPr>
          <w:rStyle w:val="FootnoteReference"/>
        </w:rPr>
        <w:footnoteRef/>
      </w:r>
      <w:r>
        <w:t xml:space="preserve"> </w:t>
      </w:r>
      <w:r w:rsidRPr="005D7608" w:rsidR="00B438E0">
        <w:rPr>
          <w:i/>
          <w:iCs/>
        </w:rPr>
        <w:t>Id</w:t>
      </w:r>
      <w:r w:rsidRPr="00635A6C" w:rsidR="00635A6C">
        <w:t xml:space="preserve"> </w:t>
      </w:r>
      <w:r w:rsidR="00635A6C">
        <w:t>at 4-5</w:t>
      </w:r>
      <w:r w:rsidR="00B438E0">
        <w:t>.</w:t>
      </w:r>
      <w:r>
        <w:t xml:space="preserve">  </w:t>
      </w:r>
      <w:r w:rsidR="00633EFA">
        <w:t>Viya alternatively argues that</w:t>
      </w:r>
      <w:r w:rsidR="00E95111">
        <w:t>,</w:t>
      </w:r>
      <w:r w:rsidR="00633EFA">
        <w:t xml:space="preserve"> </w:t>
      </w:r>
      <w:r w:rsidR="002A7743">
        <w:t>to the extent the Bureau concludes that the use of alternative sources</w:t>
      </w:r>
      <w:r w:rsidR="00221563">
        <w:t xml:space="preserve"> is appropriate, the Bureau “must make additional efforts to correct the inaccurate, inflated locations counts . . . and, at a minimum, correct the mathematical error.”</w:t>
      </w:r>
      <w:r w:rsidR="00DA1B88">
        <w:t xml:space="preserve">  Reconsideration Petition at 7.</w:t>
      </w:r>
      <w:r w:rsidR="002A7743">
        <w:t xml:space="preserve"> </w:t>
      </w:r>
      <w:r w:rsidR="00DA1B88">
        <w:t xml:space="preserve"> </w:t>
      </w:r>
      <w:r w:rsidRPr="002232F8" w:rsidR="00B618B0">
        <w:rPr>
          <w:i/>
          <w:iCs/>
        </w:rPr>
        <w:t>See also</w:t>
      </w:r>
      <w:r w:rsidR="00B618B0">
        <w:t xml:space="preserve"> Viya Feb. 4, 2020 </w:t>
      </w:r>
      <w:r w:rsidR="00B618B0">
        <w:rPr>
          <w:i/>
          <w:iCs/>
        </w:rPr>
        <w:t xml:space="preserve">Ex Parte </w:t>
      </w:r>
      <w:r w:rsidR="00B618B0">
        <w:t xml:space="preserve"> Letter at 2 (providing that, in the alternative and at a minimum, the location data “could be improved significantly” if the Commission corrects the imprecise Economic Census data and uses an alternative commercial source for “population growth change” for the U.S. Virgin Islands)</w:t>
      </w:r>
      <w:r w:rsidR="004D09D7">
        <w:t>.</w:t>
      </w:r>
    </w:p>
  </w:footnote>
  <w:footnote w:id="20">
    <w:p w:rsidR="00EF7847" w14:paraId="6F056E15" w14:textId="77777777">
      <w:pPr>
        <w:pStyle w:val="FootnoteText"/>
      </w:pPr>
      <w:r>
        <w:rPr>
          <w:rStyle w:val="FootnoteReference"/>
        </w:rPr>
        <w:footnoteRef/>
      </w:r>
      <w:r>
        <w:t xml:space="preserve"> Comments on Viya’s Petition for Reconsideration of Puerto Rico Telephone Company, Inc. WC Docket Nos. 18-143 et al. (filed Mar. 4, 2020) (PRTC Mar. 4, 2020 Comments); Comments on Petition for Reconsideration of Broadband VI, LLC, WC Docket Nos. 18-143 et al. (filed Mar. 4, 2020) (Broadband VI Mar. 4, 2020 Comments); Letter from Stephen E. Coran, Counsel for AeroNet Wireless Broadband LLC, to Marlene H. Dortch, Secretary, FCC, WC Docket No. 18-143, at 2 (filed Mar. 16, 2020) (AeroNet Mar. 16, 2020 </w:t>
      </w:r>
      <w:r w:rsidRPr="00B83E62">
        <w:rPr>
          <w:i/>
          <w:iCs/>
        </w:rPr>
        <w:t>Ex Parte</w:t>
      </w:r>
      <w:r>
        <w:t xml:space="preserve"> Letter) (recommending adjustment of location counts published in the </w:t>
      </w:r>
      <w:r w:rsidRPr="00B83E62">
        <w:rPr>
          <w:i/>
          <w:iCs/>
        </w:rPr>
        <w:t>Reserve Price Public Notice</w:t>
      </w:r>
      <w:r>
        <w:t xml:space="preserve">).  </w:t>
      </w:r>
      <w:r w:rsidRPr="00B83E62">
        <w:rPr>
          <w:i/>
          <w:iCs/>
        </w:rPr>
        <w:t>See also</w:t>
      </w:r>
      <w:r>
        <w:t xml:space="preserve"> </w:t>
      </w:r>
      <w:r w:rsidRPr="00905981">
        <w:t>Letter from Edgar Class, Counsel for PRTC, to Marlene H. Dortch, Secretary, FCC, WC Docket No. 18-143 et al. (filed Feb. 19, 2020)</w:t>
      </w:r>
      <w:r>
        <w:t xml:space="preserve"> (PRTC Feb. 19, 2020 </w:t>
      </w:r>
      <w:r w:rsidRPr="00F134D7">
        <w:rPr>
          <w:i/>
          <w:iCs/>
        </w:rPr>
        <w:t>Ex Parte</w:t>
      </w:r>
      <w:r>
        <w:t xml:space="preserve"> Letter).</w:t>
      </w:r>
    </w:p>
  </w:footnote>
  <w:footnote w:id="21">
    <w:p w:rsidR="00802721" w14:paraId="3E5D1011" w14:textId="77777777">
      <w:pPr>
        <w:pStyle w:val="FootnoteText"/>
      </w:pPr>
      <w:r>
        <w:rPr>
          <w:rStyle w:val="FootnoteReference"/>
        </w:rPr>
        <w:footnoteRef/>
      </w:r>
      <w:r>
        <w:t xml:space="preserve"> PR</w:t>
      </w:r>
      <w:r w:rsidR="0085764D">
        <w:t>TC Mar. 4, 2</w:t>
      </w:r>
      <w:r w:rsidR="00EF0733">
        <w:t xml:space="preserve">020 Comments at </w:t>
      </w:r>
      <w:r w:rsidR="00530EC6">
        <w:t>3-4.</w:t>
      </w:r>
    </w:p>
  </w:footnote>
  <w:footnote w:id="22">
    <w:p w:rsidR="00EF7847" w14:paraId="133E4082" w14:textId="77777777">
      <w:pPr>
        <w:pStyle w:val="FootnoteText"/>
      </w:pPr>
      <w:r>
        <w:rPr>
          <w:rStyle w:val="FootnoteReference"/>
        </w:rPr>
        <w:footnoteRef/>
      </w:r>
      <w:r>
        <w:t xml:space="preserve"> Letter from L. Charles Keller, Counsel for Viya, to Marlene H. Dortch, Secretary, FCC, WC Docket No. 18-143 (Feb. 4, 2020) (Viya Feb. 4, 2020</w:t>
      </w:r>
      <w:r w:rsidR="00C40061">
        <w:t xml:space="preserve"> </w:t>
      </w:r>
      <w:r w:rsidRPr="001C464D" w:rsidR="00C40061">
        <w:rPr>
          <w:i/>
          <w:iCs/>
        </w:rPr>
        <w:t>Ex Parte</w:t>
      </w:r>
      <w:r w:rsidR="00C40061">
        <w:t xml:space="preserve"> Letter</w:t>
      </w:r>
      <w:r>
        <w:t xml:space="preserve">) (suggesting waiver of the pro-rata reduction associated with the location adjustment process); PRTC Mar. 4, 2020 Comments at 4-10; Broadband VI Mar. 4, 2020 Comments at 3-4; AeroNet Mar. 16, 2020 </w:t>
      </w:r>
      <w:r w:rsidRPr="00B83E62">
        <w:rPr>
          <w:i/>
          <w:iCs/>
        </w:rPr>
        <w:t>Ex Parte</w:t>
      </w:r>
      <w:r>
        <w:t xml:space="preserve"> Letter at 2-3; </w:t>
      </w:r>
      <w:r w:rsidRPr="00504780">
        <w:rPr>
          <w:i/>
          <w:iCs/>
        </w:rPr>
        <w:t>see also</w:t>
      </w:r>
      <w:r>
        <w:t xml:space="preserve"> PRTC Feb. 19, 2020 </w:t>
      </w:r>
      <w:r w:rsidRPr="00F134D7">
        <w:rPr>
          <w:i/>
          <w:iCs/>
        </w:rPr>
        <w:t>Ex Parte</w:t>
      </w:r>
      <w:r>
        <w:t xml:space="preserve"> Letter at 1-5.</w:t>
      </w:r>
    </w:p>
  </w:footnote>
  <w:footnote w:id="23">
    <w:p w:rsidR="007350D2" w:rsidP="007350D2" w14:paraId="563D7705" w14:textId="77777777">
      <w:pPr>
        <w:pStyle w:val="FootnoteText"/>
      </w:pPr>
      <w:r>
        <w:rPr>
          <w:rStyle w:val="FootnoteReference"/>
        </w:rPr>
        <w:footnoteRef/>
      </w:r>
      <w:r>
        <w:t xml:space="preserve"> </w:t>
      </w:r>
      <w:r w:rsidRPr="00905981" w:rsidR="00D20F67">
        <w:rPr>
          <w:i/>
          <w:iCs/>
        </w:rPr>
        <w:t xml:space="preserve">PR-USVI </w:t>
      </w:r>
      <w:r w:rsidR="00D20F67">
        <w:rPr>
          <w:i/>
          <w:iCs/>
        </w:rPr>
        <w:t xml:space="preserve">Stage 2 </w:t>
      </w:r>
      <w:r w:rsidRPr="00905981" w:rsidR="00D20F67">
        <w:rPr>
          <w:i/>
          <w:iCs/>
        </w:rPr>
        <w:t>Order</w:t>
      </w:r>
      <w:r w:rsidR="00D20F67">
        <w:t xml:space="preserve">, </w:t>
      </w:r>
      <w:r w:rsidRPr="00905981" w:rsidR="00D20F67">
        <w:t>34 FCC Rcd</w:t>
      </w:r>
      <w:r>
        <w:t xml:space="preserve"> at 9143, para. 60. </w:t>
      </w:r>
    </w:p>
  </w:footnote>
  <w:footnote w:id="24">
    <w:p w:rsidR="007350D2" w:rsidP="007350D2" w14:paraId="0F0BD2B6" w14:textId="77777777">
      <w:pPr>
        <w:pStyle w:val="FootnoteText"/>
      </w:pPr>
      <w:r>
        <w:rPr>
          <w:rStyle w:val="FootnoteReference"/>
        </w:rPr>
        <w:footnoteRef/>
      </w:r>
      <w:r>
        <w:t xml:space="preserve"> </w:t>
      </w:r>
      <w:r w:rsidRPr="0026707D">
        <w:rPr>
          <w:i/>
          <w:iCs/>
        </w:rPr>
        <w:t>Id</w:t>
      </w:r>
      <w:r>
        <w:t>. at 9145, para. 63.</w:t>
      </w:r>
    </w:p>
  </w:footnote>
  <w:footnote w:id="25">
    <w:p w:rsidR="007350D2" w:rsidP="007350D2" w14:paraId="539F4611" w14:textId="77777777">
      <w:pPr>
        <w:pStyle w:val="FootnoteText"/>
      </w:pPr>
      <w:r>
        <w:rPr>
          <w:rStyle w:val="FootnoteReference"/>
        </w:rPr>
        <w:footnoteRef/>
      </w:r>
      <w:r>
        <w:t xml:space="preserve"> </w:t>
      </w:r>
      <w:r w:rsidRPr="001D00B7">
        <w:rPr>
          <w:i/>
          <w:iCs/>
        </w:rPr>
        <w:t>Id</w:t>
      </w:r>
      <w:r>
        <w:t>.</w:t>
      </w:r>
    </w:p>
  </w:footnote>
  <w:footnote w:id="26">
    <w:p w:rsidR="007350D2" w:rsidP="007350D2" w14:paraId="204FCBA0" w14:textId="77777777">
      <w:pPr>
        <w:pStyle w:val="FootnoteText"/>
      </w:pPr>
      <w:r>
        <w:rPr>
          <w:rStyle w:val="FootnoteReference"/>
        </w:rPr>
        <w:footnoteRef/>
      </w:r>
      <w:r>
        <w:t xml:space="preserve"> </w:t>
      </w:r>
      <w:r w:rsidRPr="00504780">
        <w:rPr>
          <w:i/>
          <w:iCs/>
        </w:rPr>
        <w:t>Id</w:t>
      </w:r>
      <w:r>
        <w:t>. at 9144-45, para. 64.</w:t>
      </w:r>
    </w:p>
  </w:footnote>
  <w:footnote w:id="27">
    <w:p w:rsidR="007350D2" w:rsidP="007350D2" w14:paraId="30437D9C" w14:textId="77777777">
      <w:pPr>
        <w:pStyle w:val="FootnoteText"/>
      </w:pPr>
      <w:r>
        <w:rPr>
          <w:rStyle w:val="FootnoteReference"/>
        </w:rPr>
        <w:footnoteRef/>
      </w:r>
      <w:r>
        <w:t xml:space="preserve"> </w:t>
      </w:r>
      <w:r w:rsidRPr="00074A23">
        <w:rPr>
          <w:i/>
          <w:iCs/>
        </w:rPr>
        <w:t>Id</w:t>
      </w:r>
      <w:r>
        <w:t xml:space="preserve">. at 9135-36, paras. 64-65 (requiring support recipients to “sufficiently demonstrate” by a preponderance of evidence the discrepancies between the number of locations announced by the Bureau and actual locations on the ground in its winning area to reduce the total number of identifiable locations).  </w:t>
      </w:r>
    </w:p>
  </w:footnote>
  <w:footnote w:id="28">
    <w:p w:rsidR="007350D2" w:rsidP="007350D2" w14:paraId="2836A443" w14:textId="77777777">
      <w:pPr>
        <w:pStyle w:val="FootnoteText"/>
      </w:pPr>
      <w:r>
        <w:rPr>
          <w:rStyle w:val="FootnoteReference"/>
        </w:rPr>
        <w:footnoteRef/>
      </w:r>
      <w:r>
        <w:t xml:space="preserve"> </w:t>
      </w:r>
      <w:r w:rsidRPr="00074A23">
        <w:rPr>
          <w:i/>
          <w:iCs/>
        </w:rPr>
        <w:t>Id</w:t>
      </w:r>
      <w:r>
        <w:t xml:space="preserve">. at 9135-36, para. 65.  </w:t>
      </w:r>
      <w:r w:rsidRPr="00B96398">
        <w:t xml:space="preserve">The Commission declined to adopt in the </w:t>
      </w:r>
      <w:r w:rsidRPr="00B96398">
        <w:rPr>
          <w:i/>
          <w:iCs/>
        </w:rPr>
        <w:t>Order</w:t>
      </w:r>
      <w:r w:rsidRPr="00B96398">
        <w:t xml:space="preserve"> a proposal to apply a </w:t>
      </w:r>
      <w:r w:rsidRPr="00FF3977" w:rsidR="00FF3977">
        <w:rPr>
          <w:i/>
          <w:iCs/>
        </w:rPr>
        <w:t>pro rata</w:t>
      </w:r>
      <w:r w:rsidRPr="00B96398">
        <w:t xml:space="preserve"> reduction only where the final number of locations is less than 90% of the total locations determined by the Bureau because applicants must conduct due diligence of its commitments and the Fund should not be accountable for incorrect assumptions in an applicant’s proposal.</w:t>
      </w:r>
      <w:r>
        <w:t xml:space="preserve">  </w:t>
      </w:r>
      <w:r w:rsidRPr="003D0879">
        <w:rPr>
          <w:i/>
          <w:iCs/>
        </w:rPr>
        <w:t>Id</w:t>
      </w:r>
      <w:r>
        <w:t>.</w:t>
      </w:r>
    </w:p>
  </w:footnote>
  <w:footnote w:id="29">
    <w:p w:rsidR="007350D2" w:rsidP="007350D2" w14:paraId="534868F8" w14:textId="77777777">
      <w:pPr>
        <w:pStyle w:val="FootnoteText"/>
      </w:pPr>
      <w:r>
        <w:rPr>
          <w:rStyle w:val="FootnoteReference"/>
        </w:rPr>
        <w:footnoteRef/>
      </w:r>
      <w:r>
        <w:t xml:space="preserve"> </w:t>
      </w:r>
      <w:r w:rsidRPr="00504780">
        <w:rPr>
          <w:i/>
          <w:iCs/>
        </w:rPr>
        <w:t>Id</w:t>
      </w:r>
      <w:r>
        <w:t>.</w:t>
      </w:r>
    </w:p>
  </w:footnote>
  <w:footnote w:id="30">
    <w:p w:rsidR="007350D2" w:rsidP="007350D2" w14:paraId="1BEFC8A3" w14:textId="77777777">
      <w:pPr>
        <w:pStyle w:val="FootnoteText"/>
      </w:pPr>
      <w:r>
        <w:rPr>
          <w:rStyle w:val="FootnoteReference"/>
        </w:rPr>
        <w:footnoteRef/>
      </w:r>
      <w:r>
        <w:t xml:space="preserve"> </w:t>
      </w:r>
      <w:r w:rsidRPr="00074A23">
        <w:rPr>
          <w:i/>
          <w:iCs/>
        </w:rPr>
        <w:t>Id</w:t>
      </w:r>
      <w:r>
        <w:t>. at 9135-37, paras. 64-66.</w:t>
      </w:r>
    </w:p>
  </w:footnote>
  <w:footnote w:id="31">
    <w:p w:rsidR="007350D2" w:rsidP="007350D2" w14:paraId="58F0E72F" w14:textId="77777777">
      <w:pPr>
        <w:pStyle w:val="FootnoteText"/>
      </w:pPr>
      <w:r>
        <w:rPr>
          <w:rStyle w:val="FootnoteReference"/>
        </w:rPr>
        <w:footnoteRef/>
      </w:r>
      <w:r>
        <w:t xml:space="preserve"> </w:t>
      </w:r>
      <w:r w:rsidRPr="002F1A2F">
        <w:rPr>
          <w:i/>
          <w:iCs/>
        </w:rPr>
        <w:t>See</w:t>
      </w:r>
      <w:r>
        <w:t xml:space="preserve"> </w:t>
      </w:r>
      <w:r w:rsidRPr="008449B1">
        <w:rPr>
          <w:i/>
          <w:iCs/>
        </w:rPr>
        <w:t>Rural Digital Opportunity Fund</w:t>
      </w:r>
      <w:r>
        <w:rPr>
          <w:i/>
          <w:iCs/>
        </w:rPr>
        <w:t xml:space="preserve"> Order</w:t>
      </w:r>
      <w:r>
        <w:t>, 35 FCC Rcd at 709-12, paras. 45-55.</w:t>
      </w:r>
    </w:p>
  </w:footnote>
  <w:footnote w:id="32">
    <w:p w:rsidR="007350D2" w:rsidP="007350D2" w14:paraId="2CE1EB57" w14:textId="77777777">
      <w:pPr>
        <w:pStyle w:val="FootnoteText"/>
      </w:pPr>
      <w:r>
        <w:rPr>
          <w:rStyle w:val="FootnoteReference"/>
        </w:rPr>
        <w:footnoteRef/>
      </w:r>
      <w:r>
        <w:t xml:space="preserve"> </w:t>
      </w:r>
      <w:r w:rsidRPr="00DC456C">
        <w:rPr>
          <w:i/>
          <w:iCs/>
        </w:rPr>
        <w:t>Id</w:t>
      </w:r>
      <w:r>
        <w:t>. at 709, para. 45.</w:t>
      </w:r>
    </w:p>
  </w:footnote>
  <w:footnote w:id="33">
    <w:p w:rsidR="007350D2" w:rsidP="007350D2" w14:paraId="720E2658" w14:textId="77777777">
      <w:pPr>
        <w:pStyle w:val="FootnoteText"/>
      </w:pPr>
      <w:r>
        <w:rPr>
          <w:rStyle w:val="FootnoteReference"/>
        </w:rPr>
        <w:footnoteRef/>
      </w:r>
      <w:r>
        <w:t xml:space="preserve"> </w:t>
      </w:r>
      <w:r w:rsidRPr="00504780">
        <w:rPr>
          <w:i/>
          <w:iCs/>
        </w:rPr>
        <w:t>Id</w:t>
      </w:r>
      <w:r>
        <w:t xml:space="preserve">. at 710, para. 46.  The Commission provided that support would be reduced if a location count adjustment results in a reduction of more than 35% to the support recipient’s deployment obligation.  </w:t>
      </w:r>
      <w:r w:rsidRPr="00504780">
        <w:rPr>
          <w:i/>
          <w:iCs/>
        </w:rPr>
        <w:t>Id</w:t>
      </w:r>
      <w:r>
        <w:t>. at 711, para. 51.</w:t>
      </w:r>
    </w:p>
  </w:footnote>
  <w:footnote w:id="34">
    <w:p w:rsidR="007350D2" w:rsidP="007350D2" w14:paraId="23E1F196" w14:textId="77777777">
      <w:pPr>
        <w:pStyle w:val="FootnoteText"/>
      </w:pPr>
      <w:r>
        <w:rPr>
          <w:rStyle w:val="FootnoteReference"/>
        </w:rPr>
        <w:footnoteRef/>
      </w:r>
      <w:r>
        <w:t xml:space="preserve"> </w:t>
      </w:r>
      <w:r w:rsidRPr="0026707D">
        <w:rPr>
          <w:i/>
          <w:iCs/>
        </w:rPr>
        <w:t>Id</w:t>
      </w:r>
      <w:r>
        <w:t>. at 710, para. 49.</w:t>
      </w:r>
    </w:p>
  </w:footnote>
  <w:footnote w:id="35">
    <w:p w:rsidR="007350D2" w:rsidP="007350D2" w14:paraId="2DFDC576" w14:textId="77777777">
      <w:pPr>
        <w:pStyle w:val="FootnoteText"/>
      </w:pPr>
      <w:r>
        <w:rPr>
          <w:rStyle w:val="FootnoteReference"/>
        </w:rPr>
        <w:footnoteRef/>
      </w:r>
      <w:r>
        <w:t xml:space="preserve"> Reconsideration </w:t>
      </w:r>
      <w:r w:rsidRPr="00D4497A">
        <w:t>Petition</w:t>
      </w:r>
      <w:r>
        <w:t xml:space="preserve"> at 2-3.  We note that Viya’s comparison of the location adjustment process was based on the public draft of the Rural Digital Opportunity Fund Order, which the Commission subsequently adopted on February 7, 2020.</w:t>
      </w:r>
    </w:p>
  </w:footnote>
  <w:footnote w:id="36">
    <w:p w:rsidR="007350D2" w:rsidP="007350D2" w14:paraId="7B8CFBA8" w14:textId="77777777">
      <w:pPr>
        <w:pStyle w:val="FootnoteText"/>
      </w:pPr>
      <w:r>
        <w:rPr>
          <w:rStyle w:val="FootnoteReference"/>
        </w:rPr>
        <w:footnoteRef/>
      </w:r>
      <w:r>
        <w:t xml:space="preserve"> Viya Feb. 4, 2020 </w:t>
      </w:r>
      <w:r w:rsidRPr="009736F3">
        <w:rPr>
          <w:i/>
          <w:iCs/>
        </w:rPr>
        <w:t>Ex Parte</w:t>
      </w:r>
      <w:r>
        <w:t xml:space="preserve"> Letter at 2.  </w:t>
      </w:r>
      <w:r w:rsidR="00265438">
        <w:t>A</w:t>
      </w:r>
      <w:r>
        <w:t xml:space="preserve">lthough Viya discussed the waiver of the </w:t>
      </w:r>
      <w:r w:rsidRPr="00FF3977" w:rsidR="00FF3977">
        <w:rPr>
          <w:i/>
          <w:iCs/>
        </w:rPr>
        <w:t>pro rata</w:t>
      </w:r>
      <w:r>
        <w:t xml:space="preserve"> support reduction, it did not file a waiver request of the </w:t>
      </w:r>
      <w:r w:rsidRPr="00FF3977" w:rsidR="00FF3977">
        <w:rPr>
          <w:i/>
          <w:iCs/>
        </w:rPr>
        <w:t>pro rata</w:t>
      </w:r>
      <w:r>
        <w:t xml:space="preserve"> support reduction or location adjustment process in this proceeding.</w:t>
      </w:r>
    </w:p>
  </w:footnote>
  <w:footnote w:id="37">
    <w:p w:rsidR="007350D2" w:rsidRPr="00905981" w:rsidP="007350D2" w14:paraId="6A9F5A48" w14:textId="77777777">
      <w:pPr>
        <w:pStyle w:val="FootnoteText"/>
      </w:pPr>
      <w:r w:rsidRPr="00905981">
        <w:rPr>
          <w:rStyle w:val="FootnoteReference"/>
        </w:rPr>
        <w:footnoteRef/>
      </w:r>
      <w:r>
        <w:t xml:space="preserve"> PRTC Mar. 4, 2020 Comments at 9; BBVI Mar. 4, 2020 Comments at 3.</w:t>
      </w:r>
      <w:r w:rsidRPr="00905981">
        <w:t xml:space="preserve"> </w:t>
      </w:r>
      <w:r>
        <w:t xml:space="preserve"> Rather than submitting comments, AeroNet submitted an </w:t>
      </w:r>
      <w:r w:rsidRPr="00AB0D2B">
        <w:rPr>
          <w:i/>
          <w:iCs/>
        </w:rPr>
        <w:t>ex parte</w:t>
      </w:r>
      <w:r>
        <w:t xml:space="preserve"> letter requesting the Bureau be directed “to establish a location adjustment process similar to the one [the Commission] recently adopted for the Rural Digital Opportunity Fund Phase I recipients”).  AeroNet Mar. 16, 2020 </w:t>
      </w:r>
      <w:r w:rsidRPr="0068284F">
        <w:rPr>
          <w:i/>
          <w:iCs/>
        </w:rPr>
        <w:t>Ex Parte</w:t>
      </w:r>
      <w:r>
        <w:t xml:space="preserve"> Letter at 2.  </w:t>
      </w:r>
      <w:r w:rsidRPr="00C577D4">
        <w:rPr>
          <w:i/>
          <w:iCs/>
        </w:rPr>
        <w:t>See also</w:t>
      </w:r>
      <w:r>
        <w:t xml:space="preserve"> PRTC Feb. 19, 2020 </w:t>
      </w:r>
      <w:r w:rsidRPr="0068284F">
        <w:rPr>
          <w:i/>
          <w:iCs/>
        </w:rPr>
        <w:t>Ex Parte</w:t>
      </w:r>
      <w:r>
        <w:t xml:space="preserve"> Letter at 5</w:t>
      </w:r>
      <w:r w:rsidRPr="00905981">
        <w:t>.</w:t>
      </w:r>
    </w:p>
  </w:footnote>
  <w:footnote w:id="38">
    <w:p w:rsidR="00E53754" w:rsidP="00E53754" w14:paraId="7E577EE7" w14:textId="77777777">
      <w:pPr>
        <w:pStyle w:val="FootnoteText"/>
      </w:pPr>
      <w:r>
        <w:rPr>
          <w:rStyle w:val="FootnoteReference"/>
        </w:rPr>
        <w:footnoteRef/>
      </w:r>
      <w:r>
        <w:t xml:space="preserve"> </w:t>
      </w:r>
      <w:r w:rsidRPr="00A871BE">
        <w:rPr>
          <w:i/>
          <w:iCs/>
        </w:rPr>
        <w:t>PR-USVI Stage 2 Order</w:t>
      </w:r>
      <w:r>
        <w:t xml:space="preserve">, 34 FCC Rcd at 9151, </w:t>
      </w:r>
      <w:r w:rsidRPr="00190A04">
        <w:t xml:space="preserve">para. </w:t>
      </w:r>
      <w:r>
        <w:t>76; 47 CFR § 54.1508(c) (providing criteria for acceptable banks that may issue a letter of credit).</w:t>
      </w:r>
    </w:p>
  </w:footnote>
  <w:footnote w:id="39">
    <w:p w:rsidR="00E53754" w:rsidP="00E53754" w14:paraId="7DAC62B1" w14:textId="77777777">
      <w:pPr>
        <w:pStyle w:val="FootnoteText"/>
      </w:pPr>
      <w:r>
        <w:rPr>
          <w:rStyle w:val="FootnoteReference"/>
        </w:rPr>
        <w:footnoteRef/>
      </w:r>
      <w:r>
        <w:t xml:space="preserve"> </w:t>
      </w:r>
      <w:r w:rsidRPr="00A871BE">
        <w:rPr>
          <w:i/>
          <w:iCs/>
        </w:rPr>
        <w:t>PR-USVI Stage 2 Order</w:t>
      </w:r>
      <w:r>
        <w:t xml:space="preserve">, 34 FCC Rcd at 9151, </w:t>
      </w:r>
      <w:r w:rsidRPr="00190A04">
        <w:t xml:space="preserve">para. </w:t>
      </w:r>
      <w:r>
        <w:t>76; 47 CFR § 54.1508.</w:t>
      </w:r>
    </w:p>
  </w:footnote>
  <w:footnote w:id="40">
    <w:p w:rsidR="00E53754" w:rsidP="00E53754" w14:paraId="59532D64" w14:textId="77777777">
      <w:pPr>
        <w:pStyle w:val="FootnoteText"/>
      </w:pPr>
      <w:r>
        <w:rPr>
          <w:rStyle w:val="FootnoteReference"/>
        </w:rPr>
        <w:footnoteRef/>
      </w:r>
      <w:r>
        <w:t xml:space="preserve"> </w:t>
      </w:r>
      <w:r>
        <w:rPr>
          <w:i/>
          <w:iCs/>
        </w:rPr>
        <w:t>Id.</w:t>
      </w:r>
      <w:r>
        <w:t xml:space="preserve"> at 9152, </w:t>
      </w:r>
      <w:r w:rsidRPr="00190A04">
        <w:t xml:space="preserve">para. </w:t>
      </w:r>
      <w:r>
        <w:t>79; 47 CFR § 54.1508(b).</w:t>
      </w:r>
    </w:p>
  </w:footnote>
  <w:footnote w:id="41">
    <w:p w:rsidR="00E53754" w:rsidP="00E53754" w14:paraId="6701305D" w14:textId="77777777">
      <w:pPr>
        <w:pStyle w:val="FootnoteText"/>
      </w:pPr>
      <w:r>
        <w:rPr>
          <w:rStyle w:val="FootnoteReference"/>
        </w:rPr>
        <w:footnoteRef/>
      </w:r>
      <w:r>
        <w:t xml:space="preserve"> </w:t>
      </w:r>
      <w:r>
        <w:rPr>
          <w:i/>
          <w:iCs/>
        </w:rPr>
        <w:t>Id</w:t>
      </w:r>
      <w:r>
        <w:t>.</w:t>
      </w:r>
    </w:p>
  </w:footnote>
  <w:footnote w:id="42">
    <w:p w:rsidR="00E53754" w:rsidP="00E53754" w14:paraId="33A9543A" w14:textId="77777777">
      <w:pPr>
        <w:pStyle w:val="FootnoteText"/>
      </w:pPr>
      <w:r>
        <w:rPr>
          <w:rStyle w:val="FootnoteReference"/>
        </w:rPr>
        <w:footnoteRef/>
      </w:r>
      <w:r>
        <w:t xml:space="preserve"> </w:t>
      </w:r>
      <w:r w:rsidRPr="00A871BE">
        <w:rPr>
          <w:i/>
          <w:iCs/>
        </w:rPr>
        <w:t>PR-USVI Stage 2 Order</w:t>
      </w:r>
      <w:r>
        <w:t xml:space="preserve">, 34 FCC Rcd at 9152, </w:t>
      </w:r>
      <w:r w:rsidRPr="00190A04">
        <w:t xml:space="preserve">para. </w:t>
      </w:r>
      <w:r>
        <w:t>80, 47 CFR § 54.1508(b)(1), (2).</w:t>
      </w:r>
    </w:p>
  </w:footnote>
  <w:footnote w:id="43">
    <w:p w:rsidR="00E53754" w:rsidP="00E53754" w14:paraId="0210F2E4" w14:textId="77777777">
      <w:pPr>
        <w:pStyle w:val="FootnoteText"/>
      </w:pPr>
      <w:r>
        <w:rPr>
          <w:rStyle w:val="FootnoteReference"/>
        </w:rPr>
        <w:footnoteRef/>
      </w:r>
      <w:r>
        <w:t xml:space="preserve"> </w:t>
      </w:r>
      <w:r w:rsidRPr="00A871BE">
        <w:rPr>
          <w:i/>
          <w:iCs/>
        </w:rPr>
        <w:t>PR-USVI Stage 2 Order</w:t>
      </w:r>
      <w:r>
        <w:t xml:space="preserve">, 34 FCC Rcd at 9152, </w:t>
      </w:r>
      <w:r w:rsidRPr="00190A04">
        <w:t xml:space="preserve">para. </w:t>
      </w:r>
      <w:r>
        <w:t>80, 47 CFR § 54.1508(a).</w:t>
      </w:r>
    </w:p>
  </w:footnote>
  <w:footnote w:id="44">
    <w:p w:rsidR="00E53754" w:rsidP="00E53754" w14:paraId="5F42C2AF" w14:textId="77777777">
      <w:pPr>
        <w:pStyle w:val="FootnoteText"/>
      </w:pPr>
      <w:r>
        <w:rPr>
          <w:rStyle w:val="FootnoteReference"/>
        </w:rPr>
        <w:footnoteRef/>
      </w:r>
      <w:r>
        <w:t xml:space="preserve"> 47 CFR </w:t>
      </w:r>
      <w:r w:rsidRPr="00935F41">
        <w:t>§</w:t>
      </w:r>
      <w:r>
        <w:t xml:space="preserve"> 54.804(c); </w:t>
      </w:r>
      <w:r w:rsidRPr="008449B1">
        <w:rPr>
          <w:i/>
          <w:iCs/>
        </w:rPr>
        <w:t>Rural Digital Opportunity Fund</w:t>
      </w:r>
      <w:r>
        <w:rPr>
          <w:i/>
          <w:iCs/>
        </w:rPr>
        <w:t xml:space="preserve"> Order</w:t>
      </w:r>
      <w:r>
        <w:t>, 35 FCC Rcd at 729-35, paras. 96-113.</w:t>
      </w:r>
    </w:p>
  </w:footnote>
  <w:footnote w:id="45">
    <w:p w:rsidR="00E53754" w:rsidP="00E53754" w14:paraId="1F3393B6" w14:textId="77777777">
      <w:pPr>
        <w:pStyle w:val="FootnoteText"/>
      </w:pPr>
      <w:r>
        <w:rPr>
          <w:rStyle w:val="FootnoteReference"/>
        </w:rPr>
        <w:footnoteRef/>
      </w:r>
      <w:r>
        <w:t xml:space="preserve"> </w:t>
      </w:r>
      <w:r w:rsidRPr="008449B1">
        <w:rPr>
          <w:i/>
          <w:iCs/>
        </w:rPr>
        <w:t>Rural Digital Opportunity Fund</w:t>
      </w:r>
      <w:r>
        <w:rPr>
          <w:i/>
          <w:iCs/>
        </w:rPr>
        <w:t xml:space="preserve"> Order</w:t>
      </w:r>
      <w:r>
        <w:t>, 35 FCC Rcd at 729-31, paras. 98-104.</w:t>
      </w:r>
    </w:p>
  </w:footnote>
  <w:footnote w:id="46">
    <w:p w:rsidR="00E53754" w:rsidP="00E53754" w14:paraId="18B67952" w14:textId="77777777">
      <w:pPr>
        <w:pStyle w:val="FootnoteText"/>
      </w:pPr>
      <w:r>
        <w:rPr>
          <w:rStyle w:val="FootnoteReference"/>
        </w:rPr>
        <w:footnoteRef/>
      </w:r>
      <w:r>
        <w:t xml:space="preserve"> </w:t>
      </w:r>
      <w:r>
        <w:rPr>
          <w:i/>
          <w:iCs/>
        </w:rPr>
        <w:t>Id.</w:t>
      </w:r>
      <w:r>
        <w:t xml:space="preserve"> at 729, 732-33, paras. 97, 105, 110.</w:t>
      </w:r>
    </w:p>
  </w:footnote>
  <w:footnote w:id="47">
    <w:p w:rsidR="00E53754" w:rsidP="00E53754" w14:paraId="2B590E37" w14:textId="77777777">
      <w:pPr>
        <w:pStyle w:val="FootnoteText"/>
      </w:pPr>
      <w:r>
        <w:rPr>
          <w:rStyle w:val="FootnoteReference"/>
        </w:rPr>
        <w:footnoteRef/>
      </w:r>
      <w:r>
        <w:t xml:space="preserve"> The Coalition members are AeroNet Wireless Broadband LLC, Broadband VI, LLC, Critical Hub Networks, Inc., and VPNet Inc.  Coalition Waiver Request at Attach. 1.</w:t>
      </w:r>
    </w:p>
  </w:footnote>
  <w:footnote w:id="48">
    <w:p w:rsidR="00E53754" w:rsidP="00E53754" w14:paraId="12831C24" w14:textId="77777777">
      <w:pPr>
        <w:pStyle w:val="FootnoteText"/>
      </w:pPr>
      <w:r>
        <w:rPr>
          <w:rStyle w:val="FootnoteReference"/>
        </w:rPr>
        <w:footnoteRef/>
      </w:r>
      <w:r>
        <w:t xml:space="preserve"> </w:t>
      </w:r>
      <w:r w:rsidRPr="00504780">
        <w:rPr>
          <w:i/>
          <w:iCs/>
        </w:rPr>
        <w:t>See</w:t>
      </w:r>
      <w:r>
        <w:t xml:space="preserve"> Coalition Waiver Request.</w:t>
      </w:r>
    </w:p>
  </w:footnote>
  <w:footnote w:id="49">
    <w:p w:rsidR="00E53754" w:rsidP="00E53754" w14:paraId="4ADB417B" w14:textId="77777777">
      <w:pPr>
        <w:pStyle w:val="FootnoteText"/>
      </w:pPr>
      <w:r>
        <w:rPr>
          <w:rStyle w:val="FootnoteReference"/>
        </w:rPr>
        <w:footnoteRef/>
      </w:r>
      <w:r>
        <w:t xml:space="preserve"> Coalition Waiver Request at 2; Letter from Stephen E. Coran and Gerard Lavery Lederer, Counsel for PR-USVI Fund Coalition, to Marlene H. Dortch, Secretary, FCC, WC Docket No. 18-143, at 1 (filed June 19, 2020) (providing that “strict application of the existing financial requirements would serve to undermine the Commission’s objectives by effectively disqualifying successful eligible providers”) (Coalition June 19, 2020 </w:t>
      </w:r>
      <w:r w:rsidRPr="002E0534">
        <w:rPr>
          <w:i/>
          <w:iCs/>
        </w:rPr>
        <w:t>Ex Parte</w:t>
      </w:r>
      <w:r>
        <w:t xml:space="preserve"> Letter).  </w:t>
      </w:r>
    </w:p>
  </w:footnote>
  <w:footnote w:id="50">
    <w:p w:rsidR="00E53754" w:rsidP="00E53754" w14:paraId="586BF28F" w14:textId="77777777">
      <w:pPr>
        <w:pStyle w:val="FootnoteText"/>
      </w:pPr>
      <w:r>
        <w:rPr>
          <w:rStyle w:val="FootnoteReference"/>
        </w:rPr>
        <w:footnoteRef/>
      </w:r>
      <w:r>
        <w:t xml:space="preserve"> Coalition June 19, 2020 </w:t>
      </w:r>
      <w:r w:rsidRPr="002E0534">
        <w:rPr>
          <w:i/>
          <w:iCs/>
        </w:rPr>
        <w:t>Ex Parte</w:t>
      </w:r>
      <w:r>
        <w:t xml:space="preserve"> Letter at 1.</w:t>
      </w:r>
      <w:r w:rsidR="009C3BA0">
        <w:t xml:space="preserve">  </w:t>
      </w:r>
      <w:r w:rsidR="008303E0">
        <w:t>Certain members of the Coal</w:t>
      </w:r>
      <w:r w:rsidR="004B535D">
        <w:t>i</w:t>
      </w:r>
      <w:r w:rsidR="008303E0">
        <w:t>tion</w:t>
      </w:r>
      <w:r w:rsidR="004B535D">
        <w:t xml:space="preserve"> recently</w:t>
      </w:r>
      <w:r w:rsidR="008303E0">
        <w:t xml:space="preserve"> reit</w:t>
      </w:r>
      <w:r w:rsidR="00662EA8">
        <w:t>erated their w</w:t>
      </w:r>
      <w:r w:rsidR="004B535D">
        <w:t xml:space="preserve">aiver request to the Commission; however, these members </w:t>
      </w:r>
      <w:r w:rsidR="000A274A">
        <w:t>also proposed an alternative</w:t>
      </w:r>
      <w:r w:rsidR="00DD1FE0">
        <w:t xml:space="preserve"> relief.  </w:t>
      </w:r>
      <w:r w:rsidR="00CC5471">
        <w:t>Letter from Gerard Lavery Lederer, Counsel to Critical Hubs, to Marlene H. Dortch, Secretary, FCC, WC Docket No. 18-143, (filed July 2</w:t>
      </w:r>
      <w:r w:rsidR="00483A43">
        <w:t>2</w:t>
      </w:r>
      <w:r w:rsidR="00CC5471">
        <w:t xml:space="preserve">, 2020); </w:t>
      </w:r>
      <w:r w:rsidR="00DD1FE0">
        <w:t xml:space="preserve">Letter from </w:t>
      </w:r>
      <w:r w:rsidR="00752FF2">
        <w:t xml:space="preserve">Stephen E. Coran, Counsel </w:t>
      </w:r>
      <w:r w:rsidR="003A0BFE">
        <w:t>for AeroNet</w:t>
      </w:r>
      <w:r w:rsidR="004C6269">
        <w:t>, to Marlene H. Dortch, Secretary, FCC, WC Docket No. 18-143</w:t>
      </w:r>
      <w:r w:rsidR="00B254CC">
        <w:t>, (filed July 23, 2020)</w:t>
      </w:r>
      <w:r w:rsidR="00367FE3">
        <w:t xml:space="preserve">.  </w:t>
      </w:r>
    </w:p>
  </w:footnote>
  <w:footnote w:id="51">
    <w:p w:rsidR="00E53754" w:rsidP="00E53754" w14:paraId="404540D9" w14:textId="77777777">
      <w:pPr>
        <w:pStyle w:val="FootnoteText"/>
      </w:pPr>
      <w:r>
        <w:rPr>
          <w:rStyle w:val="FootnoteReference"/>
        </w:rPr>
        <w:footnoteRef/>
      </w:r>
      <w:r>
        <w:t xml:space="preserve"> Coalition Waiver Request at 12-15.</w:t>
      </w:r>
    </w:p>
  </w:footnote>
  <w:footnote w:id="52">
    <w:p w:rsidR="00E53754" w:rsidP="00E53754" w14:paraId="3BD5AA10" w14:textId="77777777">
      <w:pPr>
        <w:pStyle w:val="FootnoteText"/>
      </w:pPr>
      <w:r>
        <w:rPr>
          <w:rStyle w:val="FootnoteReference"/>
        </w:rPr>
        <w:footnoteRef/>
      </w:r>
      <w:r>
        <w:t xml:space="preserve"> </w:t>
      </w:r>
      <w:r w:rsidRPr="00021E02">
        <w:rPr>
          <w:i/>
          <w:iCs/>
        </w:rPr>
        <w:t>Id</w:t>
      </w:r>
      <w:r>
        <w:t>. at 10-11.</w:t>
      </w:r>
    </w:p>
  </w:footnote>
  <w:footnote w:id="53">
    <w:p w:rsidR="00E53754" w:rsidP="00E53754" w14:paraId="0EE9EA81" w14:textId="77777777">
      <w:pPr>
        <w:pStyle w:val="FootnoteText"/>
      </w:pPr>
      <w:r>
        <w:rPr>
          <w:rStyle w:val="FootnoteReference"/>
        </w:rPr>
        <w:footnoteRef/>
      </w:r>
      <w:r>
        <w:t xml:space="preserve"> </w:t>
      </w:r>
      <w:r w:rsidRPr="00021E02">
        <w:rPr>
          <w:i/>
          <w:iCs/>
        </w:rPr>
        <w:t>Id</w:t>
      </w:r>
      <w:r>
        <w:rPr>
          <w:i/>
          <w:iCs/>
        </w:rPr>
        <w:t>.</w:t>
      </w:r>
      <w:r>
        <w:t xml:space="preserve"> at 11-12.</w:t>
      </w:r>
    </w:p>
  </w:footnote>
  <w:footnote w:id="54">
    <w:p w:rsidR="00E53754" w:rsidRPr="0028023A" w:rsidP="00E53754" w14:paraId="3ED5FD4D" w14:textId="77777777">
      <w:pPr>
        <w:pStyle w:val="FootnoteText"/>
      </w:pPr>
      <w:r>
        <w:rPr>
          <w:rStyle w:val="FootnoteReference"/>
        </w:rPr>
        <w:footnoteRef/>
      </w:r>
      <w:r>
        <w:t xml:space="preserve"> </w:t>
      </w:r>
      <w:r w:rsidR="00BD796F">
        <w:t xml:space="preserve">Comments of Worldnet Telecommunications, Inc., WC Docket No. 18-143 (Apr. 23, 2020) (Worldnet Apr. 23, 2020 Comments); Comments in Support of PR-USVI Fund Coalition Emergency Request for Waiver of Cancio, Nadal &amp; Rivera, L.L.C., WC Docket No. 18-143 (filed Apr. 29, 2020) (CNR Comments); Comments in Support of PR-USVI Fund Coalition Emergency Request for Waiver of CORE Telecom Systems, WC Docket No. 18-143 (filed Apr. 16, 2020) (CORE Telecom Comments); Comments of Vicente Aguirre, WC Docket 18-143 (filed Apr. 27, 2020) (Aguirre Comments); Comments in Support of PR-USVI Fund Coalition Emergency Request for Waiver of Francisco J. Rivero, WC Docket No. 18-143 (filed Apr. 25, 2020) (Rivero Comments); Comments in Support of PR-USVI Fund Coalition Emergency Request for Waiver of Ramon Santiago, WC Docket No. 18-143 (filed Apr. 25, 2020) (Santiago Comments); Comments in Support of PR-USVI Fund Coalition Emergency Request for Waiver of Oriental Bank, WC Docket No. 18-143 (filed Apr. 27, 2020) (Oriental Bank Comments); Comment on Petition for Waiver of Alexandra Fernandez-Navarro, Associate Member, Puerto Rico Public Service Regulatory Board, WC Docket 18-143 (filed Apr. 26, 2020) (Fernandez-Navarro Apr. 26, 2020 Comments); Comments of the Wireless Internet Service Providers Association, WC Docket No. 18-143 (filed Apr. 28, 2020) (WISPA Comments).  </w:t>
      </w:r>
      <w:r w:rsidRPr="0028023A" w:rsidR="00BD796F">
        <w:rPr>
          <w:i/>
          <w:iCs/>
        </w:rPr>
        <w:t>See also</w:t>
      </w:r>
      <w:r w:rsidR="00BD796F">
        <w:t xml:space="preserve"> Reply Comments of the Telecommunications Regulatory Bureau of Puerto Rico, WC Docket No. 18-143 (filed May 11, 2020); Letter from Gerard Lavery Lederer, Counsel for Critical Hub Networks, Inc. to Marlene H. Dortch, Secretary, FCC, WC Docket No. 18-143 (filed Feb. 24, 2020) (Critical Hub Networks Feb. 24, 2020 Ex Parte Letter); Letter from Gerard Lavery Lederer, Counsel for Critical Hub Networks, Inc. to Marlene H. Dortch, Secretary, FCC, WC Docket No. 18-143 (filed Mar. 4, 2020); Letter from Hon. Stacey E. Plaskett, Member of Congress, U.S. Virgin Islands, United States of America House of Representatives, to Ajit V. Pai, Chairman, Federal Communications Commission, WC Docket No. 18-143 (May 18, 2020).</w:t>
      </w:r>
    </w:p>
  </w:footnote>
  <w:footnote w:id="55">
    <w:p w:rsidR="00E53754" w:rsidP="00E53754" w14:paraId="326353C8" w14:textId="77777777">
      <w:pPr>
        <w:pStyle w:val="FootnoteText"/>
      </w:pPr>
      <w:r>
        <w:rPr>
          <w:rStyle w:val="FootnoteReference"/>
        </w:rPr>
        <w:footnoteRef/>
      </w:r>
      <w:r>
        <w:t xml:space="preserve"> Comments of Virgin Islands Telephone Corporation dba Viya, WC Docket 18-143 (Apr. 29, 2020) (Viya Apr. 29, 2020 LOC Comments); Comments on PR-USVI Fund Coalition Emergency Request for Waiver of Puerto Rico Telephone Corporation, Inc. (PRTC Apr. 29, 2020 LOC Comments); Letter from Ted Koerner, Executive Vice President, CoBank, to Marlene H. Dortch, Secretary, FCC, WC Docket No. 18-143 (Jun. 8, 2020) (CoBank Jun. 8, 2020 </w:t>
      </w:r>
      <w:r w:rsidRPr="006B7BCB">
        <w:rPr>
          <w:i/>
          <w:iCs/>
        </w:rPr>
        <w:t>Ex Parte</w:t>
      </w:r>
      <w:r>
        <w:t xml:space="preserve"> Letter); Letter from the Hon. Albert Bryan Jr., Governor, U.S. Virgin Islands, to Ajit Pai, Chairman, Federal Communications Commission, WC Docket No. 18-143) (June 29, 2020) (Gov. Bryan June 29, 2020 </w:t>
      </w:r>
      <w:r w:rsidRPr="00511DF0">
        <w:rPr>
          <w:i/>
          <w:iCs/>
        </w:rPr>
        <w:t>Ex Parte</w:t>
      </w:r>
      <w:r>
        <w:t xml:space="preserve"> Letter).</w:t>
      </w:r>
    </w:p>
  </w:footnote>
  <w:footnote w:id="56">
    <w:p w:rsidR="001C2AFB" w:rsidP="001C2AFB" w14:paraId="2791ED35" w14:textId="77777777">
      <w:pPr>
        <w:pStyle w:val="FootnoteText"/>
      </w:pPr>
      <w:r>
        <w:rPr>
          <w:rStyle w:val="FootnoteReference"/>
        </w:rPr>
        <w:footnoteRef/>
      </w:r>
      <w:r>
        <w:t xml:space="preserve"> Reconsideration Petition at 7.</w:t>
      </w:r>
    </w:p>
  </w:footnote>
  <w:footnote w:id="57">
    <w:p w:rsidR="0025168B" w14:paraId="2445E405" w14:textId="77777777">
      <w:pPr>
        <w:pStyle w:val="FootnoteText"/>
      </w:pPr>
      <w:r>
        <w:rPr>
          <w:rStyle w:val="FootnoteReference"/>
        </w:rPr>
        <w:footnoteRef/>
      </w:r>
      <w:r>
        <w:t xml:space="preserve"> </w:t>
      </w:r>
      <w:r w:rsidRPr="00A871BE" w:rsidR="00CB3483">
        <w:rPr>
          <w:i/>
          <w:iCs/>
        </w:rPr>
        <w:t>PR-USVI Stage 2 Order</w:t>
      </w:r>
      <w:r w:rsidR="00CB3483">
        <w:t>, 34 FCC Rcd at 9143, paras. 6</w:t>
      </w:r>
      <w:r w:rsidR="00C724A3">
        <w:t xml:space="preserve">1; </w:t>
      </w:r>
      <w:r w:rsidR="00F75A25">
        <w:rPr>
          <w:i/>
          <w:iCs/>
        </w:rPr>
        <w:t>PR-USVI Order and NPRM</w:t>
      </w:r>
      <w:r w:rsidR="004D3D08">
        <w:t>, 3</w:t>
      </w:r>
      <w:r w:rsidR="00E049F6">
        <w:t>3</w:t>
      </w:r>
      <w:r w:rsidR="004D3D08">
        <w:t xml:space="preserve"> FCC Rcd </w:t>
      </w:r>
      <w:r w:rsidR="00F75A25">
        <w:t>at</w:t>
      </w:r>
      <w:r w:rsidR="004D3D08">
        <w:t xml:space="preserve"> </w:t>
      </w:r>
      <w:r w:rsidR="00F27CBA">
        <w:t>5416, para. 49.</w:t>
      </w:r>
    </w:p>
  </w:footnote>
  <w:footnote w:id="58">
    <w:p w:rsidR="00314EBF" w14:paraId="28495E86" w14:textId="77777777">
      <w:pPr>
        <w:pStyle w:val="FootnoteText"/>
      </w:pPr>
      <w:r>
        <w:rPr>
          <w:rStyle w:val="FootnoteReference"/>
        </w:rPr>
        <w:footnoteRef/>
      </w:r>
      <w:r>
        <w:t xml:space="preserve"> </w:t>
      </w:r>
      <w:r w:rsidRPr="00A871BE">
        <w:rPr>
          <w:i/>
          <w:iCs/>
        </w:rPr>
        <w:t>PR-USVI Stage 2 Order</w:t>
      </w:r>
      <w:r>
        <w:t>, 34 FCC Rcd at 9143, paras. 60</w:t>
      </w:r>
      <w:r w:rsidR="008928F4">
        <w:t>-61</w:t>
      </w:r>
      <w:r w:rsidR="00A3474A">
        <w:t xml:space="preserve"> (providing that</w:t>
      </w:r>
      <w:r w:rsidR="008928F4">
        <w:t xml:space="preserve"> the Bureau will determine the </w:t>
      </w:r>
      <w:r w:rsidR="004108C5">
        <w:t xml:space="preserve">location data </w:t>
      </w:r>
      <w:r w:rsidRPr="003257C7" w:rsidR="004108C5">
        <w:t>based on</w:t>
      </w:r>
      <w:r w:rsidR="004108C5">
        <w:t xml:space="preserve"> the most recent publicly available Census Bureau data)</w:t>
      </w:r>
      <w:r w:rsidR="00DA4BEB">
        <w:t>.</w:t>
      </w:r>
    </w:p>
  </w:footnote>
  <w:footnote w:id="59">
    <w:p w:rsidR="00BB5F26" w14:paraId="21BBF1D4" w14:textId="77777777">
      <w:pPr>
        <w:pStyle w:val="FootnoteText"/>
      </w:pPr>
      <w:r>
        <w:rPr>
          <w:rStyle w:val="FootnoteReference"/>
        </w:rPr>
        <w:footnoteRef/>
      </w:r>
      <w:r>
        <w:t xml:space="preserve"> </w:t>
      </w:r>
      <w:r w:rsidRPr="005D7608">
        <w:rPr>
          <w:i/>
          <w:iCs/>
        </w:rPr>
        <w:t>See id</w:t>
      </w:r>
      <w:r>
        <w:t>. at para. 61.</w:t>
      </w:r>
    </w:p>
  </w:footnote>
  <w:footnote w:id="60">
    <w:p w:rsidR="00AE381C" w14:paraId="42391FDE" w14:textId="77777777">
      <w:pPr>
        <w:pStyle w:val="FootnoteText"/>
      </w:pPr>
      <w:r>
        <w:rPr>
          <w:rStyle w:val="FootnoteReference"/>
        </w:rPr>
        <w:footnoteRef/>
      </w:r>
      <w:r>
        <w:t xml:space="preserve"> </w:t>
      </w:r>
      <w:r w:rsidR="00117DC1">
        <w:rPr>
          <w:i/>
          <w:iCs/>
        </w:rPr>
        <w:t>See i</w:t>
      </w:r>
      <w:r w:rsidRPr="00117DC1" w:rsidR="00117DC1">
        <w:rPr>
          <w:i/>
          <w:iCs/>
        </w:rPr>
        <w:t>d</w:t>
      </w:r>
      <w:r w:rsidR="00117DC1">
        <w:t>.</w:t>
      </w:r>
    </w:p>
  </w:footnote>
  <w:footnote w:id="61">
    <w:p w:rsidR="00D91ABA" w14:paraId="248856ED" w14:textId="77777777">
      <w:pPr>
        <w:pStyle w:val="FootnoteText"/>
      </w:pPr>
      <w:r>
        <w:rPr>
          <w:rStyle w:val="FootnoteReference"/>
        </w:rPr>
        <w:footnoteRef/>
      </w:r>
      <w:r>
        <w:t xml:space="preserve"> </w:t>
      </w:r>
      <w:r w:rsidR="002278C6">
        <w:t>Reconsideration Petition at 5 (</w:t>
      </w:r>
      <w:r w:rsidR="00B71012">
        <w:t xml:space="preserve">recognizing the Bureau’s use of the 2012 Economic Census to determine location data but disagreeing with the imprecise </w:t>
      </w:r>
      <w:r w:rsidR="00941C41">
        <w:t>number of business establishments).</w:t>
      </w:r>
    </w:p>
  </w:footnote>
  <w:footnote w:id="62">
    <w:p w:rsidR="00486BCB" w14:paraId="1D7B7C52" w14:textId="77777777">
      <w:pPr>
        <w:pStyle w:val="FootnoteText"/>
      </w:pPr>
      <w:r>
        <w:rPr>
          <w:rStyle w:val="FootnoteReference"/>
        </w:rPr>
        <w:footnoteRef/>
      </w:r>
      <w:r>
        <w:t xml:space="preserve"> </w:t>
      </w:r>
      <w:r w:rsidRPr="00A871BE">
        <w:rPr>
          <w:i/>
          <w:iCs/>
        </w:rPr>
        <w:t>PR-USVI Stage 2 Order</w:t>
      </w:r>
      <w:r>
        <w:t>, 34 FCC Rcd at 9143, para. 60.</w:t>
      </w:r>
    </w:p>
  </w:footnote>
  <w:footnote w:id="63">
    <w:p w:rsidR="00EF7847" w:rsidP="0009467A" w14:paraId="255D0E70" w14:textId="77777777">
      <w:pPr>
        <w:pStyle w:val="FootnoteText"/>
      </w:pPr>
      <w:r>
        <w:rPr>
          <w:rStyle w:val="FootnoteReference"/>
        </w:rPr>
        <w:footnoteRef/>
      </w:r>
      <w:r>
        <w:t xml:space="preserve"> Reconsideration Petition at 7.</w:t>
      </w:r>
    </w:p>
  </w:footnote>
  <w:footnote w:id="64">
    <w:p w:rsidR="00EF7847" w:rsidP="0009467A" w14:paraId="7DFF9E73" w14:textId="77777777">
      <w:pPr>
        <w:pStyle w:val="FootnoteText"/>
      </w:pPr>
      <w:r>
        <w:rPr>
          <w:rStyle w:val="FootnoteReference"/>
        </w:rPr>
        <w:footnoteRef/>
      </w:r>
      <w:r>
        <w:t xml:space="preserve"> </w:t>
      </w:r>
      <w:r w:rsidRPr="00AB789C">
        <w:rPr>
          <w:i/>
          <w:iCs/>
        </w:rPr>
        <w:t>See</w:t>
      </w:r>
      <w:r>
        <w:t xml:space="preserve"> Broadband VI Mar. 4</w:t>
      </w:r>
      <w:r w:rsidR="004F123C">
        <w:t>, 2020</w:t>
      </w:r>
      <w:r>
        <w:t xml:space="preserve"> Comments at 3; AeroNet Mar. 16, 2020 </w:t>
      </w:r>
      <w:r w:rsidRPr="00A12866">
        <w:rPr>
          <w:i/>
          <w:iCs/>
        </w:rPr>
        <w:t>Ex Parte</w:t>
      </w:r>
      <w:r>
        <w:t xml:space="preserve"> Letter at 2 (opposing reliance on the use of the 2020 Census data due to delay of its public release).</w:t>
      </w:r>
    </w:p>
  </w:footnote>
  <w:footnote w:id="65">
    <w:p w:rsidR="00EF7847" w:rsidP="00237018" w14:paraId="526E91B8" w14:textId="77777777">
      <w:pPr>
        <w:pStyle w:val="FootnoteText"/>
      </w:pPr>
      <w:r>
        <w:rPr>
          <w:rStyle w:val="FootnoteReference"/>
        </w:rPr>
        <w:footnoteRef/>
      </w:r>
      <w:r>
        <w:t xml:space="preserve"> Reconsideration </w:t>
      </w:r>
      <w:r w:rsidRPr="00D4497A">
        <w:t>Petition</w:t>
      </w:r>
      <w:r>
        <w:t xml:space="preserve"> at 4-5; PRTC Mar. 4, 2020 Comments at 2-3; Broadband VI Mar. 4, 2020 Comments at 2.  </w:t>
      </w:r>
    </w:p>
  </w:footnote>
  <w:footnote w:id="66">
    <w:p w:rsidR="00EF7847" w14:paraId="76D92811" w14:textId="77777777">
      <w:pPr>
        <w:pStyle w:val="FootnoteText"/>
      </w:pPr>
      <w:r>
        <w:rPr>
          <w:rStyle w:val="FootnoteReference"/>
        </w:rPr>
        <w:footnoteRef/>
      </w:r>
      <w:r>
        <w:t xml:space="preserve"> Viya Jan. 31, 2020 </w:t>
      </w:r>
      <w:r w:rsidRPr="00C910ED">
        <w:rPr>
          <w:i/>
          <w:iCs/>
        </w:rPr>
        <w:t>Ex Parte</w:t>
      </w:r>
      <w:r>
        <w:t xml:space="preserve"> Letter at Attach. B.</w:t>
      </w:r>
    </w:p>
  </w:footnote>
  <w:footnote w:id="67">
    <w:p w:rsidR="00EF7847" w14:paraId="03E3076B" w14:textId="77777777">
      <w:pPr>
        <w:pStyle w:val="FootnoteText"/>
      </w:pPr>
      <w:r>
        <w:rPr>
          <w:rStyle w:val="FootnoteReference"/>
        </w:rPr>
        <w:footnoteRef/>
      </w:r>
      <w:r>
        <w:t xml:space="preserve"> PRTC Mar. 4, 2020 Comments at 3-4 (urging the Bureau to update the deployment obligations based on 2018 housing units available at the Commission staff estimates webpage); PRTC Feb. 19, 2020 </w:t>
      </w:r>
      <w:r w:rsidRPr="00504780">
        <w:rPr>
          <w:i/>
          <w:iCs/>
        </w:rPr>
        <w:t>Ex Parte</w:t>
      </w:r>
      <w:r>
        <w:t xml:space="preserve"> Letter at 5-6 (same);</w:t>
      </w:r>
      <w:r w:rsidRPr="00F82DE8">
        <w:t xml:space="preserve"> </w:t>
      </w:r>
      <w:r>
        <w:t xml:space="preserve">AeroNet Mar. 16, 2020 </w:t>
      </w:r>
      <w:r w:rsidRPr="00E3663C">
        <w:rPr>
          <w:i/>
          <w:iCs/>
        </w:rPr>
        <w:t>Ex Parte</w:t>
      </w:r>
      <w:r>
        <w:t xml:space="preserve"> Letter (suggesting adjustment of location counts prior to Stage 2 competitive process).</w:t>
      </w:r>
    </w:p>
  </w:footnote>
  <w:footnote w:id="68">
    <w:p w:rsidR="00EF7847" w14:paraId="37A0556F" w14:textId="77777777">
      <w:pPr>
        <w:pStyle w:val="FootnoteText"/>
      </w:pPr>
      <w:r>
        <w:rPr>
          <w:rStyle w:val="FootnoteReference"/>
        </w:rPr>
        <w:footnoteRef/>
      </w:r>
      <w:r>
        <w:t xml:space="preserve"> 47 CFR </w:t>
      </w:r>
      <w:r w:rsidRPr="00935F41">
        <w:t>§</w:t>
      </w:r>
      <w:r>
        <w:t xml:space="preserve"> 1.429(b)(1).  </w:t>
      </w:r>
      <w:r w:rsidRPr="00E3663C">
        <w:rPr>
          <w:i/>
          <w:iCs/>
        </w:rPr>
        <w:t>See</w:t>
      </w:r>
      <w:r>
        <w:rPr>
          <w:i/>
          <w:iCs/>
        </w:rPr>
        <w:t xml:space="preserve"> </w:t>
      </w:r>
      <w:r>
        <w:t xml:space="preserve">PRTC Feb. 19, 2020 </w:t>
      </w:r>
      <w:r w:rsidRPr="00E3663C">
        <w:rPr>
          <w:i/>
          <w:iCs/>
        </w:rPr>
        <w:t>Ex Parte</w:t>
      </w:r>
      <w:r>
        <w:t xml:space="preserve"> Letter at 5.</w:t>
      </w:r>
    </w:p>
  </w:footnote>
  <w:footnote w:id="69">
    <w:p w:rsidR="00EF7847" w:rsidP="00713B36" w14:paraId="1CFA5AB1" w14:textId="77777777">
      <w:pPr>
        <w:pStyle w:val="FootnoteText"/>
      </w:pPr>
      <w:r>
        <w:rPr>
          <w:rStyle w:val="FootnoteReference"/>
        </w:rPr>
        <w:footnoteRef/>
      </w:r>
      <w:r>
        <w:t xml:space="preserve"> </w:t>
      </w:r>
      <w:r w:rsidRPr="00851529">
        <w:rPr>
          <w:i/>
          <w:iCs/>
        </w:rPr>
        <w:t>See</w:t>
      </w:r>
      <w:r>
        <w:t xml:space="preserve"> </w:t>
      </w:r>
      <w:hyperlink r:id="rId2" w:history="1">
        <w:r>
          <w:rPr>
            <w:rStyle w:val="Hyperlink"/>
          </w:rPr>
          <w:t>https://www.fcc.gov/reports-research/data/staff-block-estimates</w:t>
        </w:r>
      </w:hyperlink>
      <w:r>
        <w:t xml:space="preserve">.  </w:t>
      </w:r>
    </w:p>
  </w:footnote>
  <w:footnote w:id="70">
    <w:p w:rsidR="00EF7847" w:rsidP="00C42A02" w14:paraId="4B760A32" w14:textId="77777777">
      <w:pPr>
        <w:pStyle w:val="FootnoteText"/>
      </w:pPr>
      <w:r>
        <w:rPr>
          <w:rStyle w:val="FootnoteReference"/>
        </w:rPr>
        <w:footnoteRef/>
      </w:r>
      <w:r>
        <w:t xml:space="preserve"> For the same reasons discussed above, the updated location data based on 2018 Commission staff estimates for Stage 2 fixed support is consistent with the Commission’s direction for the Bureau to use the most recent publicly available data for the Territories.</w:t>
      </w:r>
    </w:p>
  </w:footnote>
  <w:footnote w:id="71">
    <w:p w:rsidR="00EF7847" w14:paraId="0A720E76" w14:textId="77777777">
      <w:pPr>
        <w:pStyle w:val="FootnoteText"/>
      </w:pPr>
      <w:r>
        <w:rPr>
          <w:rStyle w:val="FootnoteReference"/>
        </w:rPr>
        <w:footnoteRef/>
      </w:r>
      <w:r>
        <w:t xml:space="preserve"> We likewise find that the Bureau’s reconsideration of the deployment obligation for Puerto Rico and the U.S. Virgin Islands is in the public interest pursuant to </w:t>
      </w:r>
      <w:r w:rsidR="009E73A3">
        <w:t>s</w:t>
      </w:r>
      <w:r>
        <w:t xml:space="preserve">ection 1.429(b)(3) of the Commission’s rules.  </w:t>
      </w:r>
      <w:r w:rsidRPr="00170555">
        <w:rPr>
          <w:i/>
          <w:iCs/>
        </w:rPr>
        <w:t>PR-USVI Stage 2 Order</w:t>
      </w:r>
      <w:r>
        <w:t>, 34 FCC Rcd at 9143, para. 59.</w:t>
      </w:r>
    </w:p>
  </w:footnote>
  <w:footnote w:id="72">
    <w:p w:rsidR="00EF7847" w:rsidP="004A785C" w14:paraId="54A186BA" w14:textId="77777777">
      <w:pPr>
        <w:pStyle w:val="FootnoteText"/>
      </w:pPr>
      <w:r>
        <w:rPr>
          <w:rStyle w:val="FootnoteReference"/>
        </w:rPr>
        <w:footnoteRef/>
      </w:r>
      <w:r>
        <w:t xml:space="preserve"> </w:t>
      </w:r>
      <w:r w:rsidRPr="00882BAB">
        <w:rPr>
          <w:i/>
          <w:iCs/>
        </w:rPr>
        <w:t>Id</w:t>
      </w:r>
      <w:r>
        <w:t xml:space="preserve">.  </w:t>
      </w:r>
      <w:r w:rsidRPr="00F134D7">
        <w:rPr>
          <w:i/>
          <w:iCs/>
        </w:rPr>
        <w:t>See also</w:t>
      </w:r>
      <w:r>
        <w:t xml:space="preserve"> PRTC Mar. 4, 2020 Comments at 3-4; PRTC Feb. 19, 2020 </w:t>
      </w:r>
      <w:r w:rsidRPr="00F134D7">
        <w:rPr>
          <w:i/>
          <w:iCs/>
        </w:rPr>
        <w:t>Ex Parte</w:t>
      </w:r>
      <w:r>
        <w:t xml:space="preserve"> Letter at 5-6.</w:t>
      </w:r>
    </w:p>
  </w:footnote>
  <w:footnote w:id="73">
    <w:p w:rsidR="00EF7847" w14:paraId="53BA80CF" w14:textId="77777777">
      <w:pPr>
        <w:pStyle w:val="FootnoteText"/>
      </w:pPr>
      <w:r>
        <w:rPr>
          <w:rStyle w:val="FootnoteReference"/>
        </w:rPr>
        <w:footnoteRef/>
      </w:r>
      <w:r>
        <w:t xml:space="preserve"> 47 CFR </w:t>
      </w:r>
      <w:r w:rsidRPr="00935F41">
        <w:t>§</w:t>
      </w:r>
      <w:r>
        <w:t xml:space="preserve"> 1.429(b)(3).</w:t>
      </w:r>
    </w:p>
  </w:footnote>
  <w:footnote w:id="74">
    <w:p w:rsidR="00EF7847" w:rsidRPr="00A90014" w14:paraId="34EC6CFA" w14:textId="77777777">
      <w:pPr>
        <w:pStyle w:val="FootnoteText"/>
      </w:pPr>
      <w:r>
        <w:rPr>
          <w:rStyle w:val="FootnoteReference"/>
        </w:rPr>
        <w:footnoteRef/>
      </w:r>
      <w:r>
        <w:t xml:space="preserve"> 47 CFR </w:t>
      </w:r>
      <w:r w:rsidRPr="00935F41">
        <w:t>§</w:t>
      </w:r>
      <w:r>
        <w:t xml:space="preserve"> 1.429(</w:t>
      </w:r>
      <w:r>
        <w:rPr>
          <w:i/>
          <w:iCs/>
        </w:rPr>
        <w:t>l</w:t>
      </w:r>
      <w:r>
        <w:t>).</w:t>
      </w:r>
      <w:r w:rsidR="008C6950">
        <w:t xml:space="preserve">  </w:t>
      </w:r>
    </w:p>
  </w:footnote>
  <w:footnote w:id="75">
    <w:p w:rsidR="00EF7847" w14:paraId="6D1D7C3F" w14:textId="77777777">
      <w:pPr>
        <w:pStyle w:val="FootnoteText"/>
      </w:pPr>
      <w:r>
        <w:rPr>
          <w:rStyle w:val="FootnoteReference"/>
        </w:rPr>
        <w:footnoteRef/>
      </w:r>
      <w:r>
        <w:t xml:space="preserve"> </w:t>
      </w:r>
      <w:r w:rsidRPr="00DA2DC0">
        <w:rPr>
          <w:i/>
          <w:iCs/>
        </w:rPr>
        <w:t>See also</w:t>
      </w:r>
      <w:r>
        <w:t xml:space="preserve"> Viya Feb. 4, 2020 </w:t>
      </w:r>
      <w:r w:rsidRPr="0068284F">
        <w:rPr>
          <w:i/>
          <w:iCs/>
        </w:rPr>
        <w:t>Ex Parte</w:t>
      </w:r>
      <w:r>
        <w:t xml:space="preserve"> Letter at 2 (proposing the waiver of the </w:t>
      </w:r>
      <w:r w:rsidRPr="00FF3977" w:rsidR="00FF3977">
        <w:rPr>
          <w:i/>
          <w:iCs/>
        </w:rPr>
        <w:t>pro rata</w:t>
      </w:r>
      <w:r>
        <w:t xml:space="preserve"> reduction of high-cost fixed support); PRTC Feb. 19, 2020 </w:t>
      </w:r>
      <w:r w:rsidRPr="0068284F">
        <w:rPr>
          <w:i/>
          <w:iCs/>
        </w:rPr>
        <w:t>Ex Parte</w:t>
      </w:r>
      <w:r>
        <w:t xml:space="preserve"> Letter at 5 (supporting waiver of </w:t>
      </w:r>
      <w:r w:rsidRPr="00FF3977" w:rsidR="00FF3977">
        <w:rPr>
          <w:i/>
          <w:iCs/>
        </w:rPr>
        <w:t>pro rata</w:t>
      </w:r>
      <w:r>
        <w:t xml:space="preserve"> reduction of support rule).</w:t>
      </w:r>
    </w:p>
  </w:footnote>
  <w:footnote w:id="76">
    <w:p w:rsidR="00EF7847" w14:paraId="1F347D64" w14:textId="77777777">
      <w:pPr>
        <w:pStyle w:val="FootnoteText"/>
      </w:pPr>
      <w:r>
        <w:rPr>
          <w:rStyle w:val="FootnoteReference"/>
        </w:rPr>
        <w:footnoteRef/>
      </w:r>
      <w:r>
        <w:t xml:space="preserve"> 47 CFR </w:t>
      </w:r>
      <w:r w:rsidRPr="00935F41">
        <w:t>§</w:t>
      </w:r>
      <w:r>
        <w:t xml:space="preserve"> 1.429(d).  </w:t>
      </w:r>
      <w:r w:rsidR="006F3A3D">
        <w:t>T</w:t>
      </w:r>
      <w:r>
        <w:t xml:space="preserve">he </w:t>
      </w:r>
      <w:r w:rsidRPr="00D77C0D">
        <w:rPr>
          <w:i/>
          <w:iCs/>
        </w:rPr>
        <w:t>Order</w:t>
      </w:r>
      <w:r>
        <w:t xml:space="preserve"> was published in the Federal Register on November 7, 20</w:t>
      </w:r>
      <w:r w:rsidR="006F3A3D">
        <w:t>19</w:t>
      </w:r>
      <w:r>
        <w:t>.  Federal Communications Commission, The Uniendo a Puerto Rico Fund and the Connect America [sic] USVI Fund, Connect America Fund, ETC Annual Reports and Certifications, 84 Fed. Reg. 59937 (Nov. 7, 2019).</w:t>
      </w:r>
    </w:p>
  </w:footnote>
  <w:footnote w:id="77">
    <w:p w:rsidR="001E0420" w14:paraId="3BBB2C96" w14:textId="77777777">
      <w:pPr>
        <w:pStyle w:val="FootnoteText"/>
      </w:pPr>
      <w:r>
        <w:rPr>
          <w:rStyle w:val="FootnoteReference"/>
        </w:rPr>
        <w:footnoteRef/>
      </w:r>
      <w:r>
        <w:t xml:space="preserve"> </w:t>
      </w:r>
      <w:r w:rsidR="00F015CB">
        <w:t xml:space="preserve">In its petition, Viya specifically </w:t>
      </w:r>
      <w:r w:rsidR="00EA59A3">
        <w:t xml:space="preserve">stated in reference to the </w:t>
      </w:r>
      <w:r w:rsidRPr="005D7608" w:rsidR="00EA59A3">
        <w:rPr>
          <w:i/>
          <w:iCs/>
        </w:rPr>
        <w:t>Rural Digital Opportunity Fund Order</w:t>
      </w:r>
      <w:r w:rsidR="00EA59A3">
        <w:t>,</w:t>
      </w:r>
    </w:p>
    <w:p w:rsidR="00A61476" w:rsidP="001D4171" w14:paraId="16AA465E" w14:textId="77777777">
      <w:pPr>
        <w:pStyle w:val="FootnoteText"/>
        <w:ind w:left="720" w:firstLine="720"/>
      </w:pPr>
      <w:r>
        <w:t xml:space="preserve">Facing a similar (but less severe) data problem on the mainland, </w:t>
      </w:r>
      <w:r w:rsidR="00705725">
        <w:t xml:space="preserve">the Commission proposed to take a substantially different approach.  In the Rural Digital Opportunity Fund (“RDOF”), </w:t>
      </w:r>
      <w:r w:rsidR="001D0DD5">
        <w:t xml:space="preserve">the Commission intends to vote at its January meeting on an order that would determine the number of locations in each geographic area based on better </w:t>
      </w:r>
      <w:r w:rsidR="00480CC2">
        <w:t xml:space="preserve">data </w:t>
      </w:r>
      <w:r w:rsidR="001D0DD5">
        <w:t xml:space="preserve">developed </w:t>
      </w:r>
      <w:r w:rsidR="00480CC2">
        <w:t xml:space="preserve">in the near future, after the support amounts are determined, and---critically—not to require any </w:t>
      </w:r>
      <w:r w:rsidR="00480CC2">
        <w:rPr>
          <w:i/>
          <w:iCs/>
        </w:rPr>
        <w:t>pro rata</w:t>
      </w:r>
      <w:r w:rsidR="006410B6">
        <w:t xml:space="preserve"> reductions in support if the number of locations proves to be lower than those used in developing bidders support proposals (up to a generous threshold).</w:t>
      </w:r>
    </w:p>
    <w:p w:rsidR="001D4171" w:rsidRPr="00315014" w:rsidP="005D7608" w14:paraId="1D5A4FC1" w14:textId="77777777">
      <w:pPr>
        <w:pStyle w:val="FootnoteText"/>
        <w:ind w:left="720" w:firstLine="720"/>
      </w:pPr>
      <w:r>
        <w:t>Given the inconsistent and less accurate approach taken in the Connect USVI Fund, it is incumbent upon the Bureau to ensure that the [</w:t>
      </w:r>
      <w:r>
        <w:rPr>
          <w:i/>
          <w:iCs/>
        </w:rPr>
        <w:t>Reserve Prices Public Notice</w:t>
      </w:r>
      <w:r w:rsidR="00315014">
        <w:t>] includes the most accurate data regarding the location counts in the USVI.</w:t>
      </w:r>
    </w:p>
    <w:p w:rsidR="00CF5131" w:rsidRPr="006410B6" w:rsidP="00CF5131" w14:paraId="2CB25D28" w14:textId="77777777">
      <w:pPr>
        <w:pStyle w:val="FootnoteText"/>
      </w:pPr>
      <w:r>
        <w:t>Reconsideration Petition at 2</w:t>
      </w:r>
      <w:r w:rsidR="001D4171">
        <w:t>-3</w:t>
      </w:r>
      <w:r>
        <w:t>.</w:t>
      </w:r>
    </w:p>
  </w:footnote>
  <w:footnote w:id="78">
    <w:p w:rsidR="00EF7847" w14:paraId="51AC8A4B" w14:textId="77777777">
      <w:pPr>
        <w:pStyle w:val="FootnoteText"/>
      </w:pPr>
      <w:r>
        <w:rPr>
          <w:rStyle w:val="FootnoteReference"/>
        </w:rPr>
        <w:footnoteRef/>
      </w:r>
      <w:r>
        <w:t xml:space="preserve"> Section III.A.</w:t>
      </w:r>
    </w:p>
  </w:footnote>
  <w:footnote w:id="79">
    <w:p w:rsidR="00FF3977" w:rsidRPr="00FF3977" w14:paraId="63423304" w14:textId="77777777">
      <w:pPr>
        <w:pStyle w:val="FootnoteText"/>
      </w:pPr>
      <w:r>
        <w:rPr>
          <w:rStyle w:val="FootnoteReference"/>
        </w:rPr>
        <w:footnoteRef/>
      </w:r>
      <w:r>
        <w:t xml:space="preserve"> </w:t>
      </w:r>
      <w:r>
        <w:rPr>
          <w:i/>
          <w:iCs/>
        </w:rPr>
        <w:t xml:space="preserve">See </w:t>
      </w:r>
      <w:r>
        <w:t>Reconsideration Petition at 2-3.</w:t>
      </w:r>
    </w:p>
  </w:footnote>
  <w:footnote w:id="80">
    <w:p w:rsidR="00EF7847" w14:paraId="7DABFD23" w14:textId="77777777">
      <w:pPr>
        <w:pStyle w:val="FootnoteText"/>
      </w:pPr>
      <w:r>
        <w:rPr>
          <w:rStyle w:val="FootnoteReference"/>
        </w:rPr>
        <w:footnoteRef/>
      </w:r>
      <w:r>
        <w:t xml:space="preserve"> 47 CFR </w:t>
      </w:r>
      <w:r w:rsidRPr="00935F41">
        <w:t>§</w:t>
      </w:r>
      <w:r>
        <w:t xml:space="preserve"> 1.429(b)(1)-(3).</w:t>
      </w:r>
    </w:p>
  </w:footnote>
  <w:footnote w:id="81">
    <w:p w:rsidR="00EF7847" w14:paraId="4A1B1C01" w14:textId="77777777">
      <w:pPr>
        <w:pStyle w:val="FootnoteText"/>
      </w:pPr>
      <w:r>
        <w:rPr>
          <w:rStyle w:val="FootnoteReference"/>
        </w:rPr>
        <w:footnoteRef/>
      </w:r>
      <w:r>
        <w:t xml:space="preserve"> 47 CFR § 1.429.</w:t>
      </w:r>
    </w:p>
  </w:footnote>
  <w:footnote w:id="82">
    <w:p w:rsidR="00EF7847" w14:paraId="0D0E289C" w14:textId="77777777">
      <w:pPr>
        <w:pStyle w:val="FootnoteText"/>
      </w:pPr>
      <w:r>
        <w:rPr>
          <w:rStyle w:val="FootnoteReference"/>
        </w:rPr>
        <w:footnoteRef/>
      </w:r>
      <w:r>
        <w:t xml:space="preserve"> </w:t>
      </w:r>
      <w:r w:rsidRPr="00D77C0D">
        <w:rPr>
          <w:i/>
          <w:iCs/>
        </w:rPr>
        <w:t>See</w:t>
      </w:r>
      <w:r>
        <w:t xml:space="preserve"> PRTC Mar. 4, 2020 Comments at 5-6 (noting that the Commission declined to adopt PRTC’s proposals for a “reasonable request” standard and not apply a support reduction mechanism related to the location adjustment process).</w:t>
      </w:r>
    </w:p>
  </w:footnote>
  <w:footnote w:id="83">
    <w:p w:rsidR="00154BF6" w14:paraId="73389EC4" w14:textId="77777777">
      <w:pPr>
        <w:pStyle w:val="FootnoteText"/>
      </w:pPr>
      <w:r>
        <w:rPr>
          <w:rStyle w:val="FootnoteReference"/>
        </w:rPr>
        <w:footnoteRef/>
      </w:r>
      <w:r>
        <w:t xml:space="preserve"> </w:t>
      </w:r>
      <w:r w:rsidRPr="00667780" w:rsidR="00D05B3C">
        <w:rPr>
          <w:i/>
          <w:iCs/>
        </w:rPr>
        <w:t>See</w:t>
      </w:r>
      <w:r w:rsidR="00D05B3C">
        <w:t xml:space="preserve"> </w:t>
      </w:r>
      <w:r w:rsidR="005031F9">
        <w:t>PRTC Mar. 4, 2020 Comments at 9</w:t>
      </w:r>
      <w:r w:rsidR="00EF4D88">
        <w:t>-10</w:t>
      </w:r>
      <w:r w:rsidR="008F1626">
        <w:t xml:space="preserve"> (ar</w:t>
      </w:r>
      <w:r w:rsidR="00DA13FE">
        <w:t xml:space="preserve">guing that the </w:t>
      </w:r>
      <w:r w:rsidR="003C6E68">
        <w:t xml:space="preserve">support reduction </w:t>
      </w:r>
      <w:r w:rsidR="00053166">
        <w:t>is unfair to recipients)</w:t>
      </w:r>
      <w:r w:rsidR="00EF4D88">
        <w:t>;</w:t>
      </w:r>
      <w:r w:rsidR="00A47794">
        <w:t xml:space="preserve"> Broadband VI Mar. 4, 2020 Comments at 3</w:t>
      </w:r>
      <w:r w:rsidR="004377BD">
        <w:t xml:space="preserve"> (arguing that the</w:t>
      </w:r>
      <w:r w:rsidR="003D718D">
        <w:t xml:space="preserve">re are </w:t>
      </w:r>
      <w:r w:rsidR="008F1626">
        <w:t>greater administrative burdens)</w:t>
      </w:r>
      <w:r w:rsidR="00A47794">
        <w:t>.</w:t>
      </w:r>
    </w:p>
  </w:footnote>
  <w:footnote w:id="84">
    <w:p w:rsidR="00EF7847" w14:paraId="5E2FCAF3" w14:textId="77777777">
      <w:pPr>
        <w:pStyle w:val="FootnoteText"/>
      </w:pPr>
      <w:r>
        <w:rPr>
          <w:rStyle w:val="FootnoteReference"/>
        </w:rPr>
        <w:footnoteRef/>
      </w:r>
      <w:r>
        <w:t xml:space="preserve"> </w:t>
      </w:r>
      <w:r w:rsidRPr="00D77C0D">
        <w:rPr>
          <w:i/>
          <w:iCs/>
        </w:rPr>
        <w:t>PR-USVI Stage 2 Order</w:t>
      </w:r>
      <w:r>
        <w:t>, 34 FCC Rcd at 9143, paras. 59-60.</w:t>
      </w:r>
    </w:p>
  </w:footnote>
  <w:footnote w:id="85">
    <w:p w:rsidR="00EF7847" w14:paraId="6A89AEF5" w14:textId="77777777">
      <w:pPr>
        <w:pStyle w:val="FootnoteText"/>
      </w:pPr>
      <w:r>
        <w:rPr>
          <w:rStyle w:val="FootnoteReference"/>
        </w:rPr>
        <w:footnoteRef/>
      </w:r>
      <w:r>
        <w:t xml:space="preserve"> </w:t>
      </w:r>
      <w:r w:rsidRPr="00D77C0D">
        <w:rPr>
          <w:i/>
          <w:iCs/>
        </w:rPr>
        <w:t>Id</w:t>
      </w:r>
      <w:r>
        <w:t>. at 9144-45, paras. 63-65.</w:t>
      </w:r>
    </w:p>
  </w:footnote>
  <w:footnote w:id="86">
    <w:p w:rsidR="007E2D9C" w14:paraId="3F09CF4F" w14:textId="77777777">
      <w:pPr>
        <w:pStyle w:val="FootnoteText"/>
      </w:pPr>
      <w:r>
        <w:rPr>
          <w:rStyle w:val="FootnoteReference"/>
        </w:rPr>
        <w:footnoteRef/>
      </w:r>
      <w:r>
        <w:t xml:space="preserve"> </w:t>
      </w:r>
      <w:r w:rsidRPr="005D7608">
        <w:rPr>
          <w:i/>
          <w:iCs/>
        </w:rPr>
        <w:t>See</w:t>
      </w:r>
      <w:r>
        <w:t xml:space="preserve"> PRTC Mar. 4, 2020 Comments at 6-10; Broadband VI Mar. 4, 2020 Comments at 3-4; AeroNet Mar. 16, 2020 </w:t>
      </w:r>
      <w:r w:rsidRPr="005D7608">
        <w:rPr>
          <w:i/>
          <w:iCs/>
        </w:rPr>
        <w:t>Ex Parte</w:t>
      </w:r>
      <w:r>
        <w:t xml:space="preserve"> Letter at 2-4</w:t>
      </w:r>
    </w:p>
  </w:footnote>
  <w:footnote w:id="87">
    <w:p w:rsidR="008C7AF1" w14:paraId="7662EF86" w14:textId="77777777">
      <w:pPr>
        <w:pStyle w:val="FootnoteText"/>
      </w:pPr>
      <w:r>
        <w:rPr>
          <w:rStyle w:val="FootnoteReference"/>
        </w:rPr>
        <w:footnoteRef/>
      </w:r>
      <w:r>
        <w:t xml:space="preserve"> </w:t>
      </w:r>
      <w:r w:rsidRPr="00D77C0D" w:rsidR="00B87BC8">
        <w:rPr>
          <w:i/>
          <w:iCs/>
        </w:rPr>
        <w:t>PR-USVI Stage 2 Order</w:t>
      </w:r>
      <w:r w:rsidR="00B87BC8">
        <w:t xml:space="preserve">, 34 FCC Rcd at </w:t>
      </w:r>
      <w:r w:rsidR="004B1754">
        <w:t>9143</w:t>
      </w:r>
      <w:r w:rsidR="007A2D9B">
        <w:t xml:space="preserve">, </w:t>
      </w:r>
      <w:r w:rsidR="00B87BC8">
        <w:t>9144, para</w:t>
      </w:r>
      <w:r w:rsidR="007A2D9B">
        <w:t>s</w:t>
      </w:r>
      <w:r w:rsidR="00B87BC8">
        <w:t>.</w:t>
      </w:r>
      <w:r w:rsidR="009A1A06">
        <w:t>60,</w:t>
      </w:r>
      <w:r w:rsidR="00B87BC8">
        <w:t xml:space="preserve"> 63</w:t>
      </w:r>
      <w:r w:rsidR="009A1A06">
        <w:t xml:space="preserve"> (“We think this approach allows for the best balance to ensu</w:t>
      </w:r>
      <w:r w:rsidR="00053931">
        <w:t>ring buildout to all existing locations.”)</w:t>
      </w:r>
      <w:r w:rsidR="00B87BC8">
        <w:t>.</w:t>
      </w:r>
    </w:p>
  </w:footnote>
  <w:footnote w:id="88">
    <w:p w:rsidR="00D40E81" w:rsidRPr="005D7608" w14:paraId="4C8BE21D" w14:textId="77777777">
      <w:pPr>
        <w:pStyle w:val="FootnoteText"/>
        <w:rPr>
          <w:i/>
          <w:iCs/>
        </w:rPr>
      </w:pPr>
      <w:r>
        <w:rPr>
          <w:rStyle w:val="FootnoteReference"/>
        </w:rPr>
        <w:footnoteRef/>
      </w:r>
      <w:r>
        <w:t xml:space="preserve"> </w:t>
      </w:r>
      <w:r w:rsidR="0068200F">
        <w:rPr>
          <w:i/>
          <w:iCs/>
        </w:rPr>
        <w:t>Id</w:t>
      </w:r>
      <w:r w:rsidRPr="005D7608" w:rsidR="0068200F">
        <w:t>.</w:t>
      </w:r>
    </w:p>
  </w:footnote>
  <w:footnote w:id="89">
    <w:p w:rsidR="00CC7902" w14:paraId="2D6E44E2" w14:textId="77777777">
      <w:pPr>
        <w:pStyle w:val="FootnoteText"/>
      </w:pPr>
      <w:r>
        <w:rPr>
          <w:rStyle w:val="FootnoteReference"/>
        </w:rPr>
        <w:footnoteRef/>
      </w:r>
      <w:r>
        <w:t xml:space="preserve"> </w:t>
      </w:r>
      <w:r w:rsidRPr="005D7608" w:rsidR="003746F6">
        <w:rPr>
          <w:i/>
          <w:iCs/>
        </w:rPr>
        <w:t>Id</w:t>
      </w:r>
      <w:r w:rsidR="003746F6">
        <w:t>. at 9145, para. 65.</w:t>
      </w:r>
    </w:p>
  </w:footnote>
  <w:footnote w:id="90">
    <w:p w:rsidR="00770CDA" w14:paraId="7A555D7A" w14:textId="77777777">
      <w:pPr>
        <w:pStyle w:val="FootnoteText"/>
      </w:pPr>
      <w:r>
        <w:rPr>
          <w:rStyle w:val="FootnoteReference"/>
        </w:rPr>
        <w:footnoteRef/>
      </w:r>
      <w:r>
        <w:t xml:space="preserve"> </w:t>
      </w:r>
      <w:r w:rsidRPr="008449B1" w:rsidR="00F52FB4">
        <w:rPr>
          <w:i/>
          <w:iCs/>
        </w:rPr>
        <w:t>Rural Digital Opportunity Fund</w:t>
      </w:r>
      <w:r w:rsidR="00F52FB4">
        <w:rPr>
          <w:i/>
          <w:iCs/>
        </w:rPr>
        <w:t xml:space="preserve"> Order</w:t>
      </w:r>
      <w:r w:rsidR="00F52FB4">
        <w:t>, 35 FCC Rcd at 7</w:t>
      </w:r>
      <w:r w:rsidR="00583F3D">
        <w:t>11</w:t>
      </w:r>
      <w:r w:rsidR="00F52FB4">
        <w:t xml:space="preserve">, para. </w:t>
      </w:r>
      <w:r w:rsidR="00583F3D">
        <w:t>51.</w:t>
      </w:r>
      <w:r w:rsidR="003C7E55">
        <w:t xml:space="preserve">  </w:t>
      </w:r>
      <w:r w:rsidR="00817953">
        <w:t>We note that t</w:t>
      </w:r>
      <w:r w:rsidR="002816C4">
        <w:t>he Commission weighed in its adoption</w:t>
      </w:r>
      <w:r w:rsidR="00C32A9A">
        <w:t xml:space="preserve"> of the </w:t>
      </w:r>
      <w:r w:rsidR="00B02194">
        <w:t>modified support reduction mechanism fo</w:t>
      </w:r>
      <w:r w:rsidR="002816C4">
        <w:t xml:space="preserve">r the Rural </w:t>
      </w:r>
      <w:r w:rsidR="00C32A9A">
        <w:t xml:space="preserve">Digital Opportunity Fund the </w:t>
      </w:r>
      <w:r w:rsidR="000A1A59">
        <w:t xml:space="preserve">additional deployment obligations of support recipients where there are more locations than the number identified </w:t>
      </w:r>
      <w:r w:rsidR="00975AA8">
        <w:t>by the CAM.</w:t>
      </w:r>
      <w:r w:rsidR="00EB7E14">
        <w:t xml:space="preserve">  </w:t>
      </w:r>
      <w:r w:rsidRPr="00832F3F" w:rsidR="00EB7E14">
        <w:rPr>
          <w:i/>
          <w:iCs/>
        </w:rPr>
        <w:t>Id</w:t>
      </w:r>
      <w:r w:rsidR="00EB7E14">
        <w:t xml:space="preserve">. at </w:t>
      </w:r>
      <w:r w:rsidR="00832F3F">
        <w:t>710</w:t>
      </w:r>
      <w:r w:rsidR="00AC0F0E">
        <w:t>-11</w:t>
      </w:r>
      <w:r w:rsidR="00832F3F">
        <w:t>, para</w:t>
      </w:r>
      <w:r w:rsidR="00AC0F0E">
        <w:t>s</w:t>
      </w:r>
      <w:r w:rsidR="00832F3F">
        <w:t>. 49</w:t>
      </w:r>
      <w:r w:rsidR="00AC0F0E">
        <w:t>, 51</w:t>
      </w:r>
      <w:r w:rsidR="00832F3F">
        <w:t>.</w:t>
      </w:r>
    </w:p>
  </w:footnote>
  <w:footnote w:id="91">
    <w:p w:rsidR="00A47097" w14:paraId="37F0072F" w14:textId="77777777">
      <w:pPr>
        <w:pStyle w:val="FootnoteText"/>
      </w:pPr>
      <w:r>
        <w:rPr>
          <w:rStyle w:val="FootnoteReference"/>
        </w:rPr>
        <w:footnoteRef/>
      </w:r>
      <w:r>
        <w:t xml:space="preserve"> </w:t>
      </w:r>
      <w:r w:rsidRPr="00D77C0D" w:rsidR="000D1BC3">
        <w:rPr>
          <w:i/>
          <w:iCs/>
        </w:rPr>
        <w:t>PR-USVI Stage 2 Order</w:t>
      </w:r>
      <w:r w:rsidR="000D1BC3">
        <w:t xml:space="preserve">, 34 FCC Rcd </w:t>
      </w:r>
      <w:r>
        <w:t xml:space="preserve">at 9143-44, </w:t>
      </w:r>
      <w:r w:rsidR="00B44D7B">
        <w:t>paras. 63-65.</w:t>
      </w:r>
    </w:p>
  </w:footnote>
  <w:footnote w:id="92">
    <w:p w:rsidR="00EF7847" w:rsidP="00572E09" w14:paraId="0E506547" w14:textId="77777777">
      <w:pPr>
        <w:pStyle w:val="FootnoteText"/>
      </w:pPr>
      <w:r>
        <w:rPr>
          <w:rStyle w:val="FootnoteReference"/>
        </w:rPr>
        <w:footnoteRef/>
      </w:r>
      <w:r>
        <w:t xml:space="preserve"> </w:t>
      </w:r>
      <w:r w:rsidRPr="007F4A5D">
        <w:t>47 CFR § 1.3</w:t>
      </w:r>
      <w:r>
        <w:t>.</w:t>
      </w:r>
    </w:p>
  </w:footnote>
  <w:footnote w:id="93">
    <w:p w:rsidR="00EF7847" w:rsidRPr="008C2A06" w:rsidP="00267959" w14:paraId="3D4A080B"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93 S.Ct. 461 (1972)) (</w:t>
      </w:r>
      <w:r w:rsidRPr="00691864">
        <w:rPr>
          <w:i/>
        </w:rPr>
        <w:t>Northeast Cellular</w:t>
      </w:r>
      <w:r>
        <w:t>).</w:t>
      </w:r>
      <w:r w:rsidRPr="008C2A06">
        <w:rPr>
          <w:i/>
        </w:rPr>
        <w:t xml:space="preserve"> </w:t>
      </w:r>
    </w:p>
  </w:footnote>
  <w:footnote w:id="94">
    <w:p w:rsidR="00EF7847" w:rsidP="00AB2839" w14:paraId="5C237120" w14:textId="77777777">
      <w:pPr>
        <w:pStyle w:val="FootnoteText"/>
      </w:pPr>
      <w:r>
        <w:rPr>
          <w:rStyle w:val="FootnoteReference"/>
        </w:rPr>
        <w:footnoteRef/>
      </w:r>
      <w:r>
        <w:t xml:space="preserve"> </w:t>
      </w:r>
      <w:r w:rsidRPr="007F4A5D">
        <w:t>47 CFR § 1.3</w:t>
      </w:r>
      <w:r>
        <w:t xml:space="preserve">; </w:t>
      </w:r>
      <w:r w:rsidRPr="002B20C8">
        <w:rPr>
          <w:i/>
          <w:iCs/>
        </w:rPr>
        <w:t>s</w:t>
      </w:r>
      <w:r w:rsidRPr="008C2A06">
        <w:rPr>
          <w:i/>
        </w:rPr>
        <w:t>ee Northeast Cellular</w:t>
      </w:r>
      <w:r w:rsidRPr="008C2A06">
        <w:t>, 897 F.2d</w:t>
      </w:r>
      <w:r>
        <w:t xml:space="preserve"> at </w:t>
      </w:r>
      <w:r w:rsidRPr="008C2A06">
        <w:t>1166</w:t>
      </w:r>
      <w:r>
        <w:t>.</w:t>
      </w:r>
    </w:p>
  </w:footnote>
  <w:footnote w:id="95">
    <w:p w:rsidR="00A776A9" w:rsidP="00A776A9" w14:paraId="56B7BE60" w14:textId="77777777">
      <w:pPr>
        <w:pStyle w:val="FootnoteText"/>
      </w:pPr>
      <w:r>
        <w:rPr>
          <w:rStyle w:val="FootnoteReference"/>
        </w:rPr>
        <w:footnoteRef/>
      </w:r>
      <w:r>
        <w:t xml:space="preserve"> 47 CFR </w:t>
      </w:r>
      <w:r w:rsidRPr="00935F41">
        <w:t>§</w:t>
      </w:r>
      <w:r>
        <w:t xml:space="preserve"> 54.804(c).</w:t>
      </w:r>
    </w:p>
  </w:footnote>
  <w:footnote w:id="96">
    <w:p w:rsidR="00EF7847" w14:paraId="620F5C56" w14:textId="77777777">
      <w:pPr>
        <w:pStyle w:val="FootnoteText"/>
      </w:pPr>
      <w:r>
        <w:rPr>
          <w:rStyle w:val="FootnoteReference"/>
        </w:rPr>
        <w:footnoteRef/>
      </w:r>
      <w:r>
        <w:t xml:space="preserve"> Coalition Waiver Request at 7; WISPA Apr. 28, 2020 Comments at 5.</w:t>
      </w:r>
    </w:p>
  </w:footnote>
  <w:footnote w:id="97">
    <w:p w:rsidR="00EF7847" w:rsidP="003A1024" w14:paraId="02564BED" w14:textId="77777777">
      <w:pPr>
        <w:pStyle w:val="FootnoteText"/>
      </w:pPr>
      <w:r>
        <w:rPr>
          <w:rStyle w:val="FootnoteReference"/>
        </w:rPr>
        <w:footnoteRef/>
      </w:r>
      <w:r>
        <w:t xml:space="preserve"> </w:t>
      </w:r>
      <w:r w:rsidR="00A350E8">
        <w:t>Emergency Request for Waiver Reply Comments from PR-USVI Fund Coalition, WC Docket No. 18-143, at 2 (filed May 12, 2020)</w:t>
      </w:r>
      <w:r>
        <w:t xml:space="preserve"> (“Commenting parties further observed that the dire economic conditions in the Territories, exacerbated by the ongoing COVID-19 pandemic, necessitate emergency relief to enable the competitive process envisioned by the Commission to go forward.”)</w:t>
      </w:r>
      <w:r w:rsidR="003811E0">
        <w:t xml:space="preserve"> (Coalition </w:t>
      </w:r>
      <w:r w:rsidR="0096116B">
        <w:t>Reply Comments)</w:t>
      </w:r>
      <w:r>
        <w:t xml:space="preserve">; Fernandez-Navarro Apr. 26, 2020 Comments at 1-2 (arguing that the waiver of rules would help provide effective competition from a diverse group of providers).  </w:t>
      </w:r>
      <w:r w:rsidRPr="004C5044">
        <w:rPr>
          <w:i/>
          <w:iCs/>
        </w:rPr>
        <w:t>See also</w:t>
      </w:r>
      <w:r>
        <w:t xml:space="preserve"> Coalition June 19, 2020 Ex Parte Letter at 1 (arguing greater competition resulting from a waiver of the letter of credit requirements).</w:t>
      </w:r>
    </w:p>
  </w:footnote>
  <w:footnote w:id="98">
    <w:p w:rsidR="00EF7847" w14:paraId="43AB802A" w14:textId="77777777">
      <w:pPr>
        <w:pStyle w:val="FootnoteText"/>
      </w:pPr>
      <w:r>
        <w:rPr>
          <w:rStyle w:val="FootnoteReference"/>
        </w:rPr>
        <w:footnoteRef/>
      </w:r>
      <w:r>
        <w:t xml:space="preserve"> Coalition Waiver Request at 7.</w:t>
      </w:r>
    </w:p>
  </w:footnote>
  <w:footnote w:id="99">
    <w:p w:rsidR="00EF7847" w:rsidP="00C453D6" w14:paraId="2560A686" w14:textId="77777777">
      <w:pPr>
        <w:pStyle w:val="FootnoteText"/>
      </w:pPr>
      <w:r>
        <w:rPr>
          <w:rStyle w:val="FootnoteReference"/>
        </w:rPr>
        <w:footnoteRef/>
      </w:r>
      <w:r>
        <w:t xml:space="preserve"> </w:t>
      </w:r>
      <w:r w:rsidRPr="004C5044">
        <w:rPr>
          <w:i/>
          <w:iCs/>
        </w:rPr>
        <w:t>Id</w:t>
      </w:r>
      <w:r>
        <w:t>. at 11.</w:t>
      </w:r>
    </w:p>
  </w:footnote>
  <w:footnote w:id="100">
    <w:p w:rsidR="00EF7847" w14:paraId="07E1364E" w14:textId="77777777">
      <w:pPr>
        <w:pStyle w:val="FootnoteText"/>
      </w:pPr>
      <w:r>
        <w:rPr>
          <w:rStyle w:val="FootnoteReference"/>
        </w:rPr>
        <w:footnoteRef/>
      </w:r>
      <w:r>
        <w:t xml:space="preserve"> </w:t>
      </w:r>
      <w:r w:rsidRPr="00954556">
        <w:rPr>
          <w:i/>
          <w:iCs/>
        </w:rPr>
        <w:t>See</w:t>
      </w:r>
      <w:r>
        <w:t xml:space="preserve">, </w:t>
      </w:r>
      <w:r w:rsidRPr="00954556">
        <w:rPr>
          <w:i/>
          <w:iCs/>
        </w:rPr>
        <w:t>e.g.</w:t>
      </w:r>
      <w:r>
        <w:t xml:space="preserve">, Critical Hub Networks Feb. 24, 2020 </w:t>
      </w:r>
      <w:r w:rsidRPr="00954556">
        <w:rPr>
          <w:i/>
          <w:iCs/>
        </w:rPr>
        <w:t>Ex Parte</w:t>
      </w:r>
      <w:r>
        <w:t xml:space="preserve"> Letter at 1.</w:t>
      </w:r>
    </w:p>
  </w:footnote>
  <w:footnote w:id="101">
    <w:p w:rsidR="00EF7847" w:rsidP="00207EA3" w14:paraId="65ECF6B8" w14:textId="77777777">
      <w:pPr>
        <w:pStyle w:val="FootnoteText"/>
      </w:pPr>
      <w:r>
        <w:rPr>
          <w:rStyle w:val="FootnoteReference"/>
        </w:rPr>
        <w:footnoteRef/>
      </w:r>
      <w:r>
        <w:t xml:space="preserve"> </w:t>
      </w:r>
      <w:r w:rsidRPr="008449B1">
        <w:rPr>
          <w:i/>
          <w:iCs/>
        </w:rPr>
        <w:t>Rural Digital Opportunity Fund</w:t>
      </w:r>
      <w:r>
        <w:rPr>
          <w:i/>
          <w:iCs/>
        </w:rPr>
        <w:t xml:space="preserve"> Order</w:t>
      </w:r>
      <w:r>
        <w:t>, 35 FCC Rcd at 729, para. 97.</w:t>
      </w:r>
    </w:p>
  </w:footnote>
  <w:footnote w:id="102">
    <w:p w:rsidR="00EF7847" w:rsidRPr="008449B1" w:rsidP="00207EA3" w14:paraId="4EC1ED60" w14:textId="77777777">
      <w:pPr>
        <w:pStyle w:val="FootnoteText"/>
      </w:pPr>
      <w:r>
        <w:rPr>
          <w:rStyle w:val="FootnoteReference"/>
        </w:rPr>
        <w:footnoteRef/>
      </w:r>
      <w:r>
        <w:t xml:space="preserve"> </w:t>
      </w:r>
      <w:r>
        <w:rPr>
          <w:i/>
          <w:iCs/>
        </w:rPr>
        <w:t xml:space="preserve">Id. </w:t>
      </w:r>
      <w:r w:rsidRPr="001544BE">
        <w:t xml:space="preserve">at </w:t>
      </w:r>
      <w:r>
        <w:t>731, para. 105.</w:t>
      </w:r>
    </w:p>
  </w:footnote>
  <w:footnote w:id="103">
    <w:p w:rsidR="00EF7847" w:rsidP="00207EA3" w14:paraId="00BC515F" w14:textId="77777777">
      <w:pPr>
        <w:pStyle w:val="FootnoteText"/>
      </w:pPr>
      <w:r>
        <w:rPr>
          <w:rStyle w:val="FootnoteReference"/>
        </w:rPr>
        <w:footnoteRef/>
      </w:r>
      <w:r>
        <w:t xml:space="preserve"> Coalition Waiver Request at 5; </w:t>
      </w:r>
      <w:r w:rsidRPr="00D10250">
        <w:rPr>
          <w:i/>
          <w:iCs/>
        </w:rPr>
        <w:t>see also</w:t>
      </w:r>
      <w:r>
        <w:t xml:space="preserve"> PSRB Comments at 1 (expressing support so that “all potential providers can have a reasonable opportunity of accessing the Uniendo a [Puerto Rico] and the Connect USVI Fund while assuring that most resources go towards building resilient, quality networks”).</w:t>
      </w:r>
    </w:p>
  </w:footnote>
  <w:footnote w:id="104">
    <w:p w:rsidR="00EF7847" w:rsidP="00795B4E" w14:paraId="538A66A7" w14:textId="77777777">
      <w:pPr>
        <w:pStyle w:val="FootnoteText"/>
      </w:pPr>
      <w:r>
        <w:rPr>
          <w:rStyle w:val="FootnoteReference"/>
        </w:rPr>
        <w:footnoteRef/>
      </w:r>
      <w:r>
        <w:t xml:space="preserve"> Coalition Waiver Request at 11 (citing the economic environment for adoption of modified letter of credit value).</w:t>
      </w:r>
    </w:p>
  </w:footnote>
  <w:footnote w:id="105">
    <w:p w:rsidR="00EF7847" w:rsidP="00795B4E" w14:paraId="7F90F6E6" w14:textId="77777777">
      <w:pPr>
        <w:pStyle w:val="FootnoteText"/>
      </w:pPr>
      <w:r>
        <w:rPr>
          <w:rStyle w:val="FootnoteReference"/>
        </w:rPr>
        <w:footnoteRef/>
      </w:r>
      <w:r>
        <w:t xml:space="preserve"> </w:t>
      </w:r>
      <w:r w:rsidRPr="00C30CB0">
        <w:rPr>
          <w:i/>
          <w:iCs/>
        </w:rPr>
        <w:t>See</w:t>
      </w:r>
      <w:r>
        <w:t xml:space="preserve">, </w:t>
      </w:r>
      <w:r w:rsidRPr="00C30CB0">
        <w:rPr>
          <w:i/>
          <w:iCs/>
        </w:rPr>
        <w:t>e.g.</w:t>
      </w:r>
      <w:r>
        <w:t>, Coalition Reply Comments at 10-11 (noting disproportionate amount of bank fees for letters of credit of Skybeam, LLC).</w:t>
      </w:r>
    </w:p>
  </w:footnote>
  <w:footnote w:id="106">
    <w:p w:rsidR="00EF7847" w:rsidP="0066414B" w14:paraId="775CBFE0" w14:textId="77777777">
      <w:pPr>
        <w:pStyle w:val="FootnoteText"/>
      </w:pPr>
      <w:r>
        <w:rPr>
          <w:rStyle w:val="FootnoteReference"/>
        </w:rPr>
        <w:footnoteRef/>
      </w:r>
      <w:r>
        <w:t xml:space="preserve"> </w:t>
      </w:r>
      <w:r w:rsidRPr="008449B1">
        <w:rPr>
          <w:i/>
          <w:iCs/>
        </w:rPr>
        <w:t>Rural Digital Opportunity Fund</w:t>
      </w:r>
      <w:r>
        <w:rPr>
          <w:i/>
          <w:iCs/>
        </w:rPr>
        <w:t xml:space="preserve"> Order</w:t>
      </w:r>
      <w:r>
        <w:t>, 35 FCC Rcd at 731, para. 105.</w:t>
      </w:r>
    </w:p>
  </w:footnote>
  <w:footnote w:id="107">
    <w:p w:rsidR="00EF7847" w:rsidRPr="00507EB7" w:rsidP="0066414B" w14:paraId="3C39EAFD" w14:textId="77777777">
      <w:pPr>
        <w:pStyle w:val="FootnoteText"/>
        <w:rPr>
          <w:i/>
          <w:iCs/>
        </w:rPr>
      </w:pPr>
      <w:r>
        <w:rPr>
          <w:rStyle w:val="FootnoteReference"/>
        </w:rPr>
        <w:footnoteRef/>
      </w:r>
      <w:r w:rsidR="00FE390D">
        <w:t xml:space="preserve"> </w:t>
      </w:r>
      <w:r w:rsidR="00344E04">
        <w:t>47 CFR § 54.</w:t>
      </w:r>
      <w:r w:rsidR="00FE390D">
        <w:t>1506</w:t>
      </w:r>
      <w:r>
        <w:t xml:space="preserve">.  </w:t>
      </w:r>
      <w:r>
        <w:rPr>
          <w:i/>
          <w:iCs/>
        </w:rPr>
        <w:t xml:space="preserve">See also </w:t>
      </w:r>
      <w:r w:rsidR="00344E04">
        <w:t xml:space="preserve">47 CFR § 54.804(c)(1)(v); </w:t>
      </w:r>
      <w:r w:rsidRPr="008449B1">
        <w:rPr>
          <w:i/>
          <w:iCs/>
        </w:rPr>
        <w:t>Rural Digital Opportunity Fund</w:t>
      </w:r>
      <w:r>
        <w:rPr>
          <w:i/>
          <w:iCs/>
        </w:rPr>
        <w:t xml:space="preserve"> Order</w:t>
      </w:r>
      <w:r>
        <w:t>, 35 FCC Rcd at 730, para. 99.</w:t>
      </w:r>
    </w:p>
  </w:footnote>
  <w:footnote w:id="108">
    <w:p w:rsidR="00EF7847" w:rsidP="00F6076D" w14:paraId="14F8B412" w14:textId="77777777">
      <w:pPr>
        <w:pStyle w:val="FootnoteText"/>
      </w:pPr>
      <w:r>
        <w:rPr>
          <w:rStyle w:val="FootnoteReference"/>
        </w:rPr>
        <w:footnoteRef/>
      </w:r>
      <w:r>
        <w:t xml:space="preserve"> Coalition Reply Comments</w:t>
      </w:r>
      <w:r w:rsidR="00A350E8">
        <w:t xml:space="preserve"> at 8</w:t>
      </w:r>
      <w:r>
        <w:t>.</w:t>
      </w:r>
    </w:p>
  </w:footnote>
  <w:footnote w:id="109">
    <w:p w:rsidR="00EF7847" w14:paraId="2420C6F2" w14:textId="77777777">
      <w:pPr>
        <w:pStyle w:val="FootnoteText"/>
      </w:pPr>
      <w:r>
        <w:rPr>
          <w:rStyle w:val="FootnoteReference"/>
        </w:rPr>
        <w:footnoteRef/>
      </w:r>
      <w:r>
        <w:t xml:space="preserve"> </w:t>
      </w:r>
      <w:r w:rsidRPr="00F820D5">
        <w:rPr>
          <w:i/>
          <w:iCs/>
        </w:rPr>
        <w:t>See</w:t>
      </w:r>
      <w:r>
        <w:t xml:space="preserve"> Fernandez-Navarro Apr. 26, 2020 Comments at 2 (urging removal of barriers that lessen competition); Coalition Reply Comments at 8.</w:t>
      </w:r>
    </w:p>
  </w:footnote>
  <w:footnote w:id="110">
    <w:p w:rsidR="00EF7847" w14:paraId="187CF26E" w14:textId="77777777">
      <w:pPr>
        <w:pStyle w:val="FootnoteText"/>
      </w:pPr>
      <w:r>
        <w:rPr>
          <w:rStyle w:val="FootnoteReference"/>
        </w:rPr>
        <w:footnoteRef/>
      </w:r>
      <w:r>
        <w:t xml:space="preserve"> Coalition Waiver Request at 10 (noting the financial certainty to be provided by the modified letter of credit value requirements prior to the start of the application process).   </w:t>
      </w:r>
    </w:p>
  </w:footnote>
  <w:footnote w:id="111">
    <w:p w:rsidR="00EF7847" w14:paraId="0C6D2880" w14:textId="77777777">
      <w:pPr>
        <w:pStyle w:val="FootnoteText"/>
      </w:pPr>
      <w:r>
        <w:rPr>
          <w:rStyle w:val="FootnoteReference"/>
        </w:rPr>
        <w:footnoteRef/>
      </w:r>
      <w:r>
        <w:t xml:space="preserve"> Viya Apr. 29, 2020 Comments at 7; Comments on PR-USVI Fund Coalition Emergency Request for Waiver of Puerto Rico Telephone Company, WC Docket No. 18-143, at 4-5 (filed Apr. 29, 2020) (PRTC Apr. 29, 2020 Comments).</w:t>
      </w:r>
    </w:p>
  </w:footnote>
  <w:footnote w:id="112">
    <w:p w:rsidR="00FD10A7" w14:paraId="52B7755D" w14:textId="77777777">
      <w:pPr>
        <w:pStyle w:val="FootnoteText"/>
      </w:pPr>
      <w:r>
        <w:rPr>
          <w:rStyle w:val="FootnoteReference"/>
        </w:rPr>
        <w:footnoteRef/>
      </w:r>
      <w:r>
        <w:t xml:space="preserve"> Viya Apr. 29, 2020 Comments at 7.</w:t>
      </w:r>
    </w:p>
  </w:footnote>
  <w:footnote w:id="113">
    <w:p w:rsidR="00EF7847" w14:paraId="631E59D5" w14:textId="77777777">
      <w:pPr>
        <w:pStyle w:val="FootnoteText"/>
      </w:pPr>
      <w:r>
        <w:rPr>
          <w:rStyle w:val="FootnoteReference"/>
        </w:rPr>
        <w:footnoteRef/>
      </w:r>
      <w:r>
        <w:t xml:space="preserve"> </w:t>
      </w:r>
      <w:r w:rsidRPr="008D39AB">
        <w:rPr>
          <w:i/>
          <w:iCs/>
        </w:rPr>
        <w:t>Rural Digital Opportunity Fund Order</w:t>
      </w:r>
      <w:r>
        <w:t>, 35 FCC Rcd at 729, paras. 96, 97.</w:t>
      </w:r>
    </w:p>
  </w:footnote>
  <w:footnote w:id="114">
    <w:p w:rsidR="00EF7847" w14:paraId="1E69338C" w14:textId="77777777">
      <w:pPr>
        <w:pStyle w:val="FootnoteText"/>
      </w:pPr>
      <w:r>
        <w:rPr>
          <w:rStyle w:val="FootnoteReference"/>
        </w:rPr>
        <w:footnoteRef/>
      </w:r>
      <w:r>
        <w:t xml:space="preserve"> Viya Apr. 29, 2020 Opposition at 8.</w:t>
      </w:r>
    </w:p>
  </w:footnote>
  <w:footnote w:id="115">
    <w:p w:rsidR="00EF7847" w:rsidP="006A067D" w14:paraId="44EB3C4E" w14:textId="77777777">
      <w:pPr>
        <w:pStyle w:val="FootnoteText"/>
      </w:pPr>
      <w:r>
        <w:rPr>
          <w:rStyle w:val="FootnoteReference"/>
        </w:rPr>
        <w:footnoteRef/>
      </w:r>
      <w:r>
        <w:t xml:space="preserve"> </w:t>
      </w:r>
      <w:r w:rsidRPr="00EF427D">
        <w:rPr>
          <w:i/>
          <w:iCs/>
        </w:rPr>
        <w:t>PR-USVI Stage 2 Order</w:t>
      </w:r>
      <w:r>
        <w:t>, 34 FCC Rcd at 9151, para. 76.</w:t>
      </w:r>
    </w:p>
  </w:footnote>
  <w:footnote w:id="116">
    <w:p w:rsidR="00EF7847" w14:paraId="0F7549E4" w14:textId="77777777">
      <w:pPr>
        <w:pStyle w:val="FootnoteText"/>
      </w:pPr>
      <w:r>
        <w:rPr>
          <w:rStyle w:val="FootnoteReference"/>
        </w:rPr>
        <w:footnoteRef/>
      </w:r>
      <w:r>
        <w:t xml:space="preserve"> </w:t>
      </w:r>
      <w:r w:rsidRPr="008D39AB">
        <w:rPr>
          <w:i/>
          <w:iCs/>
        </w:rPr>
        <w:t>Rural Digital Opportunity Fund Order</w:t>
      </w:r>
      <w:r>
        <w:t>, 35 FCC Rcd at 729, para. 97.</w:t>
      </w:r>
    </w:p>
  </w:footnote>
  <w:footnote w:id="117">
    <w:p w:rsidR="00EF7847" w:rsidP="006A4F8F" w14:paraId="21A0633B" w14:textId="77777777">
      <w:pPr>
        <w:pStyle w:val="FootnoteText"/>
      </w:pPr>
      <w:r>
        <w:rPr>
          <w:rStyle w:val="FootnoteReference"/>
        </w:rPr>
        <w:footnoteRef/>
      </w:r>
      <w:r>
        <w:t xml:space="preserve"> </w:t>
      </w:r>
      <w:r w:rsidRPr="00AB5E0B">
        <w:rPr>
          <w:i/>
          <w:iCs/>
        </w:rPr>
        <w:t>See</w:t>
      </w:r>
      <w:r>
        <w:t xml:space="preserve"> </w:t>
      </w:r>
      <w:r w:rsidRPr="00703754">
        <w:rPr>
          <w:i/>
          <w:iCs/>
        </w:rPr>
        <w:t>PR-USVI Stage 2 Order</w:t>
      </w:r>
      <w:r>
        <w:t>, 34 FCC Rcd at 9134-35, para. 41, n.157 (explaining that the prior experience of applicants establishes a heightened baseline of pertinent experience to deny imposition of requirements that create added costs and delay in implementing Stage 2 fixed support).</w:t>
      </w:r>
    </w:p>
  </w:footnote>
  <w:footnote w:id="118">
    <w:p w:rsidR="00EF7847" w14:paraId="210B9924" w14:textId="77777777">
      <w:pPr>
        <w:pStyle w:val="FootnoteText"/>
      </w:pPr>
      <w:r>
        <w:rPr>
          <w:rStyle w:val="FootnoteReference"/>
        </w:rPr>
        <w:footnoteRef/>
      </w:r>
      <w:r>
        <w:t xml:space="preserve"> </w:t>
      </w:r>
      <w:r w:rsidRPr="008D39AB">
        <w:rPr>
          <w:i/>
          <w:iCs/>
        </w:rPr>
        <w:t>Rural Digital Opportunity Fund Order</w:t>
      </w:r>
      <w:r>
        <w:t>, 35 FCC Rcd at 730, paras. 100-101.</w:t>
      </w:r>
    </w:p>
  </w:footnote>
  <w:footnote w:id="119">
    <w:p w:rsidR="00EF7847" w14:paraId="54FEB139" w14:textId="77777777">
      <w:pPr>
        <w:pStyle w:val="FootnoteText"/>
      </w:pPr>
      <w:r>
        <w:rPr>
          <w:rStyle w:val="FootnoteReference"/>
        </w:rPr>
        <w:footnoteRef/>
      </w:r>
      <w:r>
        <w:t xml:space="preserve"> Coalition Waiver Request at 1.</w:t>
      </w:r>
    </w:p>
  </w:footnote>
  <w:footnote w:id="120">
    <w:p w:rsidR="00392C7F" w:rsidRPr="007F0B42" w14:paraId="49E1CBEC" w14:textId="77777777">
      <w:pPr>
        <w:pStyle w:val="FootnoteText"/>
      </w:pPr>
      <w:r>
        <w:rPr>
          <w:rStyle w:val="FootnoteReference"/>
        </w:rPr>
        <w:footnoteRef/>
      </w:r>
      <w:r>
        <w:t xml:space="preserve"> </w:t>
      </w:r>
      <w:r w:rsidR="007F0B42">
        <w:t xml:space="preserve">47 CFR </w:t>
      </w:r>
      <w:r w:rsidRPr="0019242C" w:rsidR="004A3705">
        <w:t>§</w:t>
      </w:r>
      <w:r w:rsidR="004A3705">
        <w:t xml:space="preserve"> 1508(d)(6).</w:t>
      </w:r>
    </w:p>
  </w:footnote>
  <w:footnote w:id="121">
    <w:p w:rsidR="00EF7847" w14:paraId="7658EC01" w14:textId="77777777">
      <w:pPr>
        <w:pStyle w:val="FootnoteText"/>
      </w:pPr>
      <w:r>
        <w:rPr>
          <w:rStyle w:val="FootnoteReference"/>
        </w:rPr>
        <w:footnoteRef/>
      </w:r>
      <w:r>
        <w:t xml:space="preserve"> </w:t>
      </w:r>
      <w:r w:rsidR="00576E90">
        <w:t xml:space="preserve">Coalition Waiver Request </w:t>
      </w:r>
      <w:r>
        <w:t>at 12-15.</w:t>
      </w:r>
    </w:p>
  </w:footnote>
  <w:footnote w:id="122">
    <w:p w:rsidR="00EF7847" w14:paraId="4C62E94F" w14:textId="77777777">
      <w:pPr>
        <w:pStyle w:val="FootnoteText"/>
      </w:pPr>
      <w:r>
        <w:rPr>
          <w:rStyle w:val="FootnoteReference"/>
        </w:rPr>
        <w:footnoteRef/>
      </w:r>
      <w:r>
        <w:t xml:space="preserve"> </w:t>
      </w:r>
      <w:r w:rsidR="00576E90">
        <w:t>Coalition Waiver Request</w:t>
      </w:r>
      <w:r>
        <w:t xml:space="preserve"> at 11-12.</w:t>
      </w:r>
    </w:p>
  </w:footnote>
  <w:footnote w:id="123">
    <w:p w:rsidR="00731248" w14:paraId="099D5AC9" w14:textId="77777777">
      <w:pPr>
        <w:pStyle w:val="FootnoteText"/>
      </w:pPr>
      <w:r>
        <w:rPr>
          <w:rStyle w:val="FootnoteReference"/>
        </w:rPr>
        <w:footnoteRef/>
      </w:r>
      <w:r>
        <w:t xml:space="preserve"> </w:t>
      </w:r>
      <w:r w:rsidR="00576E90">
        <w:t>Coalition Waiver Request</w:t>
      </w:r>
      <w:r>
        <w:t xml:space="preserve"> at 11-15; Worldnet </w:t>
      </w:r>
      <w:r w:rsidR="00EC4DB1">
        <w:t>Apr. 23, 2020 Comments</w:t>
      </w:r>
      <w:r w:rsidR="00690881">
        <w:t xml:space="preserve">; CNR Comments; </w:t>
      </w:r>
      <w:r>
        <w:t xml:space="preserve">Comments in Support of PR-USVI Fund Coalition Emergency Request for Waiver of Cancio, Nadal &amp; Rivera, L.L.C., WC Docket No. 18-143 (filed Apr. 29, 2020); </w:t>
      </w:r>
      <w:r w:rsidR="003E0A70">
        <w:t>CORE Telecom Comments;</w:t>
      </w:r>
      <w:r>
        <w:t xml:space="preserve"> </w:t>
      </w:r>
      <w:r w:rsidR="003E0A70">
        <w:t xml:space="preserve">Aguirre </w:t>
      </w:r>
      <w:r>
        <w:t>Comments; Rivero</w:t>
      </w:r>
      <w:r w:rsidR="00225046">
        <w:t xml:space="preserve"> Comments</w:t>
      </w:r>
      <w:r>
        <w:t>; Santiago</w:t>
      </w:r>
      <w:r w:rsidR="00267941">
        <w:t xml:space="preserve"> Comments</w:t>
      </w:r>
      <w:r>
        <w:t>; Oriental Bank</w:t>
      </w:r>
      <w:r w:rsidR="00D42EA7">
        <w:t xml:space="preserve"> Comments</w:t>
      </w:r>
      <w:r>
        <w:t xml:space="preserve">; Fernandez-Navarro Apr. 26, 2020 Comments; </w:t>
      </w:r>
      <w:r w:rsidR="005E6474">
        <w:t>WISPA Comments</w:t>
      </w:r>
      <w:r>
        <w:t>.</w:t>
      </w:r>
    </w:p>
  </w:footnote>
  <w:footnote w:id="124">
    <w:p w:rsidR="00EF7847" w:rsidP="00AA06C7" w14:paraId="74B097C0" w14:textId="77777777">
      <w:pPr>
        <w:pStyle w:val="FootnoteText"/>
      </w:pPr>
      <w:r>
        <w:rPr>
          <w:rStyle w:val="FootnoteReference"/>
        </w:rPr>
        <w:footnoteRef/>
      </w:r>
      <w:r>
        <w:t xml:space="preserve"> Further, we do not find good cause to waive the commitment letter and Weiss safety rating.  As a result of the relief provided by the adoption of lower amounts for letters of credit, we expect that Coalition members and prospective Stage 2 applicants will be able to more easily obtain the required letter of credit commitment letter from an eligible bank at a lower cost.</w:t>
      </w:r>
    </w:p>
  </w:footnote>
  <w:footnote w:id="125">
    <w:p w:rsidR="00EF7847" w14:paraId="35BA8C93" w14:textId="77777777">
      <w:pPr>
        <w:pStyle w:val="FootnoteText"/>
      </w:pPr>
      <w:r>
        <w:rPr>
          <w:rStyle w:val="FootnoteReference"/>
        </w:rPr>
        <w:footnoteRef/>
      </w:r>
      <w:r>
        <w:t xml:space="preserve"> Coalition Waiver Request at 11</w:t>
      </w:r>
      <w:r w:rsidR="00262A07">
        <w:t>.</w:t>
      </w:r>
      <w:r>
        <w:t xml:space="preserve"> </w:t>
      </w:r>
    </w:p>
  </w:footnote>
  <w:footnote w:id="126">
    <w:p w:rsidR="00EF7847" w14:paraId="50AFA590" w14:textId="77777777">
      <w:pPr>
        <w:pStyle w:val="FootnoteText"/>
      </w:pPr>
      <w:r>
        <w:rPr>
          <w:rStyle w:val="FootnoteReference"/>
        </w:rPr>
        <w:footnoteRef/>
      </w:r>
      <w:r>
        <w:t xml:space="preserve"> </w:t>
      </w:r>
      <w:r w:rsidRPr="00A46AEB">
        <w:rPr>
          <w:i/>
          <w:iCs/>
        </w:rPr>
        <w:t>Id</w:t>
      </w:r>
      <w:r>
        <w:t xml:space="preserve">. at 4, 7, 11 (providing that “[t]here are no banks based in the territories that currently meet the Commission’s Weiss-rated eligibility requirements, and mainland banks are reluctant to provide irrevocable letters of credit for construction” and “[t]here are no banks based in the Territories that meet the Weiss bank safety rating of B- or better”).  </w:t>
      </w:r>
      <w:r w:rsidRPr="00504780">
        <w:rPr>
          <w:i/>
          <w:iCs/>
        </w:rPr>
        <w:t>See also</w:t>
      </w:r>
      <w:r>
        <w:t xml:space="preserve"> Critical Hub Networks Feb. 24, 2020 </w:t>
      </w:r>
      <w:r w:rsidRPr="00504780">
        <w:rPr>
          <w:i/>
          <w:iCs/>
        </w:rPr>
        <w:t>Ex Parte</w:t>
      </w:r>
      <w:r>
        <w:t xml:space="preserve"> Letter (providing that “[t]here are only three banks in Puerto Rico . . ., none of which has a Weiss B- rating”).  It is unclear whether the Coalition’s argument focuses on banks headquartered or chartered in the Territories or, as our rules require, “any United States bank.”  47 CFR 54.1508(c)(1).</w:t>
      </w:r>
    </w:p>
  </w:footnote>
  <w:footnote w:id="127">
    <w:p w:rsidR="00EF7847" w14:paraId="7D6F6E0F" w14:textId="77777777">
      <w:pPr>
        <w:pStyle w:val="FootnoteText"/>
      </w:pPr>
      <w:r>
        <w:rPr>
          <w:rStyle w:val="FootnoteReference"/>
        </w:rPr>
        <w:footnoteRef/>
      </w:r>
      <w:r>
        <w:t xml:space="preserve"> </w:t>
      </w:r>
      <w:r w:rsidR="0002515B">
        <w:t xml:space="preserve">At the time of release of this </w:t>
      </w:r>
      <w:r w:rsidRPr="00576E90" w:rsidR="0002515B">
        <w:rPr>
          <w:i/>
          <w:iCs/>
        </w:rPr>
        <w:t>Order</w:t>
      </w:r>
      <w:r w:rsidR="0002515B">
        <w:t xml:space="preserve">, </w:t>
      </w:r>
      <w:r w:rsidR="007E3225">
        <w:t xml:space="preserve">USAC </w:t>
      </w:r>
      <w:r w:rsidR="007F74F3">
        <w:t xml:space="preserve">has confirmed the presence of </w:t>
      </w:r>
      <w:r w:rsidR="00576E90">
        <w:t xml:space="preserve">at least four </w:t>
      </w:r>
      <w:r w:rsidR="00D86073">
        <w:t xml:space="preserve">banks with </w:t>
      </w:r>
      <w:r w:rsidR="005C6ED2">
        <w:t>a Weiss safety rating of B- or better</w:t>
      </w:r>
      <w:r w:rsidR="00EB0313">
        <w:t xml:space="preserve"> in Puerto Rico</w:t>
      </w:r>
      <w:r w:rsidR="00591B82">
        <w:t xml:space="preserve">.  </w:t>
      </w:r>
      <w:r w:rsidRPr="00154B92">
        <w:rPr>
          <w:i/>
          <w:iCs/>
        </w:rPr>
        <w:t>See</w:t>
      </w:r>
      <w:r>
        <w:t xml:space="preserve"> Weissratings.com.</w:t>
      </w:r>
    </w:p>
  </w:footnote>
  <w:footnote w:id="128">
    <w:p w:rsidR="00107DFB" w:rsidP="00107DFB" w14:paraId="36DE331B" w14:textId="77777777">
      <w:pPr>
        <w:pStyle w:val="FootnoteText"/>
      </w:pPr>
      <w:r>
        <w:rPr>
          <w:rStyle w:val="FootnoteReference"/>
        </w:rPr>
        <w:footnoteRef/>
      </w:r>
      <w:r>
        <w:t xml:space="preserve"> </w:t>
      </w:r>
      <w:r w:rsidRPr="00A952C5">
        <w:rPr>
          <w:i/>
          <w:iCs/>
        </w:rPr>
        <w:t>CAF Phase II Auction Order</w:t>
      </w:r>
      <w:r>
        <w:t>, 31 FCC Rcd at 5992-93, paras. 126-27 (expanding number of banks meeting the Commission’s eligibility requirements for issuing letters of credit and noting that there are approximately 3,600 banks eligible to issue letters of credit meeting the Commission’s requirements).</w:t>
      </w:r>
    </w:p>
  </w:footnote>
  <w:footnote w:id="129">
    <w:p w:rsidR="00EF7847" w:rsidP="000549E1" w14:paraId="055B5DD1" w14:textId="77777777">
      <w:pPr>
        <w:pStyle w:val="FootnoteText"/>
      </w:pPr>
      <w:r>
        <w:rPr>
          <w:rStyle w:val="FootnoteReference"/>
        </w:rPr>
        <w:footnoteRef/>
      </w:r>
      <w:r>
        <w:t xml:space="preserve"> Viya Apr. 29, 2020 Comments at 10 (quoting </w:t>
      </w:r>
      <w:r w:rsidRPr="00244C29">
        <w:rPr>
          <w:i/>
          <w:iCs/>
        </w:rPr>
        <w:t>Connect America Fund; ETC Annual Reports and Certifications; Rural Broadband Experiments, Report and Order and Further Notice of Proposed Rulemaking</w:t>
      </w:r>
      <w:r w:rsidRPr="00244C29">
        <w:t>, 31 FCC Rcd 5949,</w:t>
      </w:r>
      <w:r>
        <w:t xml:space="preserve"> 5993, para. 127 (2016)) (“’Weiss offers an independent and objective perspective of the safety of the banks it rates based on capitalization, asset quality, profitability, liquidity, and stability indexes’”); PRTC Apr. 29, 2020 Comments at 2 (arguing that the rules are intended “to ensure that applicants and recipients have the requisite financial resources needed to meet their obligations”); CoBank June 8, 2020 </w:t>
      </w:r>
      <w:r w:rsidRPr="00903236">
        <w:rPr>
          <w:i/>
          <w:iCs/>
        </w:rPr>
        <w:t>Ex Parte</w:t>
      </w:r>
      <w:r>
        <w:t xml:space="preserve"> Letter at 1 (noting that the safeguards “serve an important function in reviewing the viability of prospective funding recipients and their deployment proposals”).</w:t>
      </w:r>
    </w:p>
  </w:footnote>
  <w:footnote w:id="130">
    <w:p w:rsidR="00EF7847" w:rsidP="00F21F63" w14:paraId="1D2AC796" w14:textId="77777777">
      <w:pPr>
        <w:pStyle w:val="FootnoteText"/>
      </w:pPr>
      <w:r>
        <w:rPr>
          <w:rStyle w:val="FootnoteReference"/>
        </w:rPr>
        <w:footnoteRef/>
      </w:r>
      <w:r>
        <w:t xml:space="preserve"> </w:t>
      </w:r>
      <w:r w:rsidRPr="00A952C5">
        <w:rPr>
          <w:i/>
          <w:iCs/>
        </w:rPr>
        <w:t>CAF Phase II Auction Order</w:t>
      </w:r>
      <w:r>
        <w:t xml:space="preserve">, 31 FCC Rcd at 5996, para. 132.  </w:t>
      </w:r>
    </w:p>
  </w:footnote>
  <w:footnote w:id="131">
    <w:p w:rsidR="00EF7847" w14:paraId="0D3782DD" w14:textId="77777777">
      <w:pPr>
        <w:pStyle w:val="FootnoteText"/>
      </w:pPr>
      <w:r>
        <w:rPr>
          <w:rStyle w:val="FootnoteReference"/>
        </w:rPr>
        <w:footnoteRef/>
      </w:r>
      <w:r>
        <w:t xml:space="preserve"> </w:t>
      </w:r>
      <w:r w:rsidRPr="00D77C0D">
        <w:rPr>
          <w:i/>
          <w:iCs/>
        </w:rPr>
        <w:t>Id</w:t>
      </w:r>
      <w:r>
        <w:t>. at 5993, para. 127.</w:t>
      </w:r>
    </w:p>
  </w:footnote>
  <w:footnote w:id="132">
    <w:p w:rsidR="00EF7847" w:rsidRPr="00307009" w:rsidP="007A460A" w14:paraId="25A402B2" w14:textId="77777777">
      <w:pPr>
        <w:pStyle w:val="FootnoteText"/>
      </w:pPr>
      <w:r>
        <w:rPr>
          <w:rStyle w:val="FootnoteReference"/>
        </w:rPr>
        <w:footnoteRef/>
      </w:r>
      <w:r>
        <w:t xml:space="preserve"> </w:t>
      </w:r>
      <w:r w:rsidRPr="00646141">
        <w:rPr>
          <w:i/>
          <w:iCs/>
        </w:rPr>
        <w:t>See</w:t>
      </w:r>
      <w:r>
        <w:t xml:space="preserve"> </w:t>
      </w:r>
      <w:r w:rsidRPr="00A952C5">
        <w:rPr>
          <w:i/>
          <w:iCs/>
        </w:rPr>
        <w:t>CAF Phase II Auction Order</w:t>
      </w:r>
      <w:r>
        <w:t>, 31 FCC Rcd at 5993, para. 127 (expanding number of eligible banks that may issue letters of credit from 70 banks to approximately 3,600 banks for the CAF Phase II auction).  While the precise number of banks eligible to issue the requisite letter of credit may have changed, we believe there are enough eligible banks from which prospective Stage 2 fixed support recipients may seek a letter of credit.</w:t>
      </w:r>
    </w:p>
  </w:footnote>
  <w:footnote w:id="133">
    <w:p w:rsidR="00EF7847" w14:paraId="2008392A" w14:textId="77777777">
      <w:pPr>
        <w:pStyle w:val="FootnoteText"/>
      </w:pPr>
      <w:r>
        <w:rPr>
          <w:rStyle w:val="FootnoteReference"/>
        </w:rPr>
        <w:footnoteRef/>
      </w:r>
      <w:r>
        <w:t xml:space="preserve"> Coalition Waiver Request at 7.</w:t>
      </w:r>
    </w:p>
  </w:footnote>
  <w:footnote w:id="134">
    <w:p w:rsidR="00EF7847" w:rsidP="008B553D" w14:paraId="7685B335" w14:textId="77777777">
      <w:pPr>
        <w:pStyle w:val="FootnoteText"/>
      </w:pPr>
      <w:r>
        <w:rPr>
          <w:rStyle w:val="FootnoteReference"/>
        </w:rPr>
        <w:footnoteRef/>
      </w:r>
      <w:r>
        <w:t xml:space="preserve"> CoBank Jun. 8, 2020 </w:t>
      </w:r>
      <w:r w:rsidRPr="006B7BCB">
        <w:rPr>
          <w:i/>
          <w:iCs/>
        </w:rPr>
        <w:t>Ex Parte</w:t>
      </w:r>
      <w:r>
        <w:t xml:space="preserve"> Letter; PRTC Apr. 29, 2020 </w:t>
      </w:r>
      <w:r w:rsidRPr="00504780">
        <w:rPr>
          <w:i/>
          <w:iCs/>
        </w:rPr>
        <w:t>Ex Parte</w:t>
      </w:r>
      <w:r>
        <w:t xml:space="preserve"> Letter; Viya Apr. 29, 2020 Comments at 10-14.</w:t>
      </w:r>
    </w:p>
  </w:footnote>
  <w:footnote w:id="135">
    <w:p w:rsidR="00EF7847" w14:paraId="0238E5E1" w14:textId="77777777">
      <w:pPr>
        <w:pStyle w:val="FootnoteText"/>
      </w:pPr>
      <w:r>
        <w:rPr>
          <w:rStyle w:val="FootnoteReference"/>
        </w:rPr>
        <w:footnoteRef/>
      </w:r>
      <w:r>
        <w:t xml:space="preserve"> </w:t>
      </w:r>
      <w:r w:rsidRPr="00A952C5">
        <w:rPr>
          <w:i/>
          <w:iCs/>
        </w:rPr>
        <w:t>CAF Phase II Auction Order</w:t>
      </w:r>
      <w:r>
        <w:t>, 31 FCC Rcd at 5993, para. 127.</w:t>
      </w:r>
    </w:p>
  </w:footnote>
  <w:footnote w:id="136">
    <w:p w:rsidR="00EF7847" w:rsidP="008D1063" w14:paraId="5BD79252" w14:textId="77777777">
      <w:pPr>
        <w:pStyle w:val="FootnoteText"/>
      </w:pPr>
      <w:r>
        <w:rPr>
          <w:rStyle w:val="FootnoteReference"/>
        </w:rPr>
        <w:footnoteRef/>
      </w:r>
      <w:r>
        <w:t xml:space="preserve"> </w:t>
      </w:r>
      <w:r w:rsidRPr="001C4209">
        <w:rPr>
          <w:i/>
          <w:iCs/>
        </w:rPr>
        <w:t>See</w:t>
      </w:r>
      <w:r>
        <w:t xml:space="preserve"> </w:t>
      </w:r>
      <w:r w:rsidRPr="00AB33BE">
        <w:rPr>
          <w:i/>
          <w:iCs/>
        </w:rPr>
        <w:t>PR-USVI Stage 2 Order</w:t>
      </w:r>
      <w:r>
        <w:t>, 34 FCC Rcd at 9135, para. 41, n.157.</w:t>
      </w:r>
    </w:p>
  </w:footnote>
  <w:footnote w:id="137">
    <w:p w:rsidR="00EF7847" w14:paraId="78154CB9" w14:textId="77777777">
      <w:pPr>
        <w:pStyle w:val="FootnoteText"/>
      </w:pPr>
      <w:r>
        <w:rPr>
          <w:rStyle w:val="FootnoteReference"/>
        </w:rPr>
        <w:footnoteRef/>
      </w:r>
      <w:r>
        <w:t xml:space="preserve"> Viya Apr. 29, 2020 Comments at 13.</w:t>
      </w:r>
    </w:p>
  </w:footnote>
  <w:footnote w:id="138">
    <w:p w:rsidR="00EF7847" w:rsidP="0040538E" w14:paraId="642D4C7E" w14:textId="77777777">
      <w:pPr>
        <w:pStyle w:val="FootnoteText"/>
      </w:pPr>
      <w:r>
        <w:rPr>
          <w:rStyle w:val="FootnoteReference"/>
        </w:rPr>
        <w:footnoteRef/>
      </w:r>
      <w:r>
        <w:t xml:space="preserve"> CoBank June 8, 2020 </w:t>
      </w:r>
      <w:r w:rsidRPr="00D77C0D">
        <w:rPr>
          <w:i/>
          <w:iCs/>
        </w:rPr>
        <w:t>Ex Parte</w:t>
      </w:r>
      <w:r>
        <w:t xml:space="preserve"> Letter at 1.</w:t>
      </w:r>
    </w:p>
  </w:footnote>
  <w:footnote w:id="139">
    <w:p w:rsidR="00EF7847" w:rsidRPr="00A96769" w:rsidP="0040538E" w14:paraId="38DC5E35" w14:textId="77777777">
      <w:pPr>
        <w:pStyle w:val="FootnoteText"/>
      </w:pPr>
      <w:r>
        <w:rPr>
          <w:rStyle w:val="FootnoteReference"/>
        </w:rPr>
        <w:footnoteRef/>
      </w:r>
      <w:r>
        <w:t xml:space="preserve"> 47 CFR § 1505; </w:t>
      </w:r>
      <w:r w:rsidRPr="00BF5472" w:rsidR="00D062ED">
        <w:rPr>
          <w:i/>
          <w:iCs/>
        </w:rPr>
        <w:t xml:space="preserve">The </w:t>
      </w:r>
      <w:r>
        <w:rPr>
          <w:i/>
          <w:iCs/>
        </w:rPr>
        <w:t>Uniendo a Puerto Rico Fund and Connect USVI Fund Notice and Filing Requirements and Other Procedures for Stage 2 Fixed Competitive Proposal Process</w:t>
      </w:r>
      <w:r>
        <w:t>, Public Notice,</w:t>
      </w:r>
      <w:r w:rsidRPr="00B07B3E" w:rsidR="00B07B3E">
        <w:t xml:space="preserve"> 35 FCC Rcd 218</w:t>
      </w:r>
      <w:r w:rsidR="00B07B3E">
        <w:t>, 238,</w:t>
      </w:r>
      <w:r>
        <w:t xml:space="preserve"> para. 65 (2020); </w:t>
      </w:r>
      <w:r>
        <w:rPr>
          <w:i/>
          <w:iCs/>
        </w:rPr>
        <w:t>see</w:t>
      </w:r>
      <w:r>
        <w:t xml:space="preserve"> Viya Apr. 29, 2020 Comments at 13.</w:t>
      </w:r>
    </w:p>
  </w:footnote>
  <w:footnote w:id="140">
    <w:p w:rsidR="00EF7847" w14:paraId="7916E853" w14:textId="77777777">
      <w:pPr>
        <w:pStyle w:val="FootnoteText"/>
      </w:pPr>
      <w:r>
        <w:rPr>
          <w:rStyle w:val="FootnoteReference"/>
        </w:rPr>
        <w:footnoteRef/>
      </w:r>
      <w:r>
        <w:t xml:space="preserve"> </w:t>
      </w:r>
      <w:r w:rsidRPr="00D77C0D">
        <w:rPr>
          <w:i/>
          <w:iCs/>
        </w:rPr>
        <w:t>See</w:t>
      </w:r>
      <w:r>
        <w:t xml:space="preserve"> Gov. Bryan June 29, 2020 </w:t>
      </w:r>
      <w:r w:rsidRPr="00D77C0D">
        <w:rPr>
          <w:i/>
          <w:iCs/>
        </w:rPr>
        <w:t>Ex Parte</w:t>
      </w:r>
      <w:r>
        <w:t xml:space="preserve"> Letter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847" w:rsidP="00810B6F" w14:paraId="07A6C7D5" w14:textId="77777777">
    <w:pPr>
      <w:pStyle w:val="Header"/>
      <w:rPr>
        <w:b w:val="0"/>
      </w:rPr>
    </w:pPr>
    <w:r>
      <w:tab/>
      <w:t>Federal Communications Commission</w:t>
    </w:r>
    <w:r>
      <w:tab/>
    </w:r>
    <w:r w:rsidR="00F73337">
      <w:t>DA 20-</w:t>
    </w:r>
    <w:r w:rsidR="00C4342F">
      <w:t>838</w:t>
    </w:r>
  </w:p>
  <w:p w:rsidR="00EF7847" w14:paraId="244CE42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EF7847" w14:paraId="34D9D2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847" w:rsidP="00810B6F" w14:paraId="1AD63A4E"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r>
    <w:r w:rsidR="00E9514F">
      <w:t>DA 20-</w:t>
    </w:r>
    <w:r w:rsidR="00C4342F">
      <w:t>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203C1B46"/>
    <w:lvl w:ilvl="0">
      <w:start w:val="1"/>
      <w:numFmt w:val="upperRoman"/>
      <w:pStyle w:val="Heading1"/>
      <w:lvlText w:val="%1."/>
      <w:lvlJc w:val="left"/>
      <w:pPr>
        <w:tabs>
          <w:tab w:val="num" w:pos="2610"/>
        </w:tabs>
        <w:ind w:left="261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2D47F25"/>
    <w:multiLevelType w:val="hybridMultilevel"/>
    <w:tmpl w:val="FB3278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A8"/>
    <w:rsid w:val="00000B0D"/>
    <w:rsid w:val="00000DA6"/>
    <w:rsid w:val="00000EB5"/>
    <w:rsid w:val="0000200F"/>
    <w:rsid w:val="00002378"/>
    <w:rsid w:val="00002B2A"/>
    <w:rsid w:val="00003091"/>
    <w:rsid w:val="00003B46"/>
    <w:rsid w:val="00003E4C"/>
    <w:rsid w:val="0000407A"/>
    <w:rsid w:val="000042F0"/>
    <w:rsid w:val="00004768"/>
    <w:rsid w:val="00004BAD"/>
    <w:rsid w:val="00004E2B"/>
    <w:rsid w:val="00004EE2"/>
    <w:rsid w:val="000054D8"/>
    <w:rsid w:val="00005AC3"/>
    <w:rsid w:val="00005B4A"/>
    <w:rsid w:val="00005D24"/>
    <w:rsid w:val="00005D5D"/>
    <w:rsid w:val="00006152"/>
    <w:rsid w:val="0000631C"/>
    <w:rsid w:val="00006731"/>
    <w:rsid w:val="00007FE1"/>
    <w:rsid w:val="0001025C"/>
    <w:rsid w:val="000103C7"/>
    <w:rsid w:val="00010786"/>
    <w:rsid w:val="000109D0"/>
    <w:rsid w:val="0001117F"/>
    <w:rsid w:val="000119BC"/>
    <w:rsid w:val="000119EE"/>
    <w:rsid w:val="00012845"/>
    <w:rsid w:val="00012E15"/>
    <w:rsid w:val="00013C5F"/>
    <w:rsid w:val="00014734"/>
    <w:rsid w:val="00014A0E"/>
    <w:rsid w:val="000155AD"/>
    <w:rsid w:val="00015D97"/>
    <w:rsid w:val="000166F2"/>
    <w:rsid w:val="00016B52"/>
    <w:rsid w:val="00017136"/>
    <w:rsid w:val="00017408"/>
    <w:rsid w:val="0001763B"/>
    <w:rsid w:val="00017D6F"/>
    <w:rsid w:val="00020949"/>
    <w:rsid w:val="00020ABB"/>
    <w:rsid w:val="00020DEA"/>
    <w:rsid w:val="000213F7"/>
    <w:rsid w:val="00021A38"/>
    <w:rsid w:val="00021E02"/>
    <w:rsid w:val="00022329"/>
    <w:rsid w:val="00022594"/>
    <w:rsid w:val="000228D1"/>
    <w:rsid w:val="00023019"/>
    <w:rsid w:val="00023EC7"/>
    <w:rsid w:val="00024137"/>
    <w:rsid w:val="00024AA7"/>
    <w:rsid w:val="00024B11"/>
    <w:rsid w:val="0002504C"/>
    <w:rsid w:val="0002515B"/>
    <w:rsid w:val="00025220"/>
    <w:rsid w:val="0002599A"/>
    <w:rsid w:val="00025EE3"/>
    <w:rsid w:val="00026728"/>
    <w:rsid w:val="000269C3"/>
    <w:rsid w:val="00026A54"/>
    <w:rsid w:val="00027F44"/>
    <w:rsid w:val="0003052B"/>
    <w:rsid w:val="000306FD"/>
    <w:rsid w:val="00030AD7"/>
    <w:rsid w:val="00030E90"/>
    <w:rsid w:val="00030F14"/>
    <w:rsid w:val="00030F86"/>
    <w:rsid w:val="00030F98"/>
    <w:rsid w:val="0003122F"/>
    <w:rsid w:val="000317F8"/>
    <w:rsid w:val="00031CAE"/>
    <w:rsid w:val="00031F0A"/>
    <w:rsid w:val="00032343"/>
    <w:rsid w:val="000325A7"/>
    <w:rsid w:val="0003281B"/>
    <w:rsid w:val="00032F11"/>
    <w:rsid w:val="000332D2"/>
    <w:rsid w:val="00033DA0"/>
    <w:rsid w:val="00034019"/>
    <w:rsid w:val="000346E2"/>
    <w:rsid w:val="00034816"/>
    <w:rsid w:val="00034D7F"/>
    <w:rsid w:val="000351AB"/>
    <w:rsid w:val="00035571"/>
    <w:rsid w:val="00035975"/>
    <w:rsid w:val="00035C74"/>
    <w:rsid w:val="00036039"/>
    <w:rsid w:val="0003663F"/>
    <w:rsid w:val="00037232"/>
    <w:rsid w:val="00037B08"/>
    <w:rsid w:val="00037F90"/>
    <w:rsid w:val="000413F1"/>
    <w:rsid w:val="000417C4"/>
    <w:rsid w:val="00041FA8"/>
    <w:rsid w:val="000423C5"/>
    <w:rsid w:val="000424CA"/>
    <w:rsid w:val="000427A4"/>
    <w:rsid w:val="00042B27"/>
    <w:rsid w:val="00042CC9"/>
    <w:rsid w:val="000432EA"/>
    <w:rsid w:val="00043C87"/>
    <w:rsid w:val="00045A6C"/>
    <w:rsid w:val="0004616C"/>
    <w:rsid w:val="00046CE2"/>
    <w:rsid w:val="000477C4"/>
    <w:rsid w:val="00047A60"/>
    <w:rsid w:val="00047BDC"/>
    <w:rsid w:val="00050462"/>
    <w:rsid w:val="00050A77"/>
    <w:rsid w:val="00050B52"/>
    <w:rsid w:val="00050D8B"/>
    <w:rsid w:val="000517A2"/>
    <w:rsid w:val="00051E2D"/>
    <w:rsid w:val="000522E7"/>
    <w:rsid w:val="000527F1"/>
    <w:rsid w:val="00053166"/>
    <w:rsid w:val="00053591"/>
    <w:rsid w:val="00053808"/>
    <w:rsid w:val="00053931"/>
    <w:rsid w:val="000549E1"/>
    <w:rsid w:val="00054EB5"/>
    <w:rsid w:val="000555A9"/>
    <w:rsid w:val="000556F2"/>
    <w:rsid w:val="00055BE5"/>
    <w:rsid w:val="00055E9B"/>
    <w:rsid w:val="00056A90"/>
    <w:rsid w:val="00057315"/>
    <w:rsid w:val="00057854"/>
    <w:rsid w:val="00057C97"/>
    <w:rsid w:val="00057E32"/>
    <w:rsid w:val="0006043C"/>
    <w:rsid w:val="00060ACE"/>
    <w:rsid w:val="00060AE5"/>
    <w:rsid w:val="00060F94"/>
    <w:rsid w:val="000616EA"/>
    <w:rsid w:val="000622E6"/>
    <w:rsid w:val="00062322"/>
    <w:rsid w:val="00062B13"/>
    <w:rsid w:val="00063367"/>
    <w:rsid w:val="00063589"/>
    <w:rsid w:val="00063D7C"/>
    <w:rsid w:val="00064793"/>
    <w:rsid w:val="00064BAC"/>
    <w:rsid w:val="000650B3"/>
    <w:rsid w:val="00065A36"/>
    <w:rsid w:val="00065A60"/>
    <w:rsid w:val="00065C8B"/>
    <w:rsid w:val="000662B0"/>
    <w:rsid w:val="000664CB"/>
    <w:rsid w:val="00066623"/>
    <w:rsid w:val="00066B89"/>
    <w:rsid w:val="00066E2C"/>
    <w:rsid w:val="00066FC9"/>
    <w:rsid w:val="000670E3"/>
    <w:rsid w:val="00067677"/>
    <w:rsid w:val="00067A63"/>
    <w:rsid w:val="000712EB"/>
    <w:rsid w:val="00071C49"/>
    <w:rsid w:val="00071E6E"/>
    <w:rsid w:val="00072430"/>
    <w:rsid w:val="000732D4"/>
    <w:rsid w:val="00073324"/>
    <w:rsid w:val="00073B8F"/>
    <w:rsid w:val="0007446D"/>
    <w:rsid w:val="000746A7"/>
    <w:rsid w:val="00074A23"/>
    <w:rsid w:val="00074A77"/>
    <w:rsid w:val="00075252"/>
    <w:rsid w:val="000753ED"/>
    <w:rsid w:val="00075505"/>
    <w:rsid w:val="00075D85"/>
    <w:rsid w:val="00076846"/>
    <w:rsid w:val="0007689C"/>
    <w:rsid w:val="00076BCD"/>
    <w:rsid w:val="00076D90"/>
    <w:rsid w:val="000771FF"/>
    <w:rsid w:val="000777C0"/>
    <w:rsid w:val="00080086"/>
    <w:rsid w:val="000800E9"/>
    <w:rsid w:val="00080313"/>
    <w:rsid w:val="00080D44"/>
    <w:rsid w:val="00082A11"/>
    <w:rsid w:val="00082DAD"/>
    <w:rsid w:val="0008317F"/>
    <w:rsid w:val="00083955"/>
    <w:rsid w:val="00083A8A"/>
    <w:rsid w:val="00083D02"/>
    <w:rsid w:val="00083E44"/>
    <w:rsid w:val="0008406C"/>
    <w:rsid w:val="000840CF"/>
    <w:rsid w:val="0008449B"/>
    <w:rsid w:val="0008468E"/>
    <w:rsid w:val="00084DBB"/>
    <w:rsid w:val="00085154"/>
    <w:rsid w:val="00085524"/>
    <w:rsid w:val="00087295"/>
    <w:rsid w:val="000872A5"/>
    <w:rsid w:val="000875BF"/>
    <w:rsid w:val="00087972"/>
    <w:rsid w:val="00090122"/>
    <w:rsid w:val="00090A6D"/>
    <w:rsid w:val="00090B88"/>
    <w:rsid w:val="00090BC6"/>
    <w:rsid w:val="00090D28"/>
    <w:rsid w:val="0009123A"/>
    <w:rsid w:val="0009186B"/>
    <w:rsid w:val="00091895"/>
    <w:rsid w:val="000918F3"/>
    <w:rsid w:val="0009198E"/>
    <w:rsid w:val="00091AE7"/>
    <w:rsid w:val="000921E3"/>
    <w:rsid w:val="00092D89"/>
    <w:rsid w:val="00093711"/>
    <w:rsid w:val="0009375F"/>
    <w:rsid w:val="00093F61"/>
    <w:rsid w:val="00094387"/>
    <w:rsid w:val="0009455A"/>
    <w:rsid w:val="0009467A"/>
    <w:rsid w:val="00094D30"/>
    <w:rsid w:val="00095710"/>
    <w:rsid w:val="00095E96"/>
    <w:rsid w:val="00095F52"/>
    <w:rsid w:val="00095F55"/>
    <w:rsid w:val="00095FB6"/>
    <w:rsid w:val="000966FB"/>
    <w:rsid w:val="00096AA2"/>
    <w:rsid w:val="00096D8C"/>
    <w:rsid w:val="000973E0"/>
    <w:rsid w:val="0009752F"/>
    <w:rsid w:val="00097914"/>
    <w:rsid w:val="000A0837"/>
    <w:rsid w:val="000A09F1"/>
    <w:rsid w:val="000A0A63"/>
    <w:rsid w:val="000A0B10"/>
    <w:rsid w:val="000A0DC1"/>
    <w:rsid w:val="000A0DF7"/>
    <w:rsid w:val="000A0FCC"/>
    <w:rsid w:val="000A1109"/>
    <w:rsid w:val="000A1506"/>
    <w:rsid w:val="000A19FE"/>
    <w:rsid w:val="000A1A59"/>
    <w:rsid w:val="000A274A"/>
    <w:rsid w:val="000A2A90"/>
    <w:rsid w:val="000A3AB7"/>
    <w:rsid w:val="000A3B11"/>
    <w:rsid w:val="000A4F88"/>
    <w:rsid w:val="000A529F"/>
    <w:rsid w:val="000A56E4"/>
    <w:rsid w:val="000A5BC7"/>
    <w:rsid w:val="000A5E3F"/>
    <w:rsid w:val="000A60D7"/>
    <w:rsid w:val="000A6807"/>
    <w:rsid w:val="000A697D"/>
    <w:rsid w:val="000A6CB3"/>
    <w:rsid w:val="000A6E50"/>
    <w:rsid w:val="000A70FC"/>
    <w:rsid w:val="000A7A43"/>
    <w:rsid w:val="000A7CD8"/>
    <w:rsid w:val="000A7FAD"/>
    <w:rsid w:val="000B0A56"/>
    <w:rsid w:val="000B0CA1"/>
    <w:rsid w:val="000B1387"/>
    <w:rsid w:val="000B1B58"/>
    <w:rsid w:val="000B230F"/>
    <w:rsid w:val="000B2A72"/>
    <w:rsid w:val="000B2B78"/>
    <w:rsid w:val="000B3209"/>
    <w:rsid w:val="000B3467"/>
    <w:rsid w:val="000B38EC"/>
    <w:rsid w:val="000B4848"/>
    <w:rsid w:val="000B4BB8"/>
    <w:rsid w:val="000B4E1C"/>
    <w:rsid w:val="000B53B6"/>
    <w:rsid w:val="000B5509"/>
    <w:rsid w:val="000B5967"/>
    <w:rsid w:val="000B5ABD"/>
    <w:rsid w:val="000B5E9F"/>
    <w:rsid w:val="000B6234"/>
    <w:rsid w:val="000B63B1"/>
    <w:rsid w:val="000B653D"/>
    <w:rsid w:val="000B6674"/>
    <w:rsid w:val="000B7549"/>
    <w:rsid w:val="000B7613"/>
    <w:rsid w:val="000B7CF0"/>
    <w:rsid w:val="000B7CF3"/>
    <w:rsid w:val="000B7EAF"/>
    <w:rsid w:val="000C0021"/>
    <w:rsid w:val="000C00A3"/>
    <w:rsid w:val="000C02C9"/>
    <w:rsid w:val="000C098C"/>
    <w:rsid w:val="000C0B34"/>
    <w:rsid w:val="000C0B65"/>
    <w:rsid w:val="000C1326"/>
    <w:rsid w:val="000C15FC"/>
    <w:rsid w:val="000C1713"/>
    <w:rsid w:val="000C20F9"/>
    <w:rsid w:val="000C2CFC"/>
    <w:rsid w:val="000C320B"/>
    <w:rsid w:val="000C37D4"/>
    <w:rsid w:val="000C3A34"/>
    <w:rsid w:val="000C3C72"/>
    <w:rsid w:val="000C3D66"/>
    <w:rsid w:val="000C42D5"/>
    <w:rsid w:val="000C4C8D"/>
    <w:rsid w:val="000C4CF4"/>
    <w:rsid w:val="000C5977"/>
    <w:rsid w:val="000C6424"/>
    <w:rsid w:val="000C6BE3"/>
    <w:rsid w:val="000C7165"/>
    <w:rsid w:val="000C71B3"/>
    <w:rsid w:val="000C79E4"/>
    <w:rsid w:val="000C7A98"/>
    <w:rsid w:val="000D01AD"/>
    <w:rsid w:val="000D021E"/>
    <w:rsid w:val="000D07D3"/>
    <w:rsid w:val="000D0CBB"/>
    <w:rsid w:val="000D0FB3"/>
    <w:rsid w:val="000D1BC3"/>
    <w:rsid w:val="000D1F31"/>
    <w:rsid w:val="000D1FC5"/>
    <w:rsid w:val="000D21B0"/>
    <w:rsid w:val="000D2354"/>
    <w:rsid w:val="000D29FB"/>
    <w:rsid w:val="000D2D1B"/>
    <w:rsid w:val="000D3391"/>
    <w:rsid w:val="000D3C90"/>
    <w:rsid w:val="000D3CBD"/>
    <w:rsid w:val="000D402E"/>
    <w:rsid w:val="000D43CB"/>
    <w:rsid w:val="000D4410"/>
    <w:rsid w:val="000D4E70"/>
    <w:rsid w:val="000D54C1"/>
    <w:rsid w:val="000D5CFF"/>
    <w:rsid w:val="000D6110"/>
    <w:rsid w:val="000D713A"/>
    <w:rsid w:val="000D74DA"/>
    <w:rsid w:val="000D7855"/>
    <w:rsid w:val="000D7883"/>
    <w:rsid w:val="000D7E02"/>
    <w:rsid w:val="000E05FE"/>
    <w:rsid w:val="000E0AF2"/>
    <w:rsid w:val="000E1524"/>
    <w:rsid w:val="000E15F4"/>
    <w:rsid w:val="000E1884"/>
    <w:rsid w:val="000E1E10"/>
    <w:rsid w:val="000E2063"/>
    <w:rsid w:val="000E2464"/>
    <w:rsid w:val="000E26DF"/>
    <w:rsid w:val="000E39DD"/>
    <w:rsid w:val="000E3B77"/>
    <w:rsid w:val="000E3D42"/>
    <w:rsid w:val="000E3E91"/>
    <w:rsid w:val="000E42A9"/>
    <w:rsid w:val="000E448F"/>
    <w:rsid w:val="000E4863"/>
    <w:rsid w:val="000E4BDE"/>
    <w:rsid w:val="000E4E7B"/>
    <w:rsid w:val="000E4F81"/>
    <w:rsid w:val="000E515E"/>
    <w:rsid w:val="000E524F"/>
    <w:rsid w:val="000E5DD6"/>
    <w:rsid w:val="000E6A9B"/>
    <w:rsid w:val="000E6C24"/>
    <w:rsid w:val="000E6C75"/>
    <w:rsid w:val="000E6DF8"/>
    <w:rsid w:val="000E6F80"/>
    <w:rsid w:val="000E71D8"/>
    <w:rsid w:val="000E760C"/>
    <w:rsid w:val="000E7765"/>
    <w:rsid w:val="000E7DFA"/>
    <w:rsid w:val="000F0380"/>
    <w:rsid w:val="000F0AAD"/>
    <w:rsid w:val="000F0DEB"/>
    <w:rsid w:val="000F1925"/>
    <w:rsid w:val="000F199A"/>
    <w:rsid w:val="000F1B4B"/>
    <w:rsid w:val="000F1F70"/>
    <w:rsid w:val="000F2556"/>
    <w:rsid w:val="000F2B76"/>
    <w:rsid w:val="000F2D90"/>
    <w:rsid w:val="000F2E8D"/>
    <w:rsid w:val="000F3415"/>
    <w:rsid w:val="000F3425"/>
    <w:rsid w:val="000F3835"/>
    <w:rsid w:val="000F3DA8"/>
    <w:rsid w:val="000F4079"/>
    <w:rsid w:val="000F4361"/>
    <w:rsid w:val="000F4BE4"/>
    <w:rsid w:val="000F4C42"/>
    <w:rsid w:val="000F5125"/>
    <w:rsid w:val="000F5242"/>
    <w:rsid w:val="000F55B6"/>
    <w:rsid w:val="000F60FF"/>
    <w:rsid w:val="000F6294"/>
    <w:rsid w:val="000F6483"/>
    <w:rsid w:val="000F673B"/>
    <w:rsid w:val="000F6F9A"/>
    <w:rsid w:val="000F714A"/>
    <w:rsid w:val="000F7AC4"/>
    <w:rsid w:val="001002F4"/>
    <w:rsid w:val="0010063D"/>
    <w:rsid w:val="0010087B"/>
    <w:rsid w:val="00100D84"/>
    <w:rsid w:val="001015B5"/>
    <w:rsid w:val="001018E9"/>
    <w:rsid w:val="001019B9"/>
    <w:rsid w:val="00101C00"/>
    <w:rsid w:val="00101E87"/>
    <w:rsid w:val="001033C4"/>
    <w:rsid w:val="00103AB6"/>
    <w:rsid w:val="00103D37"/>
    <w:rsid w:val="001040CA"/>
    <w:rsid w:val="0010572E"/>
    <w:rsid w:val="001058C2"/>
    <w:rsid w:val="00105BB7"/>
    <w:rsid w:val="00105D0C"/>
    <w:rsid w:val="00105DFE"/>
    <w:rsid w:val="00106998"/>
    <w:rsid w:val="00107A21"/>
    <w:rsid w:val="00107DFB"/>
    <w:rsid w:val="0011060A"/>
    <w:rsid w:val="001106CB"/>
    <w:rsid w:val="001107A2"/>
    <w:rsid w:val="001109AB"/>
    <w:rsid w:val="00111078"/>
    <w:rsid w:val="0011163A"/>
    <w:rsid w:val="0011164A"/>
    <w:rsid w:val="00111C03"/>
    <w:rsid w:val="00111C1E"/>
    <w:rsid w:val="00112061"/>
    <w:rsid w:val="00112541"/>
    <w:rsid w:val="00112701"/>
    <w:rsid w:val="00112704"/>
    <w:rsid w:val="0011290D"/>
    <w:rsid w:val="00112A07"/>
    <w:rsid w:val="001136D1"/>
    <w:rsid w:val="00113B1F"/>
    <w:rsid w:val="00114262"/>
    <w:rsid w:val="0011473C"/>
    <w:rsid w:val="00115831"/>
    <w:rsid w:val="00115A4A"/>
    <w:rsid w:val="00115E34"/>
    <w:rsid w:val="00115EFF"/>
    <w:rsid w:val="00115F0E"/>
    <w:rsid w:val="0011639E"/>
    <w:rsid w:val="0011648F"/>
    <w:rsid w:val="00117155"/>
    <w:rsid w:val="00117BA0"/>
    <w:rsid w:val="00117DAC"/>
    <w:rsid w:val="00117DC1"/>
    <w:rsid w:val="00117ECD"/>
    <w:rsid w:val="001200EA"/>
    <w:rsid w:val="001209DF"/>
    <w:rsid w:val="00120AD3"/>
    <w:rsid w:val="00121491"/>
    <w:rsid w:val="00122341"/>
    <w:rsid w:val="00122447"/>
    <w:rsid w:val="00122BD5"/>
    <w:rsid w:val="00123093"/>
    <w:rsid w:val="00123152"/>
    <w:rsid w:val="001236D5"/>
    <w:rsid w:val="0012426E"/>
    <w:rsid w:val="001245FC"/>
    <w:rsid w:val="001249A4"/>
    <w:rsid w:val="001253FF"/>
    <w:rsid w:val="00125E5C"/>
    <w:rsid w:val="001272BD"/>
    <w:rsid w:val="0012734C"/>
    <w:rsid w:val="00127C44"/>
    <w:rsid w:val="00130027"/>
    <w:rsid w:val="001303E9"/>
    <w:rsid w:val="00132230"/>
    <w:rsid w:val="001322BB"/>
    <w:rsid w:val="001325A3"/>
    <w:rsid w:val="001325FF"/>
    <w:rsid w:val="00132AB9"/>
    <w:rsid w:val="00132D63"/>
    <w:rsid w:val="00132E00"/>
    <w:rsid w:val="00133C6A"/>
    <w:rsid w:val="00133EB3"/>
    <w:rsid w:val="00133F79"/>
    <w:rsid w:val="0013420D"/>
    <w:rsid w:val="00134539"/>
    <w:rsid w:val="001345E6"/>
    <w:rsid w:val="00134601"/>
    <w:rsid w:val="00134AA8"/>
    <w:rsid w:val="00134B8E"/>
    <w:rsid w:val="00134C37"/>
    <w:rsid w:val="001357B8"/>
    <w:rsid w:val="00136B26"/>
    <w:rsid w:val="00136B7F"/>
    <w:rsid w:val="00136DE4"/>
    <w:rsid w:val="00136FE4"/>
    <w:rsid w:val="00137113"/>
    <w:rsid w:val="00137210"/>
    <w:rsid w:val="001379C0"/>
    <w:rsid w:val="0014095A"/>
    <w:rsid w:val="00140C70"/>
    <w:rsid w:val="00140DB8"/>
    <w:rsid w:val="00140E73"/>
    <w:rsid w:val="00141095"/>
    <w:rsid w:val="00141EAA"/>
    <w:rsid w:val="0014230B"/>
    <w:rsid w:val="00142343"/>
    <w:rsid w:val="00142561"/>
    <w:rsid w:val="00142DA0"/>
    <w:rsid w:val="00142F7E"/>
    <w:rsid w:val="001432A4"/>
    <w:rsid w:val="00143AF0"/>
    <w:rsid w:val="00143DFA"/>
    <w:rsid w:val="00144077"/>
    <w:rsid w:val="00144107"/>
    <w:rsid w:val="00144B2D"/>
    <w:rsid w:val="00144C86"/>
    <w:rsid w:val="00144D9D"/>
    <w:rsid w:val="00145246"/>
    <w:rsid w:val="001457F6"/>
    <w:rsid w:val="00146141"/>
    <w:rsid w:val="00147D12"/>
    <w:rsid w:val="0015123D"/>
    <w:rsid w:val="001514F9"/>
    <w:rsid w:val="00151AD1"/>
    <w:rsid w:val="00151EB3"/>
    <w:rsid w:val="00151ED9"/>
    <w:rsid w:val="0015251A"/>
    <w:rsid w:val="0015273E"/>
    <w:rsid w:val="00152744"/>
    <w:rsid w:val="001539A2"/>
    <w:rsid w:val="00153A7C"/>
    <w:rsid w:val="00153E43"/>
    <w:rsid w:val="0015415B"/>
    <w:rsid w:val="001541D4"/>
    <w:rsid w:val="001544BE"/>
    <w:rsid w:val="00154551"/>
    <w:rsid w:val="00154942"/>
    <w:rsid w:val="00154B92"/>
    <w:rsid w:val="00154B9F"/>
    <w:rsid w:val="00154BF6"/>
    <w:rsid w:val="00155285"/>
    <w:rsid w:val="00155C47"/>
    <w:rsid w:val="00156268"/>
    <w:rsid w:val="0015666C"/>
    <w:rsid w:val="00157258"/>
    <w:rsid w:val="00157B00"/>
    <w:rsid w:val="00157EB6"/>
    <w:rsid w:val="0016093D"/>
    <w:rsid w:val="00160EFF"/>
    <w:rsid w:val="001612ED"/>
    <w:rsid w:val="00161318"/>
    <w:rsid w:val="001619A2"/>
    <w:rsid w:val="00161B67"/>
    <w:rsid w:val="00161BB5"/>
    <w:rsid w:val="00161DC4"/>
    <w:rsid w:val="0016274D"/>
    <w:rsid w:val="00162CFA"/>
    <w:rsid w:val="00163E79"/>
    <w:rsid w:val="00163ED3"/>
    <w:rsid w:val="001644E1"/>
    <w:rsid w:val="00164EE9"/>
    <w:rsid w:val="00164FAE"/>
    <w:rsid w:val="001651E5"/>
    <w:rsid w:val="001658BA"/>
    <w:rsid w:val="00165C40"/>
    <w:rsid w:val="00166127"/>
    <w:rsid w:val="00166186"/>
    <w:rsid w:val="0016641D"/>
    <w:rsid w:val="001666E2"/>
    <w:rsid w:val="00166775"/>
    <w:rsid w:val="00166A37"/>
    <w:rsid w:val="00166CEF"/>
    <w:rsid w:val="00166E0E"/>
    <w:rsid w:val="00166EDF"/>
    <w:rsid w:val="00166FE2"/>
    <w:rsid w:val="001673BC"/>
    <w:rsid w:val="001675F3"/>
    <w:rsid w:val="00167A41"/>
    <w:rsid w:val="00170555"/>
    <w:rsid w:val="00170CC0"/>
    <w:rsid w:val="00170E5B"/>
    <w:rsid w:val="001711B4"/>
    <w:rsid w:val="00171D74"/>
    <w:rsid w:val="0017256B"/>
    <w:rsid w:val="001725E0"/>
    <w:rsid w:val="0017317D"/>
    <w:rsid w:val="00173663"/>
    <w:rsid w:val="00174828"/>
    <w:rsid w:val="00174F2D"/>
    <w:rsid w:val="001753C8"/>
    <w:rsid w:val="00175721"/>
    <w:rsid w:val="001757F5"/>
    <w:rsid w:val="00175A02"/>
    <w:rsid w:val="0017621E"/>
    <w:rsid w:val="00176B57"/>
    <w:rsid w:val="00176EC5"/>
    <w:rsid w:val="0017746F"/>
    <w:rsid w:val="00177B38"/>
    <w:rsid w:val="001801EF"/>
    <w:rsid w:val="0018053C"/>
    <w:rsid w:val="00180727"/>
    <w:rsid w:val="00180A5D"/>
    <w:rsid w:val="00181180"/>
    <w:rsid w:val="001812BB"/>
    <w:rsid w:val="00181358"/>
    <w:rsid w:val="00182DAD"/>
    <w:rsid w:val="001835A6"/>
    <w:rsid w:val="00183F6D"/>
    <w:rsid w:val="0018481E"/>
    <w:rsid w:val="00184B3E"/>
    <w:rsid w:val="00184D3A"/>
    <w:rsid w:val="00185700"/>
    <w:rsid w:val="00185883"/>
    <w:rsid w:val="001866CF"/>
    <w:rsid w:val="00186899"/>
    <w:rsid w:val="00186BC5"/>
    <w:rsid w:val="00186BC8"/>
    <w:rsid w:val="00186F37"/>
    <w:rsid w:val="001871BD"/>
    <w:rsid w:val="00187275"/>
    <w:rsid w:val="00187723"/>
    <w:rsid w:val="00187B9F"/>
    <w:rsid w:val="00187D44"/>
    <w:rsid w:val="00190776"/>
    <w:rsid w:val="00190811"/>
    <w:rsid w:val="00190A04"/>
    <w:rsid w:val="00191706"/>
    <w:rsid w:val="00191B0E"/>
    <w:rsid w:val="00191D1A"/>
    <w:rsid w:val="00191D9A"/>
    <w:rsid w:val="00191DAB"/>
    <w:rsid w:val="0019242C"/>
    <w:rsid w:val="00193069"/>
    <w:rsid w:val="00194086"/>
    <w:rsid w:val="0019427C"/>
    <w:rsid w:val="001946FC"/>
    <w:rsid w:val="00194A66"/>
    <w:rsid w:val="00194ED0"/>
    <w:rsid w:val="001950FC"/>
    <w:rsid w:val="001955FE"/>
    <w:rsid w:val="00195AB7"/>
    <w:rsid w:val="00195DFC"/>
    <w:rsid w:val="00196FC1"/>
    <w:rsid w:val="001971EC"/>
    <w:rsid w:val="00197300"/>
    <w:rsid w:val="001974D2"/>
    <w:rsid w:val="00197765"/>
    <w:rsid w:val="00197B31"/>
    <w:rsid w:val="00197C33"/>
    <w:rsid w:val="001A0A4F"/>
    <w:rsid w:val="001A0AD7"/>
    <w:rsid w:val="001A0ADF"/>
    <w:rsid w:val="001A0FE2"/>
    <w:rsid w:val="001A1413"/>
    <w:rsid w:val="001A148E"/>
    <w:rsid w:val="001A154A"/>
    <w:rsid w:val="001A1563"/>
    <w:rsid w:val="001A1739"/>
    <w:rsid w:val="001A18C5"/>
    <w:rsid w:val="001A19F7"/>
    <w:rsid w:val="001A22FC"/>
    <w:rsid w:val="001A2B00"/>
    <w:rsid w:val="001A32BA"/>
    <w:rsid w:val="001A34DD"/>
    <w:rsid w:val="001A36FC"/>
    <w:rsid w:val="001A4092"/>
    <w:rsid w:val="001A413E"/>
    <w:rsid w:val="001A44B3"/>
    <w:rsid w:val="001A455D"/>
    <w:rsid w:val="001A4BD5"/>
    <w:rsid w:val="001A4ECF"/>
    <w:rsid w:val="001A68E9"/>
    <w:rsid w:val="001A6FF4"/>
    <w:rsid w:val="001A7661"/>
    <w:rsid w:val="001A78C6"/>
    <w:rsid w:val="001A7EE4"/>
    <w:rsid w:val="001B0126"/>
    <w:rsid w:val="001B019E"/>
    <w:rsid w:val="001B0228"/>
    <w:rsid w:val="001B114F"/>
    <w:rsid w:val="001B13D1"/>
    <w:rsid w:val="001B183C"/>
    <w:rsid w:val="001B19D1"/>
    <w:rsid w:val="001B1BA4"/>
    <w:rsid w:val="001B1F41"/>
    <w:rsid w:val="001B2316"/>
    <w:rsid w:val="001B2568"/>
    <w:rsid w:val="001B295E"/>
    <w:rsid w:val="001B2A80"/>
    <w:rsid w:val="001B30CA"/>
    <w:rsid w:val="001B3538"/>
    <w:rsid w:val="001B376A"/>
    <w:rsid w:val="001B434E"/>
    <w:rsid w:val="001B43AC"/>
    <w:rsid w:val="001B485D"/>
    <w:rsid w:val="001B4F40"/>
    <w:rsid w:val="001B5383"/>
    <w:rsid w:val="001B61F4"/>
    <w:rsid w:val="001B6568"/>
    <w:rsid w:val="001B6837"/>
    <w:rsid w:val="001B68EE"/>
    <w:rsid w:val="001B706E"/>
    <w:rsid w:val="001B763A"/>
    <w:rsid w:val="001B769E"/>
    <w:rsid w:val="001B7F7A"/>
    <w:rsid w:val="001C02C6"/>
    <w:rsid w:val="001C0B1B"/>
    <w:rsid w:val="001C0C74"/>
    <w:rsid w:val="001C1EDA"/>
    <w:rsid w:val="001C2071"/>
    <w:rsid w:val="001C214C"/>
    <w:rsid w:val="001C24A5"/>
    <w:rsid w:val="001C2AFB"/>
    <w:rsid w:val="001C2CE3"/>
    <w:rsid w:val="001C2D0A"/>
    <w:rsid w:val="001C2D79"/>
    <w:rsid w:val="001C4209"/>
    <w:rsid w:val="001C445B"/>
    <w:rsid w:val="001C4553"/>
    <w:rsid w:val="001C464D"/>
    <w:rsid w:val="001C4E66"/>
    <w:rsid w:val="001C53E8"/>
    <w:rsid w:val="001C55CB"/>
    <w:rsid w:val="001C5D69"/>
    <w:rsid w:val="001C6E20"/>
    <w:rsid w:val="001C784F"/>
    <w:rsid w:val="001C7D50"/>
    <w:rsid w:val="001C7E29"/>
    <w:rsid w:val="001D004F"/>
    <w:rsid w:val="001D00B7"/>
    <w:rsid w:val="001D017D"/>
    <w:rsid w:val="001D0654"/>
    <w:rsid w:val="001D077E"/>
    <w:rsid w:val="001D09D0"/>
    <w:rsid w:val="001D0BD2"/>
    <w:rsid w:val="001D0DD5"/>
    <w:rsid w:val="001D0E2F"/>
    <w:rsid w:val="001D0EF8"/>
    <w:rsid w:val="001D17A2"/>
    <w:rsid w:val="001D2B64"/>
    <w:rsid w:val="001D2BA3"/>
    <w:rsid w:val="001D2DC3"/>
    <w:rsid w:val="001D30AB"/>
    <w:rsid w:val="001D316B"/>
    <w:rsid w:val="001D33E2"/>
    <w:rsid w:val="001D39D3"/>
    <w:rsid w:val="001D4146"/>
    <w:rsid w:val="001D4171"/>
    <w:rsid w:val="001D4256"/>
    <w:rsid w:val="001D436C"/>
    <w:rsid w:val="001D43AE"/>
    <w:rsid w:val="001D474F"/>
    <w:rsid w:val="001D5520"/>
    <w:rsid w:val="001D5679"/>
    <w:rsid w:val="001D5950"/>
    <w:rsid w:val="001D5BAC"/>
    <w:rsid w:val="001D6BCF"/>
    <w:rsid w:val="001D6C52"/>
    <w:rsid w:val="001D7312"/>
    <w:rsid w:val="001D74BB"/>
    <w:rsid w:val="001D7FAD"/>
    <w:rsid w:val="001E01CA"/>
    <w:rsid w:val="001E03DF"/>
    <w:rsid w:val="001E0420"/>
    <w:rsid w:val="001E0740"/>
    <w:rsid w:val="001E0748"/>
    <w:rsid w:val="001E087F"/>
    <w:rsid w:val="001E0D9C"/>
    <w:rsid w:val="001E0F25"/>
    <w:rsid w:val="001E1751"/>
    <w:rsid w:val="001E1AF4"/>
    <w:rsid w:val="001E1D01"/>
    <w:rsid w:val="001E1E68"/>
    <w:rsid w:val="001E218A"/>
    <w:rsid w:val="001E281B"/>
    <w:rsid w:val="001E2AD9"/>
    <w:rsid w:val="001E2D68"/>
    <w:rsid w:val="001E3753"/>
    <w:rsid w:val="001E3C49"/>
    <w:rsid w:val="001E401B"/>
    <w:rsid w:val="001E4B94"/>
    <w:rsid w:val="001E4BED"/>
    <w:rsid w:val="001E4C80"/>
    <w:rsid w:val="001E4C93"/>
    <w:rsid w:val="001E4D32"/>
    <w:rsid w:val="001E5528"/>
    <w:rsid w:val="001E5A00"/>
    <w:rsid w:val="001E61F3"/>
    <w:rsid w:val="001E62AB"/>
    <w:rsid w:val="001E6A5B"/>
    <w:rsid w:val="001E6B8F"/>
    <w:rsid w:val="001E6E7D"/>
    <w:rsid w:val="001E7275"/>
    <w:rsid w:val="001E7C0F"/>
    <w:rsid w:val="001F05CE"/>
    <w:rsid w:val="001F05E3"/>
    <w:rsid w:val="001F1170"/>
    <w:rsid w:val="001F12DC"/>
    <w:rsid w:val="001F1328"/>
    <w:rsid w:val="001F13D4"/>
    <w:rsid w:val="001F144F"/>
    <w:rsid w:val="001F1F9B"/>
    <w:rsid w:val="001F257C"/>
    <w:rsid w:val="001F267C"/>
    <w:rsid w:val="001F28D5"/>
    <w:rsid w:val="001F2FAB"/>
    <w:rsid w:val="001F31C9"/>
    <w:rsid w:val="001F343E"/>
    <w:rsid w:val="001F351D"/>
    <w:rsid w:val="001F3A82"/>
    <w:rsid w:val="001F401F"/>
    <w:rsid w:val="001F49BB"/>
    <w:rsid w:val="001F4D03"/>
    <w:rsid w:val="001F4FB3"/>
    <w:rsid w:val="001F55D3"/>
    <w:rsid w:val="001F5B52"/>
    <w:rsid w:val="001F5C4F"/>
    <w:rsid w:val="001F6070"/>
    <w:rsid w:val="001F6B3E"/>
    <w:rsid w:val="001F6B9A"/>
    <w:rsid w:val="001F7031"/>
    <w:rsid w:val="001F76D8"/>
    <w:rsid w:val="002000AD"/>
    <w:rsid w:val="002006BC"/>
    <w:rsid w:val="0020097D"/>
    <w:rsid w:val="00200B7F"/>
    <w:rsid w:val="00200C71"/>
    <w:rsid w:val="00201403"/>
    <w:rsid w:val="00201C34"/>
    <w:rsid w:val="00202B91"/>
    <w:rsid w:val="00203135"/>
    <w:rsid w:val="00203452"/>
    <w:rsid w:val="002036B3"/>
    <w:rsid w:val="00203F4E"/>
    <w:rsid w:val="0020439E"/>
    <w:rsid w:val="002043C8"/>
    <w:rsid w:val="002047D5"/>
    <w:rsid w:val="00204FE0"/>
    <w:rsid w:val="002053EA"/>
    <w:rsid w:val="00205B28"/>
    <w:rsid w:val="0020618A"/>
    <w:rsid w:val="002061DD"/>
    <w:rsid w:val="002063BD"/>
    <w:rsid w:val="002063EB"/>
    <w:rsid w:val="002069CB"/>
    <w:rsid w:val="00207129"/>
    <w:rsid w:val="0020787E"/>
    <w:rsid w:val="00207A7A"/>
    <w:rsid w:val="00207C33"/>
    <w:rsid w:val="00207CED"/>
    <w:rsid w:val="00207DEA"/>
    <w:rsid w:val="00207EA3"/>
    <w:rsid w:val="00210410"/>
    <w:rsid w:val="00210559"/>
    <w:rsid w:val="00210733"/>
    <w:rsid w:val="00210A0F"/>
    <w:rsid w:val="00210D8B"/>
    <w:rsid w:val="00210E2D"/>
    <w:rsid w:val="0021115A"/>
    <w:rsid w:val="00211478"/>
    <w:rsid w:val="00211CE9"/>
    <w:rsid w:val="00211D29"/>
    <w:rsid w:val="00211D91"/>
    <w:rsid w:val="0021226E"/>
    <w:rsid w:val="0021279C"/>
    <w:rsid w:val="002135C2"/>
    <w:rsid w:val="0021399B"/>
    <w:rsid w:val="00213B42"/>
    <w:rsid w:val="00214A25"/>
    <w:rsid w:val="00214C79"/>
    <w:rsid w:val="00214CE8"/>
    <w:rsid w:val="00215020"/>
    <w:rsid w:val="0021520A"/>
    <w:rsid w:val="0021542A"/>
    <w:rsid w:val="00215EFF"/>
    <w:rsid w:val="0021626B"/>
    <w:rsid w:val="00216DC9"/>
    <w:rsid w:val="00216FC6"/>
    <w:rsid w:val="00217685"/>
    <w:rsid w:val="00217A8D"/>
    <w:rsid w:val="00217E4F"/>
    <w:rsid w:val="00217F9B"/>
    <w:rsid w:val="002202C0"/>
    <w:rsid w:val="00220EE7"/>
    <w:rsid w:val="00220F63"/>
    <w:rsid w:val="00221563"/>
    <w:rsid w:val="002218A6"/>
    <w:rsid w:val="002219BE"/>
    <w:rsid w:val="00221CA5"/>
    <w:rsid w:val="00221D54"/>
    <w:rsid w:val="00221D58"/>
    <w:rsid w:val="0022207D"/>
    <w:rsid w:val="002224BB"/>
    <w:rsid w:val="002229C5"/>
    <w:rsid w:val="002229EE"/>
    <w:rsid w:val="00222A0F"/>
    <w:rsid w:val="00222B52"/>
    <w:rsid w:val="00222B93"/>
    <w:rsid w:val="00222DAC"/>
    <w:rsid w:val="002232F8"/>
    <w:rsid w:val="00223451"/>
    <w:rsid w:val="0022361F"/>
    <w:rsid w:val="00223C35"/>
    <w:rsid w:val="00224152"/>
    <w:rsid w:val="002244B0"/>
    <w:rsid w:val="0022471E"/>
    <w:rsid w:val="00224D8B"/>
    <w:rsid w:val="00225046"/>
    <w:rsid w:val="0022579E"/>
    <w:rsid w:val="00225DF1"/>
    <w:rsid w:val="002260A6"/>
    <w:rsid w:val="00226A1E"/>
    <w:rsid w:val="00226A6E"/>
    <w:rsid w:val="00227533"/>
    <w:rsid w:val="00227593"/>
    <w:rsid w:val="002278C6"/>
    <w:rsid w:val="00227A86"/>
    <w:rsid w:val="00227D60"/>
    <w:rsid w:val="00227D8C"/>
    <w:rsid w:val="00230F7D"/>
    <w:rsid w:val="00231319"/>
    <w:rsid w:val="002315B8"/>
    <w:rsid w:val="002318EE"/>
    <w:rsid w:val="002318FD"/>
    <w:rsid w:val="00231C7F"/>
    <w:rsid w:val="002327E5"/>
    <w:rsid w:val="00232914"/>
    <w:rsid w:val="0023297E"/>
    <w:rsid w:val="00232AB3"/>
    <w:rsid w:val="00232B40"/>
    <w:rsid w:val="00232E9A"/>
    <w:rsid w:val="00233050"/>
    <w:rsid w:val="002338C3"/>
    <w:rsid w:val="00233A49"/>
    <w:rsid w:val="00233B59"/>
    <w:rsid w:val="00233BAF"/>
    <w:rsid w:val="00234073"/>
    <w:rsid w:val="002351CD"/>
    <w:rsid w:val="00235592"/>
    <w:rsid w:val="002355EB"/>
    <w:rsid w:val="00235674"/>
    <w:rsid w:val="00235CB9"/>
    <w:rsid w:val="00236014"/>
    <w:rsid w:val="00236090"/>
    <w:rsid w:val="002360A4"/>
    <w:rsid w:val="00236122"/>
    <w:rsid w:val="002361D8"/>
    <w:rsid w:val="00236220"/>
    <w:rsid w:val="0023629F"/>
    <w:rsid w:val="00236C5A"/>
    <w:rsid w:val="00236E29"/>
    <w:rsid w:val="00237018"/>
    <w:rsid w:val="0023726A"/>
    <w:rsid w:val="002379D9"/>
    <w:rsid w:val="00237B1C"/>
    <w:rsid w:val="00240FA5"/>
    <w:rsid w:val="002410E6"/>
    <w:rsid w:val="00241433"/>
    <w:rsid w:val="002418B6"/>
    <w:rsid w:val="00241C2B"/>
    <w:rsid w:val="00241FF2"/>
    <w:rsid w:val="00242054"/>
    <w:rsid w:val="002424BA"/>
    <w:rsid w:val="002424CB"/>
    <w:rsid w:val="00242F23"/>
    <w:rsid w:val="00242F82"/>
    <w:rsid w:val="00243D50"/>
    <w:rsid w:val="00243F83"/>
    <w:rsid w:val="0024447F"/>
    <w:rsid w:val="002447BE"/>
    <w:rsid w:val="00244C29"/>
    <w:rsid w:val="00244DA6"/>
    <w:rsid w:val="00244EFB"/>
    <w:rsid w:val="00244F73"/>
    <w:rsid w:val="00245388"/>
    <w:rsid w:val="0024549A"/>
    <w:rsid w:val="002454C4"/>
    <w:rsid w:val="002454F4"/>
    <w:rsid w:val="00245D8F"/>
    <w:rsid w:val="00246479"/>
    <w:rsid w:val="002465A3"/>
    <w:rsid w:val="002465EE"/>
    <w:rsid w:val="0024767F"/>
    <w:rsid w:val="00247B83"/>
    <w:rsid w:val="00247BDE"/>
    <w:rsid w:val="00247C29"/>
    <w:rsid w:val="00247D76"/>
    <w:rsid w:val="00247F90"/>
    <w:rsid w:val="00250099"/>
    <w:rsid w:val="0025042F"/>
    <w:rsid w:val="00250557"/>
    <w:rsid w:val="002505C6"/>
    <w:rsid w:val="002507E7"/>
    <w:rsid w:val="00251327"/>
    <w:rsid w:val="00251552"/>
    <w:rsid w:val="0025168B"/>
    <w:rsid w:val="00252AD7"/>
    <w:rsid w:val="00252B48"/>
    <w:rsid w:val="002531A4"/>
    <w:rsid w:val="0025334C"/>
    <w:rsid w:val="00253790"/>
    <w:rsid w:val="002538EC"/>
    <w:rsid w:val="00253B40"/>
    <w:rsid w:val="002542DD"/>
    <w:rsid w:val="00254B04"/>
    <w:rsid w:val="00254C72"/>
    <w:rsid w:val="0025516F"/>
    <w:rsid w:val="00255273"/>
    <w:rsid w:val="00255998"/>
    <w:rsid w:val="0025628F"/>
    <w:rsid w:val="0025643C"/>
    <w:rsid w:val="00256910"/>
    <w:rsid w:val="00256D46"/>
    <w:rsid w:val="00257449"/>
    <w:rsid w:val="00257A19"/>
    <w:rsid w:val="00257A90"/>
    <w:rsid w:val="00257B44"/>
    <w:rsid w:val="00257C0D"/>
    <w:rsid w:val="00257C4A"/>
    <w:rsid w:val="00257E66"/>
    <w:rsid w:val="00257E8A"/>
    <w:rsid w:val="002604C6"/>
    <w:rsid w:val="00260C91"/>
    <w:rsid w:val="00260DB8"/>
    <w:rsid w:val="00261558"/>
    <w:rsid w:val="00261E42"/>
    <w:rsid w:val="002622BA"/>
    <w:rsid w:val="00262527"/>
    <w:rsid w:val="00262A07"/>
    <w:rsid w:val="00262F8E"/>
    <w:rsid w:val="002633AD"/>
    <w:rsid w:val="0026352A"/>
    <w:rsid w:val="0026385E"/>
    <w:rsid w:val="00263E16"/>
    <w:rsid w:val="00264058"/>
    <w:rsid w:val="00264446"/>
    <w:rsid w:val="0026488D"/>
    <w:rsid w:val="00264A73"/>
    <w:rsid w:val="00264D8A"/>
    <w:rsid w:val="00265438"/>
    <w:rsid w:val="0026707D"/>
    <w:rsid w:val="0026715F"/>
    <w:rsid w:val="0026786E"/>
    <w:rsid w:val="00267941"/>
    <w:rsid w:val="00267959"/>
    <w:rsid w:val="00267E97"/>
    <w:rsid w:val="00267F41"/>
    <w:rsid w:val="00270665"/>
    <w:rsid w:val="0027077B"/>
    <w:rsid w:val="00270855"/>
    <w:rsid w:val="0027099A"/>
    <w:rsid w:val="0027127B"/>
    <w:rsid w:val="002719CC"/>
    <w:rsid w:val="002728A7"/>
    <w:rsid w:val="002730EA"/>
    <w:rsid w:val="00273227"/>
    <w:rsid w:val="002737E9"/>
    <w:rsid w:val="00273EED"/>
    <w:rsid w:val="002743D2"/>
    <w:rsid w:val="00275B67"/>
    <w:rsid w:val="00275CF5"/>
    <w:rsid w:val="00275E84"/>
    <w:rsid w:val="00276AFB"/>
    <w:rsid w:val="0027705A"/>
    <w:rsid w:val="00277283"/>
    <w:rsid w:val="0027734F"/>
    <w:rsid w:val="0028023A"/>
    <w:rsid w:val="0028031C"/>
    <w:rsid w:val="0028073E"/>
    <w:rsid w:val="0028074A"/>
    <w:rsid w:val="002815A7"/>
    <w:rsid w:val="0028168F"/>
    <w:rsid w:val="002816C4"/>
    <w:rsid w:val="00281CC4"/>
    <w:rsid w:val="00282470"/>
    <w:rsid w:val="00282E68"/>
    <w:rsid w:val="0028301F"/>
    <w:rsid w:val="002835AA"/>
    <w:rsid w:val="002835B7"/>
    <w:rsid w:val="00283DC1"/>
    <w:rsid w:val="00284323"/>
    <w:rsid w:val="00284C36"/>
    <w:rsid w:val="00284CCA"/>
    <w:rsid w:val="00285017"/>
    <w:rsid w:val="00285AE2"/>
    <w:rsid w:val="00285C76"/>
    <w:rsid w:val="00285F1B"/>
    <w:rsid w:val="002862D6"/>
    <w:rsid w:val="0028692A"/>
    <w:rsid w:val="00286E69"/>
    <w:rsid w:val="002878AA"/>
    <w:rsid w:val="00290011"/>
    <w:rsid w:val="00290723"/>
    <w:rsid w:val="002907A4"/>
    <w:rsid w:val="0029082F"/>
    <w:rsid w:val="00291223"/>
    <w:rsid w:val="002913AD"/>
    <w:rsid w:val="0029142F"/>
    <w:rsid w:val="002917DF"/>
    <w:rsid w:val="00291D7F"/>
    <w:rsid w:val="002923E1"/>
    <w:rsid w:val="0029323B"/>
    <w:rsid w:val="002934CB"/>
    <w:rsid w:val="002935B2"/>
    <w:rsid w:val="002942A3"/>
    <w:rsid w:val="0029431B"/>
    <w:rsid w:val="0029468E"/>
    <w:rsid w:val="002946F3"/>
    <w:rsid w:val="002947A8"/>
    <w:rsid w:val="00294842"/>
    <w:rsid w:val="002948D7"/>
    <w:rsid w:val="00294A66"/>
    <w:rsid w:val="00295226"/>
    <w:rsid w:val="002955A8"/>
    <w:rsid w:val="002961A6"/>
    <w:rsid w:val="002974A7"/>
    <w:rsid w:val="00297A13"/>
    <w:rsid w:val="002A01AD"/>
    <w:rsid w:val="002A04D2"/>
    <w:rsid w:val="002A0876"/>
    <w:rsid w:val="002A107D"/>
    <w:rsid w:val="002A112C"/>
    <w:rsid w:val="002A1566"/>
    <w:rsid w:val="002A167A"/>
    <w:rsid w:val="002A2478"/>
    <w:rsid w:val="002A2774"/>
    <w:rsid w:val="002A2794"/>
    <w:rsid w:val="002A2B51"/>
    <w:rsid w:val="002A2D2E"/>
    <w:rsid w:val="002A3C4B"/>
    <w:rsid w:val="002A3CFC"/>
    <w:rsid w:val="002A3D88"/>
    <w:rsid w:val="002A3F81"/>
    <w:rsid w:val="002A44ED"/>
    <w:rsid w:val="002A465C"/>
    <w:rsid w:val="002A46C4"/>
    <w:rsid w:val="002A6FE9"/>
    <w:rsid w:val="002A7743"/>
    <w:rsid w:val="002A7937"/>
    <w:rsid w:val="002A7B12"/>
    <w:rsid w:val="002A7DE5"/>
    <w:rsid w:val="002B03C4"/>
    <w:rsid w:val="002B049D"/>
    <w:rsid w:val="002B0617"/>
    <w:rsid w:val="002B0BC4"/>
    <w:rsid w:val="002B0E5A"/>
    <w:rsid w:val="002B1640"/>
    <w:rsid w:val="002B189D"/>
    <w:rsid w:val="002B1C54"/>
    <w:rsid w:val="002B20C8"/>
    <w:rsid w:val="002B253F"/>
    <w:rsid w:val="002B2595"/>
    <w:rsid w:val="002B2E0A"/>
    <w:rsid w:val="002B309D"/>
    <w:rsid w:val="002B328B"/>
    <w:rsid w:val="002B34D8"/>
    <w:rsid w:val="002B3605"/>
    <w:rsid w:val="002B4236"/>
    <w:rsid w:val="002B4861"/>
    <w:rsid w:val="002B53C0"/>
    <w:rsid w:val="002B5A84"/>
    <w:rsid w:val="002B6140"/>
    <w:rsid w:val="002B6264"/>
    <w:rsid w:val="002B62F6"/>
    <w:rsid w:val="002B63E2"/>
    <w:rsid w:val="002B677A"/>
    <w:rsid w:val="002B790B"/>
    <w:rsid w:val="002B7D62"/>
    <w:rsid w:val="002B7DF5"/>
    <w:rsid w:val="002B7FF2"/>
    <w:rsid w:val="002C00E8"/>
    <w:rsid w:val="002C029C"/>
    <w:rsid w:val="002C0C04"/>
    <w:rsid w:val="002C0DB1"/>
    <w:rsid w:val="002C0DF1"/>
    <w:rsid w:val="002C1142"/>
    <w:rsid w:val="002C13E8"/>
    <w:rsid w:val="002C1416"/>
    <w:rsid w:val="002C1599"/>
    <w:rsid w:val="002C1801"/>
    <w:rsid w:val="002C1ABA"/>
    <w:rsid w:val="002C1C40"/>
    <w:rsid w:val="002C215E"/>
    <w:rsid w:val="002C2488"/>
    <w:rsid w:val="002C25E6"/>
    <w:rsid w:val="002C265D"/>
    <w:rsid w:val="002C2749"/>
    <w:rsid w:val="002C2AE3"/>
    <w:rsid w:val="002C2DB9"/>
    <w:rsid w:val="002C2E41"/>
    <w:rsid w:val="002C46CB"/>
    <w:rsid w:val="002C4854"/>
    <w:rsid w:val="002C49B8"/>
    <w:rsid w:val="002C4ABD"/>
    <w:rsid w:val="002C591A"/>
    <w:rsid w:val="002C5B10"/>
    <w:rsid w:val="002C6BB2"/>
    <w:rsid w:val="002C7371"/>
    <w:rsid w:val="002C78A2"/>
    <w:rsid w:val="002C7D67"/>
    <w:rsid w:val="002D03AF"/>
    <w:rsid w:val="002D064B"/>
    <w:rsid w:val="002D0B3C"/>
    <w:rsid w:val="002D13F0"/>
    <w:rsid w:val="002D18CF"/>
    <w:rsid w:val="002D1B9C"/>
    <w:rsid w:val="002D1ECF"/>
    <w:rsid w:val="002D2257"/>
    <w:rsid w:val="002D27D1"/>
    <w:rsid w:val="002D30CD"/>
    <w:rsid w:val="002D32F7"/>
    <w:rsid w:val="002D375F"/>
    <w:rsid w:val="002D3AE0"/>
    <w:rsid w:val="002D3DA9"/>
    <w:rsid w:val="002D4144"/>
    <w:rsid w:val="002D4ABA"/>
    <w:rsid w:val="002D4CC9"/>
    <w:rsid w:val="002D5786"/>
    <w:rsid w:val="002D5ADE"/>
    <w:rsid w:val="002D625E"/>
    <w:rsid w:val="002D63CB"/>
    <w:rsid w:val="002D67EA"/>
    <w:rsid w:val="002D7655"/>
    <w:rsid w:val="002D76CC"/>
    <w:rsid w:val="002D7BA4"/>
    <w:rsid w:val="002D7C6E"/>
    <w:rsid w:val="002E0534"/>
    <w:rsid w:val="002E064C"/>
    <w:rsid w:val="002E1E24"/>
    <w:rsid w:val="002E20DA"/>
    <w:rsid w:val="002E224A"/>
    <w:rsid w:val="002E2261"/>
    <w:rsid w:val="002E2686"/>
    <w:rsid w:val="002E26B6"/>
    <w:rsid w:val="002E2D15"/>
    <w:rsid w:val="002E32FD"/>
    <w:rsid w:val="002E3475"/>
    <w:rsid w:val="002E35E3"/>
    <w:rsid w:val="002E3D3B"/>
    <w:rsid w:val="002E42B3"/>
    <w:rsid w:val="002E44DC"/>
    <w:rsid w:val="002E4D29"/>
    <w:rsid w:val="002E4E79"/>
    <w:rsid w:val="002E5121"/>
    <w:rsid w:val="002E5169"/>
    <w:rsid w:val="002E535F"/>
    <w:rsid w:val="002E5399"/>
    <w:rsid w:val="002E53EF"/>
    <w:rsid w:val="002E5E01"/>
    <w:rsid w:val="002E641B"/>
    <w:rsid w:val="002E672D"/>
    <w:rsid w:val="002E6BCF"/>
    <w:rsid w:val="002E7256"/>
    <w:rsid w:val="002E7574"/>
    <w:rsid w:val="002E76AE"/>
    <w:rsid w:val="002E76DC"/>
    <w:rsid w:val="002E7744"/>
    <w:rsid w:val="002E7F3D"/>
    <w:rsid w:val="002F004F"/>
    <w:rsid w:val="002F009C"/>
    <w:rsid w:val="002F00E9"/>
    <w:rsid w:val="002F028A"/>
    <w:rsid w:val="002F0381"/>
    <w:rsid w:val="002F0511"/>
    <w:rsid w:val="002F0EFA"/>
    <w:rsid w:val="002F1A2F"/>
    <w:rsid w:val="002F1DE5"/>
    <w:rsid w:val="002F1E50"/>
    <w:rsid w:val="002F1E99"/>
    <w:rsid w:val="002F1EA5"/>
    <w:rsid w:val="002F1FBC"/>
    <w:rsid w:val="002F21C3"/>
    <w:rsid w:val="002F25F4"/>
    <w:rsid w:val="002F2635"/>
    <w:rsid w:val="002F2A81"/>
    <w:rsid w:val="002F31BE"/>
    <w:rsid w:val="002F33E7"/>
    <w:rsid w:val="002F3976"/>
    <w:rsid w:val="002F3C63"/>
    <w:rsid w:val="002F41AE"/>
    <w:rsid w:val="002F41FE"/>
    <w:rsid w:val="002F421F"/>
    <w:rsid w:val="002F44F1"/>
    <w:rsid w:val="002F45B4"/>
    <w:rsid w:val="002F4BF7"/>
    <w:rsid w:val="002F4EE7"/>
    <w:rsid w:val="002F5268"/>
    <w:rsid w:val="002F5AB4"/>
    <w:rsid w:val="002F6377"/>
    <w:rsid w:val="002F6501"/>
    <w:rsid w:val="002F6710"/>
    <w:rsid w:val="002F6C7D"/>
    <w:rsid w:val="002F6F33"/>
    <w:rsid w:val="002F7A0E"/>
    <w:rsid w:val="002F7E42"/>
    <w:rsid w:val="0030003D"/>
    <w:rsid w:val="003003F4"/>
    <w:rsid w:val="003003F7"/>
    <w:rsid w:val="0030078B"/>
    <w:rsid w:val="0030104B"/>
    <w:rsid w:val="0030108B"/>
    <w:rsid w:val="00301365"/>
    <w:rsid w:val="003017D8"/>
    <w:rsid w:val="00301831"/>
    <w:rsid w:val="00301BCC"/>
    <w:rsid w:val="00301F16"/>
    <w:rsid w:val="0030225A"/>
    <w:rsid w:val="003027ED"/>
    <w:rsid w:val="0030298D"/>
    <w:rsid w:val="00302E4F"/>
    <w:rsid w:val="003036F2"/>
    <w:rsid w:val="00304261"/>
    <w:rsid w:val="00304345"/>
    <w:rsid w:val="003043FF"/>
    <w:rsid w:val="00305021"/>
    <w:rsid w:val="00305191"/>
    <w:rsid w:val="003056AE"/>
    <w:rsid w:val="0030627E"/>
    <w:rsid w:val="0030671A"/>
    <w:rsid w:val="00306AE1"/>
    <w:rsid w:val="00306B2C"/>
    <w:rsid w:val="00306F18"/>
    <w:rsid w:val="00307009"/>
    <w:rsid w:val="00307339"/>
    <w:rsid w:val="00310169"/>
    <w:rsid w:val="00310FB4"/>
    <w:rsid w:val="00312553"/>
    <w:rsid w:val="00312C7F"/>
    <w:rsid w:val="003134D4"/>
    <w:rsid w:val="00313828"/>
    <w:rsid w:val="00313BF2"/>
    <w:rsid w:val="0031497C"/>
    <w:rsid w:val="00314EBF"/>
    <w:rsid w:val="00315014"/>
    <w:rsid w:val="0031557A"/>
    <w:rsid w:val="003155B6"/>
    <w:rsid w:val="00315719"/>
    <w:rsid w:val="0031577E"/>
    <w:rsid w:val="00316029"/>
    <w:rsid w:val="003164D5"/>
    <w:rsid w:val="0031685E"/>
    <w:rsid w:val="00316B22"/>
    <w:rsid w:val="00316D81"/>
    <w:rsid w:val="0031774B"/>
    <w:rsid w:val="00317DEE"/>
    <w:rsid w:val="00317EBA"/>
    <w:rsid w:val="0032068C"/>
    <w:rsid w:val="00320912"/>
    <w:rsid w:val="00320CEA"/>
    <w:rsid w:val="00320EBB"/>
    <w:rsid w:val="00321787"/>
    <w:rsid w:val="00321A4B"/>
    <w:rsid w:val="0032231E"/>
    <w:rsid w:val="003225DF"/>
    <w:rsid w:val="003229FB"/>
    <w:rsid w:val="00322D54"/>
    <w:rsid w:val="0032313A"/>
    <w:rsid w:val="00323391"/>
    <w:rsid w:val="0032346C"/>
    <w:rsid w:val="00323CB2"/>
    <w:rsid w:val="00323D93"/>
    <w:rsid w:val="00323EB7"/>
    <w:rsid w:val="00323F90"/>
    <w:rsid w:val="00323FDF"/>
    <w:rsid w:val="00324019"/>
    <w:rsid w:val="00324301"/>
    <w:rsid w:val="0032509F"/>
    <w:rsid w:val="003253D9"/>
    <w:rsid w:val="00325779"/>
    <w:rsid w:val="003257C7"/>
    <w:rsid w:val="003258D8"/>
    <w:rsid w:val="00325B6E"/>
    <w:rsid w:val="00326062"/>
    <w:rsid w:val="003261A0"/>
    <w:rsid w:val="003269F8"/>
    <w:rsid w:val="00326C22"/>
    <w:rsid w:val="00326FBE"/>
    <w:rsid w:val="0032724E"/>
    <w:rsid w:val="00327384"/>
    <w:rsid w:val="003275CD"/>
    <w:rsid w:val="00327628"/>
    <w:rsid w:val="00327640"/>
    <w:rsid w:val="003279D8"/>
    <w:rsid w:val="00327D82"/>
    <w:rsid w:val="00330750"/>
    <w:rsid w:val="0033076D"/>
    <w:rsid w:val="0033082E"/>
    <w:rsid w:val="00330890"/>
    <w:rsid w:val="00330A57"/>
    <w:rsid w:val="00331C68"/>
    <w:rsid w:val="00332559"/>
    <w:rsid w:val="0033399C"/>
    <w:rsid w:val="00333D48"/>
    <w:rsid w:val="00334483"/>
    <w:rsid w:val="00334A70"/>
    <w:rsid w:val="00334BAB"/>
    <w:rsid w:val="00334EBD"/>
    <w:rsid w:val="00335193"/>
    <w:rsid w:val="0033551A"/>
    <w:rsid w:val="00335630"/>
    <w:rsid w:val="0033672C"/>
    <w:rsid w:val="003367CF"/>
    <w:rsid w:val="003372F8"/>
    <w:rsid w:val="00337370"/>
    <w:rsid w:val="003376F7"/>
    <w:rsid w:val="003379C5"/>
    <w:rsid w:val="00337B8D"/>
    <w:rsid w:val="00337C3E"/>
    <w:rsid w:val="00340EDF"/>
    <w:rsid w:val="0034244D"/>
    <w:rsid w:val="00342541"/>
    <w:rsid w:val="003425D1"/>
    <w:rsid w:val="003428C0"/>
    <w:rsid w:val="00342C95"/>
    <w:rsid w:val="00343749"/>
    <w:rsid w:val="00343F37"/>
    <w:rsid w:val="00344418"/>
    <w:rsid w:val="003444D6"/>
    <w:rsid w:val="00344E04"/>
    <w:rsid w:val="00345272"/>
    <w:rsid w:val="00345823"/>
    <w:rsid w:val="003460C6"/>
    <w:rsid w:val="00346421"/>
    <w:rsid w:val="003465EA"/>
    <w:rsid w:val="0034684D"/>
    <w:rsid w:val="003468A8"/>
    <w:rsid w:val="00346AD9"/>
    <w:rsid w:val="00346BE6"/>
    <w:rsid w:val="00346CC6"/>
    <w:rsid w:val="003476B5"/>
    <w:rsid w:val="00347AAA"/>
    <w:rsid w:val="00347B3E"/>
    <w:rsid w:val="00347B7F"/>
    <w:rsid w:val="00347CB4"/>
    <w:rsid w:val="00347D60"/>
    <w:rsid w:val="00347E59"/>
    <w:rsid w:val="0035025E"/>
    <w:rsid w:val="00350410"/>
    <w:rsid w:val="003505B4"/>
    <w:rsid w:val="00350A38"/>
    <w:rsid w:val="00350BE3"/>
    <w:rsid w:val="00350C4E"/>
    <w:rsid w:val="00350EEA"/>
    <w:rsid w:val="003514CA"/>
    <w:rsid w:val="0035161E"/>
    <w:rsid w:val="00351DDE"/>
    <w:rsid w:val="0035215B"/>
    <w:rsid w:val="00352267"/>
    <w:rsid w:val="003525A9"/>
    <w:rsid w:val="003528EC"/>
    <w:rsid w:val="00352AB7"/>
    <w:rsid w:val="00352BFE"/>
    <w:rsid w:val="00352C97"/>
    <w:rsid w:val="00353AD4"/>
    <w:rsid w:val="00354407"/>
    <w:rsid w:val="003544E1"/>
    <w:rsid w:val="00354AE9"/>
    <w:rsid w:val="003553C9"/>
    <w:rsid w:val="00355A14"/>
    <w:rsid w:val="003563C7"/>
    <w:rsid w:val="003565D9"/>
    <w:rsid w:val="00356BC6"/>
    <w:rsid w:val="00356C71"/>
    <w:rsid w:val="00357746"/>
    <w:rsid w:val="003577C4"/>
    <w:rsid w:val="00357B9E"/>
    <w:rsid w:val="00357BFF"/>
    <w:rsid w:val="00357EF0"/>
    <w:rsid w:val="00357F74"/>
    <w:rsid w:val="003601A0"/>
    <w:rsid w:val="003608D0"/>
    <w:rsid w:val="00361A16"/>
    <w:rsid w:val="00361AAA"/>
    <w:rsid w:val="00361B54"/>
    <w:rsid w:val="00362186"/>
    <w:rsid w:val="0036355D"/>
    <w:rsid w:val="00363F34"/>
    <w:rsid w:val="00364271"/>
    <w:rsid w:val="0036456F"/>
    <w:rsid w:val="003646C1"/>
    <w:rsid w:val="00364754"/>
    <w:rsid w:val="00364DCD"/>
    <w:rsid w:val="0036526F"/>
    <w:rsid w:val="00365E4F"/>
    <w:rsid w:val="00365F8F"/>
    <w:rsid w:val="003660ED"/>
    <w:rsid w:val="00366485"/>
    <w:rsid w:val="00366701"/>
    <w:rsid w:val="00366808"/>
    <w:rsid w:val="00366F77"/>
    <w:rsid w:val="00366FA9"/>
    <w:rsid w:val="003671DC"/>
    <w:rsid w:val="00367703"/>
    <w:rsid w:val="00367FE3"/>
    <w:rsid w:val="00370457"/>
    <w:rsid w:val="003716B6"/>
    <w:rsid w:val="003725E6"/>
    <w:rsid w:val="0037335F"/>
    <w:rsid w:val="003737CF"/>
    <w:rsid w:val="00373A6A"/>
    <w:rsid w:val="00373E9F"/>
    <w:rsid w:val="00374219"/>
    <w:rsid w:val="003746F6"/>
    <w:rsid w:val="00374BBB"/>
    <w:rsid w:val="00374E85"/>
    <w:rsid w:val="00375212"/>
    <w:rsid w:val="00375B31"/>
    <w:rsid w:val="00375BD3"/>
    <w:rsid w:val="00375BE4"/>
    <w:rsid w:val="00375CD3"/>
    <w:rsid w:val="003769FF"/>
    <w:rsid w:val="00376B41"/>
    <w:rsid w:val="00377B58"/>
    <w:rsid w:val="00377B73"/>
    <w:rsid w:val="00377D26"/>
    <w:rsid w:val="00377D94"/>
    <w:rsid w:val="00377FD6"/>
    <w:rsid w:val="00380A6B"/>
    <w:rsid w:val="0038107C"/>
    <w:rsid w:val="003811E0"/>
    <w:rsid w:val="0038161D"/>
    <w:rsid w:val="00381686"/>
    <w:rsid w:val="003816DF"/>
    <w:rsid w:val="003817AA"/>
    <w:rsid w:val="00381838"/>
    <w:rsid w:val="003824CA"/>
    <w:rsid w:val="003824DC"/>
    <w:rsid w:val="003828B9"/>
    <w:rsid w:val="00382BD0"/>
    <w:rsid w:val="00382DF3"/>
    <w:rsid w:val="003830B8"/>
    <w:rsid w:val="00383185"/>
    <w:rsid w:val="003833FF"/>
    <w:rsid w:val="00383BC9"/>
    <w:rsid w:val="00383EF0"/>
    <w:rsid w:val="00383F85"/>
    <w:rsid w:val="00384696"/>
    <w:rsid w:val="00384D2A"/>
    <w:rsid w:val="0038507C"/>
    <w:rsid w:val="00385183"/>
    <w:rsid w:val="003853B6"/>
    <w:rsid w:val="00385412"/>
    <w:rsid w:val="0038553B"/>
    <w:rsid w:val="00385849"/>
    <w:rsid w:val="00385D6A"/>
    <w:rsid w:val="00386103"/>
    <w:rsid w:val="003863E2"/>
    <w:rsid w:val="00386E60"/>
    <w:rsid w:val="00387525"/>
    <w:rsid w:val="00390408"/>
    <w:rsid w:val="003916AA"/>
    <w:rsid w:val="00391D70"/>
    <w:rsid w:val="00391D80"/>
    <w:rsid w:val="00391E0F"/>
    <w:rsid w:val="00392076"/>
    <w:rsid w:val="00392172"/>
    <w:rsid w:val="003923AA"/>
    <w:rsid w:val="003924E0"/>
    <w:rsid w:val="0039266F"/>
    <w:rsid w:val="00392781"/>
    <w:rsid w:val="00392A1B"/>
    <w:rsid w:val="00392C7F"/>
    <w:rsid w:val="0039319A"/>
    <w:rsid w:val="00393278"/>
    <w:rsid w:val="00393400"/>
    <w:rsid w:val="0039351E"/>
    <w:rsid w:val="003939BE"/>
    <w:rsid w:val="003949D4"/>
    <w:rsid w:val="00394A85"/>
    <w:rsid w:val="00394DA5"/>
    <w:rsid w:val="00394E8B"/>
    <w:rsid w:val="003950F7"/>
    <w:rsid w:val="00395436"/>
    <w:rsid w:val="00395795"/>
    <w:rsid w:val="00395946"/>
    <w:rsid w:val="00395E92"/>
    <w:rsid w:val="003962E3"/>
    <w:rsid w:val="003975BC"/>
    <w:rsid w:val="00397640"/>
    <w:rsid w:val="00397ABA"/>
    <w:rsid w:val="003A0078"/>
    <w:rsid w:val="003A0149"/>
    <w:rsid w:val="003A0154"/>
    <w:rsid w:val="003A0322"/>
    <w:rsid w:val="003A0687"/>
    <w:rsid w:val="003A0BFE"/>
    <w:rsid w:val="003A1024"/>
    <w:rsid w:val="003A1259"/>
    <w:rsid w:val="003A1761"/>
    <w:rsid w:val="003A2321"/>
    <w:rsid w:val="003A296A"/>
    <w:rsid w:val="003A2ABC"/>
    <w:rsid w:val="003A3941"/>
    <w:rsid w:val="003A3A01"/>
    <w:rsid w:val="003A3B67"/>
    <w:rsid w:val="003A3D2C"/>
    <w:rsid w:val="003A3D4A"/>
    <w:rsid w:val="003A3DC3"/>
    <w:rsid w:val="003A3DE5"/>
    <w:rsid w:val="003A3EC3"/>
    <w:rsid w:val="003A4061"/>
    <w:rsid w:val="003A43E0"/>
    <w:rsid w:val="003A446E"/>
    <w:rsid w:val="003A4B95"/>
    <w:rsid w:val="003A4C97"/>
    <w:rsid w:val="003A50D9"/>
    <w:rsid w:val="003A51D4"/>
    <w:rsid w:val="003A52F5"/>
    <w:rsid w:val="003A54E1"/>
    <w:rsid w:val="003A575D"/>
    <w:rsid w:val="003A5F89"/>
    <w:rsid w:val="003A6E7C"/>
    <w:rsid w:val="003A6F7C"/>
    <w:rsid w:val="003A7533"/>
    <w:rsid w:val="003A7B32"/>
    <w:rsid w:val="003B033B"/>
    <w:rsid w:val="003B0550"/>
    <w:rsid w:val="003B0BD0"/>
    <w:rsid w:val="003B1009"/>
    <w:rsid w:val="003B1307"/>
    <w:rsid w:val="003B159F"/>
    <w:rsid w:val="003B17C3"/>
    <w:rsid w:val="003B1902"/>
    <w:rsid w:val="003B1F18"/>
    <w:rsid w:val="003B24D7"/>
    <w:rsid w:val="003B2914"/>
    <w:rsid w:val="003B2927"/>
    <w:rsid w:val="003B2AB6"/>
    <w:rsid w:val="003B2BA9"/>
    <w:rsid w:val="003B3DDB"/>
    <w:rsid w:val="003B41A4"/>
    <w:rsid w:val="003B45D9"/>
    <w:rsid w:val="003B4B5A"/>
    <w:rsid w:val="003B4C9D"/>
    <w:rsid w:val="003B4FC4"/>
    <w:rsid w:val="003B5397"/>
    <w:rsid w:val="003B5606"/>
    <w:rsid w:val="003B5DBD"/>
    <w:rsid w:val="003B66BE"/>
    <w:rsid w:val="003B694F"/>
    <w:rsid w:val="003B6C7C"/>
    <w:rsid w:val="003B74CA"/>
    <w:rsid w:val="003B7B2A"/>
    <w:rsid w:val="003B7DAC"/>
    <w:rsid w:val="003C0DDE"/>
    <w:rsid w:val="003C0EE0"/>
    <w:rsid w:val="003C1AC4"/>
    <w:rsid w:val="003C1B2B"/>
    <w:rsid w:val="003C26A6"/>
    <w:rsid w:val="003C27B9"/>
    <w:rsid w:val="003C2AAE"/>
    <w:rsid w:val="003C2C46"/>
    <w:rsid w:val="003C2E6F"/>
    <w:rsid w:val="003C35FD"/>
    <w:rsid w:val="003C3651"/>
    <w:rsid w:val="003C3708"/>
    <w:rsid w:val="003C4088"/>
    <w:rsid w:val="003C42CF"/>
    <w:rsid w:val="003C43F0"/>
    <w:rsid w:val="003C4557"/>
    <w:rsid w:val="003C4AE6"/>
    <w:rsid w:val="003C5021"/>
    <w:rsid w:val="003C5083"/>
    <w:rsid w:val="003C55D9"/>
    <w:rsid w:val="003C5654"/>
    <w:rsid w:val="003C6C20"/>
    <w:rsid w:val="003C6E68"/>
    <w:rsid w:val="003C6F58"/>
    <w:rsid w:val="003C741B"/>
    <w:rsid w:val="003C7615"/>
    <w:rsid w:val="003C7861"/>
    <w:rsid w:val="003C79B5"/>
    <w:rsid w:val="003C79D7"/>
    <w:rsid w:val="003C7CC3"/>
    <w:rsid w:val="003C7E55"/>
    <w:rsid w:val="003D04BC"/>
    <w:rsid w:val="003D0879"/>
    <w:rsid w:val="003D0C4C"/>
    <w:rsid w:val="003D0E9C"/>
    <w:rsid w:val="003D160A"/>
    <w:rsid w:val="003D166D"/>
    <w:rsid w:val="003D1E02"/>
    <w:rsid w:val="003D2000"/>
    <w:rsid w:val="003D27BE"/>
    <w:rsid w:val="003D27F0"/>
    <w:rsid w:val="003D284C"/>
    <w:rsid w:val="003D3275"/>
    <w:rsid w:val="003D3CE8"/>
    <w:rsid w:val="003D42B1"/>
    <w:rsid w:val="003D4490"/>
    <w:rsid w:val="003D4546"/>
    <w:rsid w:val="003D4EF1"/>
    <w:rsid w:val="003D5052"/>
    <w:rsid w:val="003D5083"/>
    <w:rsid w:val="003D570D"/>
    <w:rsid w:val="003D57DD"/>
    <w:rsid w:val="003D6573"/>
    <w:rsid w:val="003D67F1"/>
    <w:rsid w:val="003D718D"/>
    <w:rsid w:val="003D7284"/>
    <w:rsid w:val="003D7400"/>
    <w:rsid w:val="003D7415"/>
    <w:rsid w:val="003D758E"/>
    <w:rsid w:val="003D776E"/>
    <w:rsid w:val="003D7868"/>
    <w:rsid w:val="003D7914"/>
    <w:rsid w:val="003E04B5"/>
    <w:rsid w:val="003E0A26"/>
    <w:rsid w:val="003E0A70"/>
    <w:rsid w:val="003E0AB2"/>
    <w:rsid w:val="003E0C55"/>
    <w:rsid w:val="003E0CB2"/>
    <w:rsid w:val="003E0F33"/>
    <w:rsid w:val="003E10B8"/>
    <w:rsid w:val="003E1231"/>
    <w:rsid w:val="003E1266"/>
    <w:rsid w:val="003E1436"/>
    <w:rsid w:val="003E1D62"/>
    <w:rsid w:val="003E25A9"/>
    <w:rsid w:val="003E28C1"/>
    <w:rsid w:val="003E2FCC"/>
    <w:rsid w:val="003E35EF"/>
    <w:rsid w:val="003E372E"/>
    <w:rsid w:val="003E3772"/>
    <w:rsid w:val="003E38C6"/>
    <w:rsid w:val="003E3A13"/>
    <w:rsid w:val="003E3ABD"/>
    <w:rsid w:val="003E3BDC"/>
    <w:rsid w:val="003E3D47"/>
    <w:rsid w:val="003E3D7C"/>
    <w:rsid w:val="003E42DA"/>
    <w:rsid w:val="003E44F0"/>
    <w:rsid w:val="003E4963"/>
    <w:rsid w:val="003E5BC0"/>
    <w:rsid w:val="003E6051"/>
    <w:rsid w:val="003E6056"/>
    <w:rsid w:val="003E63F6"/>
    <w:rsid w:val="003E79BE"/>
    <w:rsid w:val="003F0235"/>
    <w:rsid w:val="003F0707"/>
    <w:rsid w:val="003F0C81"/>
    <w:rsid w:val="003F171C"/>
    <w:rsid w:val="003F18BB"/>
    <w:rsid w:val="003F2079"/>
    <w:rsid w:val="003F2680"/>
    <w:rsid w:val="003F28F6"/>
    <w:rsid w:val="003F2D9B"/>
    <w:rsid w:val="003F34E3"/>
    <w:rsid w:val="003F3561"/>
    <w:rsid w:val="003F56C5"/>
    <w:rsid w:val="003F5BFF"/>
    <w:rsid w:val="003F6295"/>
    <w:rsid w:val="003F66E2"/>
    <w:rsid w:val="003F69A1"/>
    <w:rsid w:val="003F6F45"/>
    <w:rsid w:val="003F7ACF"/>
    <w:rsid w:val="003F7F8A"/>
    <w:rsid w:val="00401110"/>
    <w:rsid w:val="00401249"/>
    <w:rsid w:val="00401AD4"/>
    <w:rsid w:val="00401EBB"/>
    <w:rsid w:val="00401ED3"/>
    <w:rsid w:val="00402124"/>
    <w:rsid w:val="00402159"/>
    <w:rsid w:val="0040279A"/>
    <w:rsid w:val="00402CDC"/>
    <w:rsid w:val="00402D69"/>
    <w:rsid w:val="00403EBF"/>
    <w:rsid w:val="004040A8"/>
    <w:rsid w:val="0040538E"/>
    <w:rsid w:val="00406204"/>
    <w:rsid w:val="00406240"/>
    <w:rsid w:val="00406670"/>
    <w:rsid w:val="00406948"/>
    <w:rsid w:val="0040727D"/>
    <w:rsid w:val="00407314"/>
    <w:rsid w:val="004076F4"/>
    <w:rsid w:val="00407C3B"/>
    <w:rsid w:val="00407E3B"/>
    <w:rsid w:val="00407FEB"/>
    <w:rsid w:val="00410433"/>
    <w:rsid w:val="0041055D"/>
    <w:rsid w:val="004108C5"/>
    <w:rsid w:val="00410F56"/>
    <w:rsid w:val="0041103F"/>
    <w:rsid w:val="00412044"/>
    <w:rsid w:val="00412060"/>
    <w:rsid w:val="00412C9A"/>
    <w:rsid w:val="00412FC5"/>
    <w:rsid w:val="00413220"/>
    <w:rsid w:val="00413394"/>
    <w:rsid w:val="00413B44"/>
    <w:rsid w:val="00413EFE"/>
    <w:rsid w:val="00414302"/>
    <w:rsid w:val="00414354"/>
    <w:rsid w:val="004144EF"/>
    <w:rsid w:val="00414720"/>
    <w:rsid w:val="00414812"/>
    <w:rsid w:val="00414B00"/>
    <w:rsid w:val="00415F9E"/>
    <w:rsid w:val="00416D41"/>
    <w:rsid w:val="00417966"/>
    <w:rsid w:val="00417EB7"/>
    <w:rsid w:val="0042036A"/>
    <w:rsid w:val="004205A2"/>
    <w:rsid w:val="004207A8"/>
    <w:rsid w:val="00420B0F"/>
    <w:rsid w:val="00420D4B"/>
    <w:rsid w:val="00420E8D"/>
    <w:rsid w:val="00421A9A"/>
    <w:rsid w:val="00422276"/>
    <w:rsid w:val="0042297C"/>
    <w:rsid w:val="00422D9D"/>
    <w:rsid w:val="00423396"/>
    <w:rsid w:val="0042427B"/>
    <w:rsid w:val="004242F1"/>
    <w:rsid w:val="004245E3"/>
    <w:rsid w:val="00424CE5"/>
    <w:rsid w:val="00425128"/>
    <w:rsid w:val="00425CFC"/>
    <w:rsid w:val="00426598"/>
    <w:rsid w:val="00431105"/>
    <w:rsid w:val="00431386"/>
    <w:rsid w:val="0043186B"/>
    <w:rsid w:val="00431C22"/>
    <w:rsid w:val="00431CBD"/>
    <w:rsid w:val="004327B7"/>
    <w:rsid w:val="00432A61"/>
    <w:rsid w:val="00432AB2"/>
    <w:rsid w:val="00432C6B"/>
    <w:rsid w:val="00432D64"/>
    <w:rsid w:val="00432F81"/>
    <w:rsid w:val="0043323E"/>
    <w:rsid w:val="00433379"/>
    <w:rsid w:val="00433B2A"/>
    <w:rsid w:val="00433C41"/>
    <w:rsid w:val="00433CE4"/>
    <w:rsid w:val="00434315"/>
    <w:rsid w:val="00434560"/>
    <w:rsid w:val="0043474E"/>
    <w:rsid w:val="00434EA5"/>
    <w:rsid w:val="004356F2"/>
    <w:rsid w:val="004357ED"/>
    <w:rsid w:val="00435D7E"/>
    <w:rsid w:val="00435DB0"/>
    <w:rsid w:val="00436CD2"/>
    <w:rsid w:val="004377BD"/>
    <w:rsid w:val="004379B1"/>
    <w:rsid w:val="00437A96"/>
    <w:rsid w:val="00437DC1"/>
    <w:rsid w:val="00437F24"/>
    <w:rsid w:val="004404EB"/>
    <w:rsid w:val="0044086E"/>
    <w:rsid w:val="00440A1C"/>
    <w:rsid w:val="00440B03"/>
    <w:rsid w:val="00441096"/>
    <w:rsid w:val="0044114E"/>
    <w:rsid w:val="00441324"/>
    <w:rsid w:val="00441588"/>
    <w:rsid w:val="0044182E"/>
    <w:rsid w:val="00441DBC"/>
    <w:rsid w:val="00442124"/>
    <w:rsid w:val="00442598"/>
    <w:rsid w:val="00442F19"/>
    <w:rsid w:val="00443264"/>
    <w:rsid w:val="0044381F"/>
    <w:rsid w:val="00443D69"/>
    <w:rsid w:val="0044421A"/>
    <w:rsid w:val="004447CB"/>
    <w:rsid w:val="004447DB"/>
    <w:rsid w:val="00444A2C"/>
    <w:rsid w:val="00444C1C"/>
    <w:rsid w:val="00444C2A"/>
    <w:rsid w:val="004451A5"/>
    <w:rsid w:val="00445308"/>
    <w:rsid w:val="004455E5"/>
    <w:rsid w:val="00445937"/>
    <w:rsid w:val="00445A00"/>
    <w:rsid w:val="00445B72"/>
    <w:rsid w:val="00445E7A"/>
    <w:rsid w:val="00446115"/>
    <w:rsid w:val="004463E8"/>
    <w:rsid w:val="0044643E"/>
    <w:rsid w:val="004468DA"/>
    <w:rsid w:val="00446B21"/>
    <w:rsid w:val="00447005"/>
    <w:rsid w:val="00447896"/>
    <w:rsid w:val="00447C4D"/>
    <w:rsid w:val="00447F43"/>
    <w:rsid w:val="0045073F"/>
    <w:rsid w:val="004508A6"/>
    <w:rsid w:val="00450ABF"/>
    <w:rsid w:val="00450C87"/>
    <w:rsid w:val="00450FED"/>
    <w:rsid w:val="004514A1"/>
    <w:rsid w:val="00451B0F"/>
    <w:rsid w:val="00451F6C"/>
    <w:rsid w:val="00452100"/>
    <w:rsid w:val="00452721"/>
    <w:rsid w:val="00452C14"/>
    <w:rsid w:val="004531AC"/>
    <w:rsid w:val="004533FE"/>
    <w:rsid w:val="00453587"/>
    <w:rsid w:val="00453CAD"/>
    <w:rsid w:val="00454859"/>
    <w:rsid w:val="004549E8"/>
    <w:rsid w:val="00454B23"/>
    <w:rsid w:val="00454B91"/>
    <w:rsid w:val="004559D8"/>
    <w:rsid w:val="00455AB3"/>
    <w:rsid w:val="0045613F"/>
    <w:rsid w:val="00456C87"/>
    <w:rsid w:val="00456D61"/>
    <w:rsid w:val="00456F17"/>
    <w:rsid w:val="00457640"/>
    <w:rsid w:val="0045784C"/>
    <w:rsid w:val="00457D1E"/>
    <w:rsid w:val="00460A36"/>
    <w:rsid w:val="00460E06"/>
    <w:rsid w:val="00461B72"/>
    <w:rsid w:val="00461E55"/>
    <w:rsid w:val="00462690"/>
    <w:rsid w:val="004628D7"/>
    <w:rsid w:val="00462AFB"/>
    <w:rsid w:val="00462E77"/>
    <w:rsid w:val="00463FF6"/>
    <w:rsid w:val="0046449F"/>
    <w:rsid w:val="004644C4"/>
    <w:rsid w:val="004645D8"/>
    <w:rsid w:val="0046508E"/>
    <w:rsid w:val="004650DA"/>
    <w:rsid w:val="00465592"/>
    <w:rsid w:val="00465603"/>
    <w:rsid w:val="00465750"/>
    <w:rsid w:val="0046578A"/>
    <w:rsid w:val="004657E2"/>
    <w:rsid w:val="0046598D"/>
    <w:rsid w:val="00465CFA"/>
    <w:rsid w:val="0046677A"/>
    <w:rsid w:val="00466A08"/>
    <w:rsid w:val="004677A5"/>
    <w:rsid w:val="00467D89"/>
    <w:rsid w:val="00470D76"/>
    <w:rsid w:val="00471A84"/>
    <w:rsid w:val="00471CB4"/>
    <w:rsid w:val="004721B2"/>
    <w:rsid w:val="0047288B"/>
    <w:rsid w:val="004732BF"/>
    <w:rsid w:val="004737F8"/>
    <w:rsid w:val="00473873"/>
    <w:rsid w:val="00473B73"/>
    <w:rsid w:val="00473CF9"/>
    <w:rsid w:val="00473DDD"/>
    <w:rsid w:val="0047400A"/>
    <w:rsid w:val="00474199"/>
    <w:rsid w:val="004741F6"/>
    <w:rsid w:val="00474C5D"/>
    <w:rsid w:val="00475682"/>
    <w:rsid w:val="00475684"/>
    <w:rsid w:val="004756A1"/>
    <w:rsid w:val="004764D6"/>
    <w:rsid w:val="004768C8"/>
    <w:rsid w:val="00476D79"/>
    <w:rsid w:val="00477497"/>
    <w:rsid w:val="00477620"/>
    <w:rsid w:val="00477C49"/>
    <w:rsid w:val="00480723"/>
    <w:rsid w:val="004807F8"/>
    <w:rsid w:val="00480954"/>
    <w:rsid w:val="00480CC2"/>
    <w:rsid w:val="00481033"/>
    <w:rsid w:val="004812A9"/>
    <w:rsid w:val="00481B8E"/>
    <w:rsid w:val="00481F63"/>
    <w:rsid w:val="004820DF"/>
    <w:rsid w:val="004822CD"/>
    <w:rsid w:val="004823B3"/>
    <w:rsid w:val="00482A0E"/>
    <w:rsid w:val="00483A43"/>
    <w:rsid w:val="00484238"/>
    <w:rsid w:val="004848BB"/>
    <w:rsid w:val="004849A5"/>
    <w:rsid w:val="00484C1F"/>
    <w:rsid w:val="00484D22"/>
    <w:rsid w:val="00484F55"/>
    <w:rsid w:val="0048534D"/>
    <w:rsid w:val="00485569"/>
    <w:rsid w:val="00485929"/>
    <w:rsid w:val="00485B18"/>
    <w:rsid w:val="00486198"/>
    <w:rsid w:val="004863C4"/>
    <w:rsid w:val="0048699E"/>
    <w:rsid w:val="00486A86"/>
    <w:rsid w:val="00486BCB"/>
    <w:rsid w:val="0048786B"/>
    <w:rsid w:val="00487BD9"/>
    <w:rsid w:val="00490998"/>
    <w:rsid w:val="0049099F"/>
    <w:rsid w:val="00490A51"/>
    <w:rsid w:val="00491164"/>
    <w:rsid w:val="00491180"/>
    <w:rsid w:val="00491A17"/>
    <w:rsid w:val="00491A91"/>
    <w:rsid w:val="00491B68"/>
    <w:rsid w:val="00492486"/>
    <w:rsid w:val="0049371B"/>
    <w:rsid w:val="00493BED"/>
    <w:rsid w:val="004943AB"/>
    <w:rsid w:val="0049483D"/>
    <w:rsid w:val="0049490D"/>
    <w:rsid w:val="00494E88"/>
    <w:rsid w:val="004951B4"/>
    <w:rsid w:val="0049527F"/>
    <w:rsid w:val="00495491"/>
    <w:rsid w:val="00495BCE"/>
    <w:rsid w:val="00495C97"/>
    <w:rsid w:val="00495CCE"/>
    <w:rsid w:val="004962DD"/>
    <w:rsid w:val="0049636D"/>
    <w:rsid w:val="00496481"/>
    <w:rsid w:val="004970CF"/>
    <w:rsid w:val="00497DD7"/>
    <w:rsid w:val="004A007C"/>
    <w:rsid w:val="004A00EE"/>
    <w:rsid w:val="004A0759"/>
    <w:rsid w:val="004A092D"/>
    <w:rsid w:val="004A0947"/>
    <w:rsid w:val="004A0CD8"/>
    <w:rsid w:val="004A18EC"/>
    <w:rsid w:val="004A2185"/>
    <w:rsid w:val="004A2900"/>
    <w:rsid w:val="004A3471"/>
    <w:rsid w:val="004A35B4"/>
    <w:rsid w:val="004A3705"/>
    <w:rsid w:val="004A380D"/>
    <w:rsid w:val="004A42A2"/>
    <w:rsid w:val="004A4A40"/>
    <w:rsid w:val="004A508B"/>
    <w:rsid w:val="004A52C3"/>
    <w:rsid w:val="004A5735"/>
    <w:rsid w:val="004A5CFA"/>
    <w:rsid w:val="004A63BA"/>
    <w:rsid w:val="004A6949"/>
    <w:rsid w:val="004A74B8"/>
    <w:rsid w:val="004A7502"/>
    <w:rsid w:val="004A77BA"/>
    <w:rsid w:val="004A785C"/>
    <w:rsid w:val="004A7E7A"/>
    <w:rsid w:val="004A7F8A"/>
    <w:rsid w:val="004B03B6"/>
    <w:rsid w:val="004B1753"/>
    <w:rsid w:val="004B1754"/>
    <w:rsid w:val="004B1FD3"/>
    <w:rsid w:val="004B2494"/>
    <w:rsid w:val="004B26A9"/>
    <w:rsid w:val="004B26DD"/>
    <w:rsid w:val="004B294D"/>
    <w:rsid w:val="004B29A8"/>
    <w:rsid w:val="004B3568"/>
    <w:rsid w:val="004B39F6"/>
    <w:rsid w:val="004B3C5F"/>
    <w:rsid w:val="004B4036"/>
    <w:rsid w:val="004B4430"/>
    <w:rsid w:val="004B4FBC"/>
    <w:rsid w:val="004B535D"/>
    <w:rsid w:val="004B58C6"/>
    <w:rsid w:val="004B59D6"/>
    <w:rsid w:val="004B5C68"/>
    <w:rsid w:val="004B61DE"/>
    <w:rsid w:val="004B63C9"/>
    <w:rsid w:val="004B6EAA"/>
    <w:rsid w:val="004B7106"/>
    <w:rsid w:val="004B714D"/>
    <w:rsid w:val="004B7714"/>
    <w:rsid w:val="004B78A2"/>
    <w:rsid w:val="004B7A3F"/>
    <w:rsid w:val="004C0B35"/>
    <w:rsid w:val="004C0BF5"/>
    <w:rsid w:val="004C0C4C"/>
    <w:rsid w:val="004C0F24"/>
    <w:rsid w:val="004C1098"/>
    <w:rsid w:val="004C1CDD"/>
    <w:rsid w:val="004C2253"/>
    <w:rsid w:val="004C248C"/>
    <w:rsid w:val="004C2EE3"/>
    <w:rsid w:val="004C2F74"/>
    <w:rsid w:val="004C350C"/>
    <w:rsid w:val="004C370A"/>
    <w:rsid w:val="004C4CD8"/>
    <w:rsid w:val="004C4E88"/>
    <w:rsid w:val="004C5044"/>
    <w:rsid w:val="004C52BC"/>
    <w:rsid w:val="004C5783"/>
    <w:rsid w:val="004C5C89"/>
    <w:rsid w:val="004C6269"/>
    <w:rsid w:val="004C686B"/>
    <w:rsid w:val="004C6DC1"/>
    <w:rsid w:val="004C6E09"/>
    <w:rsid w:val="004C6E82"/>
    <w:rsid w:val="004C70B3"/>
    <w:rsid w:val="004C73ED"/>
    <w:rsid w:val="004C76B9"/>
    <w:rsid w:val="004C775C"/>
    <w:rsid w:val="004D0351"/>
    <w:rsid w:val="004D083E"/>
    <w:rsid w:val="004D09D7"/>
    <w:rsid w:val="004D11D6"/>
    <w:rsid w:val="004D1621"/>
    <w:rsid w:val="004D1D8D"/>
    <w:rsid w:val="004D1DEB"/>
    <w:rsid w:val="004D1FEC"/>
    <w:rsid w:val="004D208E"/>
    <w:rsid w:val="004D2E56"/>
    <w:rsid w:val="004D3398"/>
    <w:rsid w:val="004D36AA"/>
    <w:rsid w:val="004D3770"/>
    <w:rsid w:val="004D37F6"/>
    <w:rsid w:val="004D3927"/>
    <w:rsid w:val="004D3D08"/>
    <w:rsid w:val="004D3D57"/>
    <w:rsid w:val="004D450A"/>
    <w:rsid w:val="004D45F3"/>
    <w:rsid w:val="004D473D"/>
    <w:rsid w:val="004D4916"/>
    <w:rsid w:val="004D4A68"/>
    <w:rsid w:val="004D4B8E"/>
    <w:rsid w:val="004D542B"/>
    <w:rsid w:val="004D572E"/>
    <w:rsid w:val="004D5860"/>
    <w:rsid w:val="004D5D33"/>
    <w:rsid w:val="004D6116"/>
    <w:rsid w:val="004D66EC"/>
    <w:rsid w:val="004D6C82"/>
    <w:rsid w:val="004D7AE1"/>
    <w:rsid w:val="004D7C91"/>
    <w:rsid w:val="004D7D5C"/>
    <w:rsid w:val="004E00B3"/>
    <w:rsid w:val="004E0131"/>
    <w:rsid w:val="004E0633"/>
    <w:rsid w:val="004E0902"/>
    <w:rsid w:val="004E1063"/>
    <w:rsid w:val="004E1196"/>
    <w:rsid w:val="004E1486"/>
    <w:rsid w:val="004E1892"/>
    <w:rsid w:val="004E214A"/>
    <w:rsid w:val="004E21A1"/>
    <w:rsid w:val="004E2631"/>
    <w:rsid w:val="004E2D25"/>
    <w:rsid w:val="004E2EB6"/>
    <w:rsid w:val="004E314F"/>
    <w:rsid w:val="004E3153"/>
    <w:rsid w:val="004E3901"/>
    <w:rsid w:val="004E422A"/>
    <w:rsid w:val="004E4979"/>
    <w:rsid w:val="004E4A22"/>
    <w:rsid w:val="004E5580"/>
    <w:rsid w:val="004E564F"/>
    <w:rsid w:val="004E5A0E"/>
    <w:rsid w:val="004E6280"/>
    <w:rsid w:val="004E6457"/>
    <w:rsid w:val="004E6BE1"/>
    <w:rsid w:val="004E70CB"/>
    <w:rsid w:val="004E71C2"/>
    <w:rsid w:val="004E7366"/>
    <w:rsid w:val="004E73AF"/>
    <w:rsid w:val="004E7AF8"/>
    <w:rsid w:val="004F05DC"/>
    <w:rsid w:val="004F08BA"/>
    <w:rsid w:val="004F09E4"/>
    <w:rsid w:val="004F0A2C"/>
    <w:rsid w:val="004F0ED9"/>
    <w:rsid w:val="004F105B"/>
    <w:rsid w:val="004F123C"/>
    <w:rsid w:val="004F1769"/>
    <w:rsid w:val="004F1CB0"/>
    <w:rsid w:val="004F1D99"/>
    <w:rsid w:val="004F1DBB"/>
    <w:rsid w:val="004F2083"/>
    <w:rsid w:val="004F2143"/>
    <w:rsid w:val="004F2977"/>
    <w:rsid w:val="004F2D45"/>
    <w:rsid w:val="004F4174"/>
    <w:rsid w:val="004F4529"/>
    <w:rsid w:val="004F49A6"/>
    <w:rsid w:val="004F4B52"/>
    <w:rsid w:val="004F5391"/>
    <w:rsid w:val="004F69FF"/>
    <w:rsid w:val="004F6A78"/>
    <w:rsid w:val="004F7262"/>
    <w:rsid w:val="004F7300"/>
    <w:rsid w:val="004F7DEF"/>
    <w:rsid w:val="004F7E72"/>
    <w:rsid w:val="0050048F"/>
    <w:rsid w:val="005008EA"/>
    <w:rsid w:val="00500F2F"/>
    <w:rsid w:val="0050114E"/>
    <w:rsid w:val="0050185E"/>
    <w:rsid w:val="00502EA8"/>
    <w:rsid w:val="005030EC"/>
    <w:rsid w:val="00503136"/>
    <w:rsid w:val="005031F9"/>
    <w:rsid w:val="00503252"/>
    <w:rsid w:val="00503B5D"/>
    <w:rsid w:val="00504780"/>
    <w:rsid w:val="00505468"/>
    <w:rsid w:val="00505E5D"/>
    <w:rsid w:val="00505F8D"/>
    <w:rsid w:val="00506174"/>
    <w:rsid w:val="005061AF"/>
    <w:rsid w:val="005062CA"/>
    <w:rsid w:val="00506709"/>
    <w:rsid w:val="0050696D"/>
    <w:rsid w:val="0050697E"/>
    <w:rsid w:val="005069AD"/>
    <w:rsid w:val="00506A00"/>
    <w:rsid w:val="00506A43"/>
    <w:rsid w:val="00506ADA"/>
    <w:rsid w:val="00507724"/>
    <w:rsid w:val="0050786B"/>
    <w:rsid w:val="00507EB7"/>
    <w:rsid w:val="00510839"/>
    <w:rsid w:val="00510B34"/>
    <w:rsid w:val="00510C62"/>
    <w:rsid w:val="00510CB2"/>
    <w:rsid w:val="00510E89"/>
    <w:rsid w:val="00510F5D"/>
    <w:rsid w:val="00511148"/>
    <w:rsid w:val="0051175B"/>
    <w:rsid w:val="00511968"/>
    <w:rsid w:val="00511DF0"/>
    <w:rsid w:val="00511E33"/>
    <w:rsid w:val="00511E34"/>
    <w:rsid w:val="00511E3C"/>
    <w:rsid w:val="005123A2"/>
    <w:rsid w:val="005123AC"/>
    <w:rsid w:val="00512714"/>
    <w:rsid w:val="00513266"/>
    <w:rsid w:val="00513907"/>
    <w:rsid w:val="005139AE"/>
    <w:rsid w:val="0051507C"/>
    <w:rsid w:val="005150D6"/>
    <w:rsid w:val="00515752"/>
    <w:rsid w:val="005158BA"/>
    <w:rsid w:val="00515C9C"/>
    <w:rsid w:val="005170FB"/>
    <w:rsid w:val="0051748D"/>
    <w:rsid w:val="0052015D"/>
    <w:rsid w:val="0052026B"/>
    <w:rsid w:val="005207A6"/>
    <w:rsid w:val="00521118"/>
    <w:rsid w:val="00521479"/>
    <w:rsid w:val="005218A8"/>
    <w:rsid w:val="00521D61"/>
    <w:rsid w:val="00522421"/>
    <w:rsid w:val="00522AC1"/>
    <w:rsid w:val="00522B8D"/>
    <w:rsid w:val="0052357F"/>
    <w:rsid w:val="00523618"/>
    <w:rsid w:val="005249E3"/>
    <w:rsid w:val="005249F2"/>
    <w:rsid w:val="00524DE2"/>
    <w:rsid w:val="00525B5B"/>
    <w:rsid w:val="00526A52"/>
    <w:rsid w:val="00526C2E"/>
    <w:rsid w:val="005273F7"/>
    <w:rsid w:val="00530C7B"/>
    <w:rsid w:val="00530D16"/>
    <w:rsid w:val="00530EC6"/>
    <w:rsid w:val="0053109D"/>
    <w:rsid w:val="00531284"/>
    <w:rsid w:val="00531D33"/>
    <w:rsid w:val="005322B9"/>
    <w:rsid w:val="00532C56"/>
    <w:rsid w:val="00532EB1"/>
    <w:rsid w:val="00533394"/>
    <w:rsid w:val="00533B38"/>
    <w:rsid w:val="00534266"/>
    <w:rsid w:val="005346FC"/>
    <w:rsid w:val="0053480E"/>
    <w:rsid w:val="005352AC"/>
    <w:rsid w:val="00536121"/>
    <w:rsid w:val="005366EB"/>
    <w:rsid w:val="00537224"/>
    <w:rsid w:val="0053756F"/>
    <w:rsid w:val="00537D0B"/>
    <w:rsid w:val="005400AC"/>
    <w:rsid w:val="00540878"/>
    <w:rsid w:val="00540D07"/>
    <w:rsid w:val="00541430"/>
    <w:rsid w:val="0054144C"/>
    <w:rsid w:val="00541C69"/>
    <w:rsid w:val="00542472"/>
    <w:rsid w:val="00543BA1"/>
    <w:rsid w:val="00544023"/>
    <w:rsid w:val="00545416"/>
    <w:rsid w:val="0054567F"/>
    <w:rsid w:val="00545EF7"/>
    <w:rsid w:val="00545FE9"/>
    <w:rsid w:val="005461BC"/>
    <w:rsid w:val="00546DAD"/>
    <w:rsid w:val="00546DD6"/>
    <w:rsid w:val="005473C7"/>
    <w:rsid w:val="005500E9"/>
    <w:rsid w:val="005521C1"/>
    <w:rsid w:val="005526DD"/>
    <w:rsid w:val="0055286D"/>
    <w:rsid w:val="00553288"/>
    <w:rsid w:val="005533FD"/>
    <w:rsid w:val="00553B9A"/>
    <w:rsid w:val="00553CE4"/>
    <w:rsid w:val="00554137"/>
    <w:rsid w:val="00554624"/>
    <w:rsid w:val="00554DA9"/>
    <w:rsid w:val="00555256"/>
    <w:rsid w:val="00555E9C"/>
    <w:rsid w:val="0055614C"/>
    <w:rsid w:val="005561F1"/>
    <w:rsid w:val="005569BF"/>
    <w:rsid w:val="00556AD9"/>
    <w:rsid w:val="00556CE5"/>
    <w:rsid w:val="005578AA"/>
    <w:rsid w:val="005579FC"/>
    <w:rsid w:val="00557CE2"/>
    <w:rsid w:val="005604B2"/>
    <w:rsid w:val="00561416"/>
    <w:rsid w:val="005617B2"/>
    <w:rsid w:val="00561BE7"/>
    <w:rsid w:val="00561C38"/>
    <w:rsid w:val="00561D6D"/>
    <w:rsid w:val="00561DED"/>
    <w:rsid w:val="0056236A"/>
    <w:rsid w:val="00563AA6"/>
    <w:rsid w:val="00563ABA"/>
    <w:rsid w:val="0056413E"/>
    <w:rsid w:val="005641C3"/>
    <w:rsid w:val="00564280"/>
    <w:rsid w:val="00564B98"/>
    <w:rsid w:val="00564C30"/>
    <w:rsid w:val="00565574"/>
    <w:rsid w:val="00565BC3"/>
    <w:rsid w:val="005660C8"/>
    <w:rsid w:val="005665A0"/>
    <w:rsid w:val="00566B2A"/>
    <w:rsid w:val="00566D06"/>
    <w:rsid w:val="00566E97"/>
    <w:rsid w:val="005671ED"/>
    <w:rsid w:val="0057028F"/>
    <w:rsid w:val="00570315"/>
    <w:rsid w:val="005706CE"/>
    <w:rsid w:val="0057098D"/>
    <w:rsid w:val="00571669"/>
    <w:rsid w:val="0057220B"/>
    <w:rsid w:val="00572588"/>
    <w:rsid w:val="005726D5"/>
    <w:rsid w:val="00572E09"/>
    <w:rsid w:val="00573664"/>
    <w:rsid w:val="00573992"/>
    <w:rsid w:val="00573BE3"/>
    <w:rsid w:val="00573DF7"/>
    <w:rsid w:val="00573E22"/>
    <w:rsid w:val="005748E3"/>
    <w:rsid w:val="00574B14"/>
    <w:rsid w:val="00574EF7"/>
    <w:rsid w:val="00574F05"/>
    <w:rsid w:val="0057553E"/>
    <w:rsid w:val="005761D6"/>
    <w:rsid w:val="00576465"/>
    <w:rsid w:val="00576E90"/>
    <w:rsid w:val="005774F7"/>
    <w:rsid w:val="005777A2"/>
    <w:rsid w:val="005802EA"/>
    <w:rsid w:val="005804D8"/>
    <w:rsid w:val="00580B28"/>
    <w:rsid w:val="00581CA1"/>
    <w:rsid w:val="005821B4"/>
    <w:rsid w:val="00582A03"/>
    <w:rsid w:val="00582C42"/>
    <w:rsid w:val="00582FF7"/>
    <w:rsid w:val="00583996"/>
    <w:rsid w:val="00583F3D"/>
    <w:rsid w:val="00584CE0"/>
    <w:rsid w:val="00584D43"/>
    <w:rsid w:val="00584DAC"/>
    <w:rsid w:val="00585042"/>
    <w:rsid w:val="00585235"/>
    <w:rsid w:val="005855FD"/>
    <w:rsid w:val="0058581E"/>
    <w:rsid w:val="00586271"/>
    <w:rsid w:val="00586F97"/>
    <w:rsid w:val="00586FB0"/>
    <w:rsid w:val="00587023"/>
    <w:rsid w:val="005876C9"/>
    <w:rsid w:val="00587779"/>
    <w:rsid w:val="00587898"/>
    <w:rsid w:val="005900D6"/>
    <w:rsid w:val="00590273"/>
    <w:rsid w:val="00590FD3"/>
    <w:rsid w:val="00590FE9"/>
    <w:rsid w:val="005911F4"/>
    <w:rsid w:val="00591866"/>
    <w:rsid w:val="00591B82"/>
    <w:rsid w:val="00591DAB"/>
    <w:rsid w:val="00592040"/>
    <w:rsid w:val="0059214E"/>
    <w:rsid w:val="005929DB"/>
    <w:rsid w:val="00593C72"/>
    <w:rsid w:val="00594088"/>
    <w:rsid w:val="00594486"/>
    <w:rsid w:val="00594689"/>
    <w:rsid w:val="00594889"/>
    <w:rsid w:val="005949CB"/>
    <w:rsid w:val="00594A0D"/>
    <w:rsid w:val="00594D4E"/>
    <w:rsid w:val="00595445"/>
    <w:rsid w:val="00595726"/>
    <w:rsid w:val="00595E91"/>
    <w:rsid w:val="005964D1"/>
    <w:rsid w:val="00596AB9"/>
    <w:rsid w:val="00597754"/>
    <w:rsid w:val="0059793F"/>
    <w:rsid w:val="00597B78"/>
    <w:rsid w:val="005A0315"/>
    <w:rsid w:val="005A04F1"/>
    <w:rsid w:val="005A05C0"/>
    <w:rsid w:val="005A0F6F"/>
    <w:rsid w:val="005A0FE2"/>
    <w:rsid w:val="005A14B2"/>
    <w:rsid w:val="005A192F"/>
    <w:rsid w:val="005A19AF"/>
    <w:rsid w:val="005A1FCB"/>
    <w:rsid w:val="005A2B97"/>
    <w:rsid w:val="005A2C57"/>
    <w:rsid w:val="005A3411"/>
    <w:rsid w:val="005A3C7C"/>
    <w:rsid w:val="005A4C65"/>
    <w:rsid w:val="005A5B9E"/>
    <w:rsid w:val="005A5F19"/>
    <w:rsid w:val="005A5F3D"/>
    <w:rsid w:val="005A64A6"/>
    <w:rsid w:val="005A6A89"/>
    <w:rsid w:val="005A6BCA"/>
    <w:rsid w:val="005A6C8E"/>
    <w:rsid w:val="005A6F28"/>
    <w:rsid w:val="005A71AA"/>
    <w:rsid w:val="005A71E0"/>
    <w:rsid w:val="005B0224"/>
    <w:rsid w:val="005B0386"/>
    <w:rsid w:val="005B03FF"/>
    <w:rsid w:val="005B0DB8"/>
    <w:rsid w:val="005B0E32"/>
    <w:rsid w:val="005B0F11"/>
    <w:rsid w:val="005B13D7"/>
    <w:rsid w:val="005B169B"/>
    <w:rsid w:val="005B1CFA"/>
    <w:rsid w:val="005B1F7F"/>
    <w:rsid w:val="005B200A"/>
    <w:rsid w:val="005B2CA1"/>
    <w:rsid w:val="005B2D3B"/>
    <w:rsid w:val="005B2E2F"/>
    <w:rsid w:val="005B3049"/>
    <w:rsid w:val="005B3256"/>
    <w:rsid w:val="005B358D"/>
    <w:rsid w:val="005B4136"/>
    <w:rsid w:val="005B494A"/>
    <w:rsid w:val="005B4FC4"/>
    <w:rsid w:val="005B5BC5"/>
    <w:rsid w:val="005B5FAB"/>
    <w:rsid w:val="005B6021"/>
    <w:rsid w:val="005B6738"/>
    <w:rsid w:val="005B7C9B"/>
    <w:rsid w:val="005C070B"/>
    <w:rsid w:val="005C0EB6"/>
    <w:rsid w:val="005C2047"/>
    <w:rsid w:val="005C2D12"/>
    <w:rsid w:val="005C3235"/>
    <w:rsid w:val="005C3317"/>
    <w:rsid w:val="005C371F"/>
    <w:rsid w:val="005C47DF"/>
    <w:rsid w:val="005C4BF3"/>
    <w:rsid w:val="005C5486"/>
    <w:rsid w:val="005C5617"/>
    <w:rsid w:val="005C5A4C"/>
    <w:rsid w:val="005C655C"/>
    <w:rsid w:val="005C6ED2"/>
    <w:rsid w:val="005C6F21"/>
    <w:rsid w:val="005C71D1"/>
    <w:rsid w:val="005C73E6"/>
    <w:rsid w:val="005C7514"/>
    <w:rsid w:val="005D0716"/>
    <w:rsid w:val="005D0C0B"/>
    <w:rsid w:val="005D1429"/>
    <w:rsid w:val="005D15A5"/>
    <w:rsid w:val="005D15FE"/>
    <w:rsid w:val="005D1F23"/>
    <w:rsid w:val="005D2C14"/>
    <w:rsid w:val="005D3144"/>
    <w:rsid w:val="005D3E1A"/>
    <w:rsid w:val="005D4A08"/>
    <w:rsid w:val="005D5263"/>
    <w:rsid w:val="005D5A4F"/>
    <w:rsid w:val="005D5B98"/>
    <w:rsid w:val="005D5F63"/>
    <w:rsid w:val="005D621A"/>
    <w:rsid w:val="005D6C92"/>
    <w:rsid w:val="005D6E9C"/>
    <w:rsid w:val="005D6FCD"/>
    <w:rsid w:val="005D7608"/>
    <w:rsid w:val="005D7688"/>
    <w:rsid w:val="005D7892"/>
    <w:rsid w:val="005D7A82"/>
    <w:rsid w:val="005D7AAA"/>
    <w:rsid w:val="005D7E79"/>
    <w:rsid w:val="005E02B5"/>
    <w:rsid w:val="005E0397"/>
    <w:rsid w:val="005E0AA2"/>
    <w:rsid w:val="005E0B08"/>
    <w:rsid w:val="005E0C7C"/>
    <w:rsid w:val="005E14C2"/>
    <w:rsid w:val="005E188F"/>
    <w:rsid w:val="005E1942"/>
    <w:rsid w:val="005E1F4C"/>
    <w:rsid w:val="005E2345"/>
    <w:rsid w:val="005E24C2"/>
    <w:rsid w:val="005E2736"/>
    <w:rsid w:val="005E28B2"/>
    <w:rsid w:val="005E2B77"/>
    <w:rsid w:val="005E2D62"/>
    <w:rsid w:val="005E32A5"/>
    <w:rsid w:val="005E3423"/>
    <w:rsid w:val="005E34D0"/>
    <w:rsid w:val="005E34F5"/>
    <w:rsid w:val="005E3864"/>
    <w:rsid w:val="005E3F2A"/>
    <w:rsid w:val="005E419C"/>
    <w:rsid w:val="005E4CA3"/>
    <w:rsid w:val="005E5A22"/>
    <w:rsid w:val="005E5A3B"/>
    <w:rsid w:val="005E5CFE"/>
    <w:rsid w:val="005E6474"/>
    <w:rsid w:val="005E6F1E"/>
    <w:rsid w:val="005E716B"/>
    <w:rsid w:val="005E72A2"/>
    <w:rsid w:val="005E7354"/>
    <w:rsid w:val="005E7720"/>
    <w:rsid w:val="005E7800"/>
    <w:rsid w:val="005E7BAB"/>
    <w:rsid w:val="005E7FC6"/>
    <w:rsid w:val="005E7FE6"/>
    <w:rsid w:val="005F0013"/>
    <w:rsid w:val="005F001B"/>
    <w:rsid w:val="005F1213"/>
    <w:rsid w:val="005F1220"/>
    <w:rsid w:val="005F1A39"/>
    <w:rsid w:val="005F25FC"/>
    <w:rsid w:val="005F31C7"/>
    <w:rsid w:val="005F32A5"/>
    <w:rsid w:val="005F338B"/>
    <w:rsid w:val="005F33AF"/>
    <w:rsid w:val="005F40E6"/>
    <w:rsid w:val="005F444B"/>
    <w:rsid w:val="005F45B9"/>
    <w:rsid w:val="005F4A86"/>
    <w:rsid w:val="005F5D4A"/>
    <w:rsid w:val="005F6108"/>
    <w:rsid w:val="005F6113"/>
    <w:rsid w:val="005F6314"/>
    <w:rsid w:val="005F63F5"/>
    <w:rsid w:val="005F6A55"/>
    <w:rsid w:val="005F6ADC"/>
    <w:rsid w:val="005F6D7A"/>
    <w:rsid w:val="005F754F"/>
    <w:rsid w:val="005F77B7"/>
    <w:rsid w:val="005F79EA"/>
    <w:rsid w:val="005F7AF9"/>
    <w:rsid w:val="005F7E81"/>
    <w:rsid w:val="006003B2"/>
    <w:rsid w:val="00600E68"/>
    <w:rsid w:val="00601383"/>
    <w:rsid w:val="0060156D"/>
    <w:rsid w:val="00601C91"/>
    <w:rsid w:val="00601F2C"/>
    <w:rsid w:val="006030B5"/>
    <w:rsid w:val="0060314A"/>
    <w:rsid w:val="00603490"/>
    <w:rsid w:val="00604532"/>
    <w:rsid w:val="00604536"/>
    <w:rsid w:val="00604635"/>
    <w:rsid w:val="00605106"/>
    <w:rsid w:val="00605398"/>
    <w:rsid w:val="006053E6"/>
    <w:rsid w:val="00605A5F"/>
    <w:rsid w:val="00605F8A"/>
    <w:rsid w:val="00606F76"/>
    <w:rsid w:val="0060718D"/>
    <w:rsid w:val="00607274"/>
    <w:rsid w:val="0060790E"/>
    <w:rsid w:val="006079EB"/>
    <w:rsid w:val="00607A99"/>
    <w:rsid w:val="00607BA5"/>
    <w:rsid w:val="006102B3"/>
    <w:rsid w:val="00610309"/>
    <w:rsid w:val="00610607"/>
    <w:rsid w:val="00610F20"/>
    <w:rsid w:val="006110C7"/>
    <w:rsid w:val="006115FD"/>
    <w:rsid w:val="0061180A"/>
    <w:rsid w:val="0061195E"/>
    <w:rsid w:val="006122A2"/>
    <w:rsid w:val="00612E43"/>
    <w:rsid w:val="006132FC"/>
    <w:rsid w:val="00613B3F"/>
    <w:rsid w:val="00613ED2"/>
    <w:rsid w:val="006142DC"/>
    <w:rsid w:val="00614B23"/>
    <w:rsid w:val="00615891"/>
    <w:rsid w:val="006167ED"/>
    <w:rsid w:val="00616B4B"/>
    <w:rsid w:val="0061710F"/>
    <w:rsid w:val="00617369"/>
    <w:rsid w:val="006177E7"/>
    <w:rsid w:val="00617F47"/>
    <w:rsid w:val="0062067F"/>
    <w:rsid w:val="00620F20"/>
    <w:rsid w:val="0062174B"/>
    <w:rsid w:val="00621F58"/>
    <w:rsid w:val="00622369"/>
    <w:rsid w:val="006223A6"/>
    <w:rsid w:val="00623293"/>
    <w:rsid w:val="00624032"/>
    <w:rsid w:val="00624D8C"/>
    <w:rsid w:val="00625404"/>
    <w:rsid w:val="006256E5"/>
    <w:rsid w:val="00625D9E"/>
    <w:rsid w:val="0062622F"/>
    <w:rsid w:val="006262F8"/>
    <w:rsid w:val="0062641F"/>
    <w:rsid w:val="006265E8"/>
    <w:rsid w:val="00626D01"/>
    <w:rsid w:val="00626EB6"/>
    <w:rsid w:val="00626FF8"/>
    <w:rsid w:val="0062743B"/>
    <w:rsid w:val="006274A5"/>
    <w:rsid w:val="006276AD"/>
    <w:rsid w:val="00627791"/>
    <w:rsid w:val="00627FAD"/>
    <w:rsid w:val="00630031"/>
    <w:rsid w:val="006301BD"/>
    <w:rsid w:val="0063089D"/>
    <w:rsid w:val="00630E81"/>
    <w:rsid w:val="00631286"/>
    <w:rsid w:val="00631A1F"/>
    <w:rsid w:val="00632198"/>
    <w:rsid w:val="00632CAD"/>
    <w:rsid w:val="00633020"/>
    <w:rsid w:val="00633385"/>
    <w:rsid w:val="0063393F"/>
    <w:rsid w:val="00633A16"/>
    <w:rsid w:val="00633EFA"/>
    <w:rsid w:val="00634C09"/>
    <w:rsid w:val="00634E7F"/>
    <w:rsid w:val="00634F90"/>
    <w:rsid w:val="006357FA"/>
    <w:rsid w:val="00635A6C"/>
    <w:rsid w:val="00636037"/>
    <w:rsid w:val="00636125"/>
    <w:rsid w:val="00636611"/>
    <w:rsid w:val="00636871"/>
    <w:rsid w:val="00636D7F"/>
    <w:rsid w:val="006370B5"/>
    <w:rsid w:val="006376EF"/>
    <w:rsid w:val="00637F27"/>
    <w:rsid w:val="006400FF"/>
    <w:rsid w:val="00640123"/>
    <w:rsid w:val="0064058D"/>
    <w:rsid w:val="00640779"/>
    <w:rsid w:val="006409E7"/>
    <w:rsid w:val="00641043"/>
    <w:rsid w:val="006410B6"/>
    <w:rsid w:val="0064145C"/>
    <w:rsid w:val="006417FA"/>
    <w:rsid w:val="00641EF0"/>
    <w:rsid w:val="00641F6B"/>
    <w:rsid w:val="006421CA"/>
    <w:rsid w:val="0064220B"/>
    <w:rsid w:val="00642CA9"/>
    <w:rsid w:val="006436E9"/>
    <w:rsid w:val="006438CA"/>
    <w:rsid w:val="00643F7B"/>
    <w:rsid w:val="006443C1"/>
    <w:rsid w:val="00644401"/>
    <w:rsid w:val="0064456F"/>
    <w:rsid w:val="00644C48"/>
    <w:rsid w:val="00644C7D"/>
    <w:rsid w:val="006457C0"/>
    <w:rsid w:val="00645B50"/>
    <w:rsid w:val="00645E5C"/>
    <w:rsid w:val="0064606B"/>
    <w:rsid w:val="00646141"/>
    <w:rsid w:val="00646B7A"/>
    <w:rsid w:val="00646DA8"/>
    <w:rsid w:val="00646E11"/>
    <w:rsid w:val="00646F39"/>
    <w:rsid w:val="00647F22"/>
    <w:rsid w:val="00647F6D"/>
    <w:rsid w:val="00650018"/>
    <w:rsid w:val="006500ED"/>
    <w:rsid w:val="00650D54"/>
    <w:rsid w:val="006511E4"/>
    <w:rsid w:val="00651DC7"/>
    <w:rsid w:val="006522E6"/>
    <w:rsid w:val="006523C1"/>
    <w:rsid w:val="006525AC"/>
    <w:rsid w:val="00652D49"/>
    <w:rsid w:val="00653164"/>
    <w:rsid w:val="006532C5"/>
    <w:rsid w:val="00653A55"/>
    <w:rsid w:val="00653DA9"/>
    <w:rsid w:val="00654324"/>
    <w:rsid w:val="006545CC"/>
    <w:rsid w:val="00654776"/>
    <w:rsid w:val="00654B20"/>
    <w:rsid w:val="00654FB2"/>
    <w:rsid w:val="006556D5"/>
    <w:rsid w:val="00655D03"/>
    <w:rsid w:val="00655EB0"/>
    <w:rsid w:val="006562DB"/>
    <w:rsid w:val="00656775"/>
    <w:rsid w:val="00656940"/>
    <w:rsid w:val="00656976"/>
    <w:rsid w:val="00656F3B"/>
    <w:rsid w:val="006571A6"/>
    <w:rsid w:val="00657471"/>
    <w:rsid w:val="006578F9"/>
    <w:rsid w:val="00657DA4"/>
    <w:rsid w:val="00657EE7"/>
    <w:rsid w:val="00660C8D"/>
    <w:rsid w:val="00660CF0"/>
    <w:rsid w:val="0066123D"/>
    <w:rsid w:val="00661D16"/>
    <w:rsid w:val="00661DAF"/>
    <w:rsid w:val="006622B0"/>
    <w:rsid w:val="00662EA8"/>
    <w:rsid w:val="00662F80"/>
    <w:rsid w:val="006633F6"/>
    <w:rsid w:val="00663DDD"/>
    <w:rsid w:val="0066411B"/>
    <w:rsid w:val="0066414B"/>
    <w:rsid w:val="00664417"/>
    <w:rsid w:val="006647AC"/>
    <w:rsid w:val="006649BD"/>
    <w:rsid w:val="0066632C"/>
    <w:rsid w:val="006663EE"/>
    <w:rsid w:val="0066699E"/>
    <w:rsid w:val="00666C55"/>
    <w:rsid w:val="00666F93"/>
    <w:rsid w:val="00667474"/>
    <w:rsid w:val="00667780"/>
    <w:rsid w:val="00667DCF"/>
    <w:rsid w:val="006703EB"/>
    <w:rsid w:val="00670E73"/>
    <w:rsid w:val="00670F7E"/>
    <w:rsid w:val="006710B3"/>
    <w:rsid w:val="006717A2"/>
    <w:rsid w:val="00671C16"/>
    <w:rsid w:val="00671D8E"/>
    <w:rsid w:val="006724CF"/>
    <w:rsid w:val="006726FE"/>
    <w:rsid w:val="00672E78"/>
    <w:rsid w:val="00672F8E"/>
    <w:rsid w:val="006732B7"/>
    <w:rsid w:val="00673498"/>
    <w:rsid w:val="00673EE9"/>
    <w:rsid w:val="00673F3D"/>
    <w:rsid w:val="0067448B"/>
    <w:rsid w:val="00674947"/>
    <w:rsid w:val="006749B0"/>
    <w:rsid w:val="00674DEB"/>
    <w:rsid w:val="006750E0"/>
    <w:rsid w:val="00675916"/>
    <w:rsid w:val="00675961"/>
    <w:rsid w:val="00675EC7"/>
    <w:rsid w:val="006765D8"/>
    <w:rsid w:val="00676A17"/>
    <w:rsid w:val="00676E3C"/>
    <w:rsid w:val="00677089"/>
    <w:rsid w:val="00677F44"/>
    <w:rsid w:val="00680A93"/>
    <w:rsid w:val="00680BCC"/>
    <w:rsid w:val="00680E9A"/>
    <w:rsid w:val="0068143E"/>
    <w:rsid w:val="00681770"/>
    <w:rsid w:val="0068200F"/>
    <w:rsid w:val="006821D7"/>
    <w:rsid w:val="006822F1"/>
    <w:rsid w:val="006827E2"/>
    <w:rsid w:val="0068284F"/>
    <w:rsid w:val="00683025"/>
    <w:rsid w:val="006832F4"/>
    <w:rsid w:val="00683388"/>
    <w:rsid w:val="00683A05"/>
    <w:rsid w:val="00683EC6"/>
    <w:rsid w:val="00683F5E"/>
    <w:rsid w:val="00683F84"/>
    <w:rsid w:val="00684BD6"/>
    <w:rsid w:val="00684D8F"/>
    <w:rsid w:val="00685874"/>
    <w:rsid w:val="00685FEA"/>
    <w:rsid w:val="00686176"/>
    <w:rsid w:val="00687140"/>
    <w:rsid w:val="006876A8"/>
    <w:rsid w:val="0069003C"/>
    <w:rsid w:val="006901B0"/>
    <w:rsid w:val="00690421"/>
    <w:rsid w:val="00690881"/>
    <w:rsid w:val="00690C25"/>
    <w:rsid w:val="00690EA3"/>
    <w:rsid w:val="00690F1A"/>
    <w:rsid w:val="00690FCF"/>
    <w:rsid w:val="00691162"/>
    <w:rsid w:val="006912EC"/>
    <w:rsid w:val="00691864"/>
    <w:rsid w:val="00691988"/>
    <w:rsid w:val="006927A3"/>
    <w:rsid w:val="006928D6"/>
    <w:rsid w:val="00693337"/>
    <w:rsid w:val="00693528"/>
    <w:rsid w:val="00693F49"/>
    <w:rsid w:val="00693F61"/>
    <w:rsid w:val="00694508"/>
    <w:rsid w:val="00694AA7"/>
    <w:rsid w:val="00694D9C"/>
    <w:rsid w:val="00694F83"/>
    <w:rsid w:val="006956AC"/>
    <w:rsid w:val="00695CD9"/>
    <w:rsid w:val="00696633"/>
    <w:rsid w:val="00697D17"/>
    <w:rsid w:val="006A067D"/>
    <w:rsid w:val="006A0EB9"/>
    <w:rsid w:val="006A1076"/>
    <w:rsid w:val="006A1584"/>
    <w:rsid w:val="006A15A6"/>
    <w:rsid w:val="006A16B5"/>
    <w:rsid w:val="006A173D"/>
    <w:rsid w:val="006A1C04"/>
    <w:rsid w:val="006A1E64"/>
    <w:rsid w:val="006A1FAB"/>
    <w:rsid w:val="006A21F7"/>
    <w:rsid w:val="006A236B"/>
    <w:rsid w:val="006A33C8"/>
    <w:rsid w:val="006A345A"/>
    <w:rsid w:val="006A3922"/>
    <w:rsid w:val="006A4078"/>
    <w:rsid w:val="006A4F8F"/>
    <w:rsid w:val="006A667A"/>
    <w:rsid w:val="006A6A81"/>
    <w:rsid w:val="006A6C6F"/>
    <w:rsid w:val="006A75F1"/>
    <w:rsid w:val="006A774C"/>
    <w:rsid w:val="006A78CD"/>
    <w:rsid w:val="006A799C"/>
    <w:rsid w:val="006B0385"/>
    <w:rsid w:val="006B0ACE"/>
    <w:rsid w:val="006B0B06"/>
    <w:rsid w:val="006B238B"/>
    <w:rsid w:val="006B2523"/>
    <w:rsid w:val="006B2664"/>
    <w:rsid w:val="006B2DDC"/>
    <w:rsid w:val="006B2DE2"/>
    <w:rsid w:val="006B3CB1"/>
    <w:rsid w:val="006B3CC7"/>
    <w:rsid w:val="006B3E4B"/>
    <w:rsid w:val="006B46B4"/>
    <w:rsid w:val="006B4A2E"/>
    <w:rsid w:val="006B4B67"/>
    <w:rsid w:val="006B4B68"/>
    <w:rsid w:val="006B539B"/>
    <w:rsid w:val="006B5AA5"/>
    <w:rsid w:val="006B5F28"/>
    <w:rsid w:val="006B6371"/>
    <w:rsid w:val="006B6401"/>
    <w:rsid w:val="006B64E9"/>
    <w:rsid w:val="006B68BC"/>
    <w:rsid w:val="006B6ABB"/>
    <w:rsid w:val="006B6B28"/>
    <w:rsid w:val="006B6EC2"/>
    <w:rsid w:val="006B7398"/>
    <w:rsid w:val="006B75E5"/>
    <w:rsid w:val="006B78D5"/>
    <w:rsid w:val="006B7BCB"/>
    <w:rsid w:val="006C041A"/>
    <w:rsid w:val="006C0B39"/>
    <w:rsid w:val="006C1687"/>
    <w:rsid w:val="006C1924"/>
    <w:rsid w:val="006C1AF0"/>
    <w:rsid w:val="006C1C37"/>
    <w:rsid w:val="006C24EF"/>
    <w:rsid w:val="006C2BE7"/>
    <w:rsid w:val="006C2E0D"/>
    <w:rsid w:val="006C33A1"/>
    <w:rsid w:val="006C3747"/>
    <w:rsid w:val="006C3C93"/>
    <w:rsid w:val="006C477B"/>
    <w:rsid w:val="006C4A02"/>
    <w:rsid w:val="006C4C2E"/>
    <w:rsid w:val="006C4D22"/>
    <w:rsid w:val="006C5117"/>
    <w:rsid w:val="006C55BA"/>
    <w:rsid w:val="006C5A88"/>
    <w:rsid w:val="006C5B01"/>
    <w:rsid w:val="006C5F89"/>
    <w:rsid w:val="006C77D1"/>
    <w:rsid w:val="006C796B"/>
    <w:rsid w:val="006C7C93"/>
    <w:rsid w:val="006C7D35"/>
    <w:rsid w:val="006D04ED"/>
    <w:rsid w:val="006D0718"/>
    <w:rsid w:val="006D0A86"/>
    <w:rsid w:val="006D1218"/>
    <w:rsid w:val="006D129E"/>
    <w:rsid w:val="006D1531"/>
    <w:rsid w:val="006D1A26"/>
    <w:rsid w:val="006D29DD"/>
    <w:rsid w:val="006D2B61"/>
    <w:rsid w:val="006D3279"/>
    <w:rsid w:val="006D3335"/>
    <w:rsid w:val="006D360D"/>
    <w:rsid w:val="006D3A7B"/>
    <w:rsid w:val="006D3B3F"/>
    <w:rsid w:val="006D41DE"/>
    <w:rsid w:val="006D4CA9"/>
    <w:rsid w:val="006D4D17"/>
    <w:rsid w:val="006D4FDB"/>
    <w:rsid w:val="006D5109"/>
    <w:rsid w:val="006D59BB"/>
    <w:rsid w:val="006D63DC"/>
    <w:rsid w:val="006D660A"/>
    <w:rsid w:val="006D685B"/>
    <w:rsid w:val="006D6F84"/>
    <w:rsid w:val="006D71A1"/>
    <w:rsid w:val="006D7843"/>
    <w:rsid w:val="006E0785"/>
    <w:rsid w:val="006E0897"/>
    <w:rsid w:val="006E11D3"/>
    <w:rsid w:val="006E1701"/>
    <w:rsid w:val="006E2A89"/>
    <w:rsid w:val="006E2EE1"/>
    <w:rsid w:val="006E37C8"/>
    <w:rsid w:val="006E3B09"/>
    <w:rsid w:val="006E3D57"/>
    <w:rsid w:val="006E48BA"/>
    <w:rsid w:val="006E4CEE"/>
    <w:rsid w:val="006E5C52"/>
    <w:rsid w:val="006E61E8"/>
    <w:rsid w:val="006E624A"/>
    <w:rsid w:val="006E6B9B"/>
    <w:rsid w:val="006E78D6"/>
    <w:rsid w:val="006E7A1F"/>
    <w:rsid w:val="006E7FB6"/>
    <w:rsid w:val="006F022D"/>
    <w:rsid w:val="006F050E"/>
    <w:rsid w:val="006F0796"/>
    <w:rsid w:val="006F07B4"/>
    <w:rsid w:val="006F2298"/>
    <w:rsid w:val="006F2312"/>
    <w:rsid w:val="006F2563"/>
    <w:rsid w:val="006F2EC0"/>
    <w:rsid w:val="006F335E"/>
    <w:rsid w:val="006F3518"/>
    <w:rsid w:val="006F35C9"/>
    <w:rsid w:val="006F3A3D"/>
    <w:rsid w:val="006F3AD1"/>
    <w:rsid w:val="006F3FB6"/>
    <w:rsid w:val="006F40EF"/>
    <w:rsid w:val="006F4D91"/>
    <w:rsid w:val="006F4E9F"/>
    <w:rsid w:val="006F4FB5"/>
    <w:rsid w:val="006F5411"/>
    <w:rsid w:val="006F54E4"/>
    <w:rsid w:val="006F59ED"/>
    <w:rsid w:val="006F60D4"/>
    <w:rsid w:val="006F6101"/>
    <w:rsid w:val="006F62CA"/>
    <w:rsid w:val="006F6940"/>
    <w:rsid w:val="006F6B71"/>
    <w:rsid w:val="006F7393"/>
    <w:rsid w:val="006F74F8"/>
    <w:rsid w:val="006F7936"/>
    <w:rsid w:val="006F7C2D"/>
    <w:rsid w:val="006F7C3D"/>
    <w:rsid w:val="0070060B"/>
    <w:rsid w:val="00700737"/>
    <w:rsid w:val="00701017"/>
    <w:rsid w:val="00701629"/>
    <w:rsid w:val="00701CD8"/>
    <w:rsid w:val="00701D33"/>
    <w:rsid w:val="00702015"/>
    <w:rsid w:val="007020CE"/>
    <w:rsid w:val="00702112"/>
    <w:rsid w:val="0070224F"/>
    <w:rsid w:val="007029CE"/>
    <w:rsid w:val="00702B81"/>
    <w:rsid w:val="00702CEB"/>
    <w:rsid w:val="00702E0E"/>
    <w:rsid w:val="00703754"/>
    <w:rsid w:val="00703801"/>
    <w:rsid w:val="00703BD8"/>
    <w:rsid w:val="00703BE5"/>
    <w:rsid w:val="00703D2C"/>
    <w:rsid w:val="00704BD5"/>
    <w:rsid w:val="007054DA"/>
    <w:rsid w:val="007055AA"/>
    <w:rsid w:val="00705725"/>
    <w:rsid w:val="00705CC2"/>
    <w:rsid w:val="007060F7"/>
    <w:rsid w:val="00706B13"/>
    <w:rsid w:val="00706B20"/>
    <w:rsid w:val="00706B24"/>
    <w:rsid w:val="00706CBB"/>
    <w:rsid w:val="007070BF"/>
    <w:rsid w:val="00707146"/>
    <w:rsid w:val="0070718F"/>
    <w:rsid w:val="00707724"/>
    <w:rsid w:val="00707DDE"/>
    <w:rsid w:val="00710131"/>
    <w:rsid w:val="00710188"/>
    <w:rsid w:val="007101A7"/>
    <w:rsid w:val="007103A1"/>
    <w:rsid w:val="00710DBB"/>
    <w:rsid w:val="007115F7"/>
    <w:rsid w:val="00711F44"/>
    <w:rsid w:val="007127A9"/>
    <w:rsid w:val="0071341C"/>
    <w:rsid w:val="007134C8"/>
    <w:rsid w:val="00713A0F"/>
    <w:rsid w:val="00713AB5"/>
    <w:rsid w:val="00713B36"/>
    <w:rsid w:val="007143A1"/>
    <w:rsid w:val="00714773"/>
    <w:rsid w:val="00714BDC"/>
    <w:rsid w:val="00714EC6"/>
    <w:rsid w:val="007152C3"/>
    <w:rsid w:val="0071580D"/>
    <w:rsid w:val="00715BDA"/>
    <w:rsid w:val="00715C4E"/>
    <w:rsid w:val="0071639C"/>
    <w:rsid w:val="007164E9"/>
    <w:rsid w:val="00716D98"/>
    <w:rsid w:val="00716E2D"/>
    <w:rsid w:val="00716F41"/>
    <w:rsid w:val="00717273"/>
    <w:rsid w:val="007172FF"/>
    <w:rsid w:val="0071783A"/>
    <w:rsid w:val="00717846"/>
    <w:rsid w:val="00717BB9"/>
    <w:rsid w:val="0072024C"/>
    <w:rsid w:val="007204AC"/>
    <w:rsid w:val="0072106E"/>
    <w:rsid w:val="007219C6"/>
    <w:rsid w:val="00721A56"/>
    <w:rsid w:val="00721D56"/>
    <w:rsid w:val="00721D65"/>
    <w:rsid w:val="007224D7"/>
    <w:rsid w:val="00722A8A"/>
    <w:rsid w:val="007234FB"/>
    <w:rsid w:val="00723FF3"/>
    <w:rsid w:val="007240B9"/>
    <w:rsid w:val="00724468"/>
    <w:rsid w:val="00725078"/>
    <w:rsid w:val="007251F3"/>
    <w:rsid w:val="00725E0D"/>
    <w:rsid w:val="00725E64"/>
    <w:rsid w:val="00725F38"/>
    <w:rsid w:val="007261D8"/>
    <w:rsid w:val="007262C1"/>
    <w:rsid w:val="0072671D"/>
    <w:rsid w:val="00726755"/>
    <w:rsid w:val="007269E2"/>
    <w:rsid w:val="00726A86"/>
    <w:rsid w:val="00726BC8"/>
    <w:rsid w:val="00726D47"/>
    <w:rsid w:val="007271E7"/>
    <w:rsid w:val="0072760A"/>
    <w:rsid w:val="00727877"/>
    <w:rsid w:val="007302E7"/>
    <w:rsid w:val="0073042E"/>
    <w:rsid w:val="00730DE3"/>
    <w:rsid w:val="00730F83"/>
    <w:rsid w:val="00731186"/>
    <w:rsid w:val="00731248"/>
    <w:rsid w:val="00732300"/>
    <w:rsid w:val="0073258A"/>
    <w:rsid w:val="007327C1"/>
    <w:rsid w:val="007335FB"/>
    <w:rsid w:val="007336BA"/>
    <w:rsid w:val="00733A2A"/>
    <w:rsid w:val="00734558"/>
    <w:rsid w:val="00734D73"/>
    <w:rsid w:val="00734DE5"/>
    <w:rsid w:val="007350D2"/>
    <w:rsid w:val="00735566"/>
    <w:rsid w:val="00735ADD"/>
    <w:rsid w:val="00735BDF"/>
    <w:rsid w:val="00735C1A"/>
    <w:rsid w:val="00735D8C"/>
    <w:rsid w:val="00735F0A"/>
    <w:rsid w:val="007366D9"/>
    <w:rsid w:val="0073699E"/>
    <w:rsid w:val="0073748F"/>
    <w:rsid w:val="007377A9"/>
    <w:rsid w:val="00737FDE"/>
    <w:rsid w:val="00740038"/>
    <w:rsid w:val="0074025B"/>
    <w:rsid w:val="00740A05"/>
    <w:rsid w:val="00740B75"/>
    <w:rsid w:val="00740CDB"/>
    <w:rsid w:val="00741AC4"/>
    <w:rsid w:val="00741DB2"/>
    <w:rsid w:val="00741F6D"/>
    <w:rsid w:val="00742273"/>
    <w:rsid w:val="007427A4"/>
    <w:rsid w:val="00742A94"/>
    <w:rsid w:val="00742E0A"/>
    <w:rsid w:val="00742F3E"/>
    <w:rsid w:val="0074318F"/>
    <w:rsid w:val="00743585"/>
    <w:rsid w:val="00743B63"/>
    <w:rsid w:val="00743E66"/>
    <w:rsid w:val="00744BCF"/>
    <w:rsid w:val="00746914"/>
    <w:rsid w:val="00746C39"/>
    <w:rsid w:val="00747069"/>
    <w:rsid w:val="007503D1"/>
    <w:rsid w:val="00750E40"/>
    <w:rsid w:val="007519B5"/>
    <w:rsid w:val="0075227A"/>
    <w:rsid w:val="007522C2"/>
    <w:rsid w:val="00752325"/>
    <w:rsid w:val="00752674"/>
    <w:rsid w:val="00752FF2"/>
    <w:rsid w:val="007530C1"/>
    <w:rsid w:val="00753679"/>
    <w:rsid w:val="007540CD"/>
    <w:rsid w:val="007541AB"/>
    <w:rsid w:val="00754308"/>
    <w:rsid w:val="00754339"/>
    <w:rsid w:val="007545EC"/>
    <w:rsid w:val="00754A59"/>
    <w:rsid w:val="00754AF9"/>
    <w:rsid w:val="00754B9B"/>
    <w:rsid w:val="0075514F"/>
    <w:rsid w:val="00755950"/>
    <w:rsid w:val="00755C48"/>
    <w:rsid w:val="007567DF"/>
    <w:rsid w:val="00757610"/>
    <w:rsid w:val="00760323"/>
    <w:rsid w:val="007606CC"/>
    <w:rsid w:val="00760C3F"/>
    <w:rsid w:val="007615F8"/>
    <w:rsid w:val="00762464"/>
    <w:rsid w:val="007627D7"/>
    <w:rsid w:val="00762880"/>
    <w:rsid w:val="00762FDD"/>
    <w:rsid w:val="00763CFA"/>
    <w:rsid w:val="0076405C"/>
    <w:rsid w:val="00764089"/>
    <w:rsid w:val="00764584"/>
    <w:rsid w:val="00764664"/>
    <w:rsid w:val="00764D9C"/>
    <w:rsid w:val="00765286"/>
    <w:rsid w:val="0076588B"/>
    <w:rsid w:val="00766172"/>
    <w:rsid w:val="00766625"/>
    <w:rsid w:val="00766BE9"/>
    <w:rsid w:val="00767147"/>
    <w:rsid w:val="0076759E"/>
    <w:rsid w:val="00767FF6"/>
    <w:rsid w:val="007704F8"/>
    <w:rsid w:val="007707FA"/>
    <w:rsid w:val="007708C6"/>
    <w:rsid w:val="00770CDA"/>
    <w:rsid w:val="00770E21"/>
    <w:rsid w:val="007710CE"/>
    <w:rsid w:val="007712C5"/>
    <w:rsid w:val="007714DB"/>
    <w:rsid w:val="0077175C"/>
    <w:rsid w:val="007719A3"/>
    <w:rsid w:val="00771CF3"/>
    <w:rsid w:val="0077223D"/>
    <w:rsid w:val="0077231A"/>
    <w:rsid w:val="00772C38"/>
    <w:rsid w:val="007731F8"/>
    <w:rsid w:val="00773426"/>
    <w:rsid w:val="00773634"/>
    <w:rsid w:val="0077381E"/>
    <w:rsid w:val="00773CE3"/>
    <w:rsid w:val="00774709"/>
    <w:rsid w:val="007747E9"/>
    <w:rsid w:val="00774C1D"/>
    <w:rsid w:val="007757A3"/>
    <w:rsid w:val="007758E8"/>
    <w:rsid w:val="00775CE4"/>
    <w:rsid w:val="00776438"/>
    <w:rsid w:val="00776849"/>
    <w:rsid w:val="00780071"/>
    <w:rsid w:val="00780420"/>
    <w:rsid w:val="00780911"/>
    <w:rsid w:val="00780A84"/>
    <w:rsid w:val="007813E1"/>
    <w:rsid w:val="00781C44"/>
    <w:rsid w:val="00782087"/>
    <w:rsid w:val="0078248F"/>
    <w:rsid w:val="00782509"/>
    <w:rsid w:val="00782604"/>
    <w:rsid w:val="00782675"/>
    <w:rsid w:val="0078481E"/>
    <w:rsid w:val="00784A2E"/>
    <w:rsid w:val="00784B97"/>
    <w:rsid w:val="007852E8"/>
    <w:rsid w:val="00785401"/>
    <w:rsid w:val="00785689"/>
    <w:rsid w:val="00785AC2"/>
    <w:rsid w:val="0078617C"/>
    <w:rsid w:val="00786A79"/>
    <w:rsid w:val="007871AD"/>
    <w:rsid w:val="00787411"/>
    <w:rsid w:val="00787944"/>
    <w:rsid w:val="00787B15"/>
    <w:rsid w:val="007901EF"/>
    <w:rsid w:val="00790501"/>
    <w:rsid w:val="007906DC"/>
    <w:rsid w:val="00790714"/>
    <w:rsid w:val="00790CA7"/>
    <w:rsid w:val="00790ECA"/>
    <w:rsid w:val="007911BF"/>
    <w:rsid w:val="00791D3C"/>
    <w:rsid w:val="007921E6"/>
    <w:rsid w:val="007925A7"/>
    <w:rsid w:val="00792BC9"/>
    <w:rsid w:val="007930F5"/>
    <w:rsid w:val="00793AE5"/>
    <w:rsid w:val="00794576"/>
    <w:rsid w:val="00794725"/>
    <w:rsid w:val="0079491C"/>
    <w:rsid w:val="00794A98"/>
    <w:rsid w:val="00794EA4"/>
    <w:rsid w:val="00794ECE"/>
    <w:rsid w:val="00795822"/>
    <w:rsid w:val="00795B4E"/>
    <w:rsid w:val="00795B82"/>
    <w:rsid w:val="007960CC"/>
    <w:rsid w:val="00796363"/>
    <w:rsid w:val="00796673"/>
    <w:rsid w:val="00796BCF"/>
    <w:rsid w:val="00796C9B"/>
    <w:rsid w:val="00797546"/>
    <w:rsid w:val="0079754B"/>
    <w:rsid w:val="00797A43"/>
    <w:rsid w:val="00797B51"/>
    <w:rsid w:val="007A0473"/>
    <w:rsid w:val="007A1959"/>
    <w:rsid w:val="007A1E6D"/>
    <w:rsid w:val="007A24F8"/>
    <w:rsid w:val="007A2D78"/>
    <w:rsid w:val="007A2D9B"/>
    <w:rsid w:val="007A2EAC"/>
    <w:rsid w:val="007A323D"/>
    <w:rsid w:val="007A353F"/>
    <w:rsid w:val="007A361F"/>
    <w:rsid w:val="007A3B4C"/>
    <w:rsid w:val="007A42C2"/>
    <w:rsid w:val="007A460A"/>
    <w:rsid w:val="007A466E"/>
    <w:rsid w:val="007A4F58"/>
    <w:rsid w:val="007A52E2"/>
    <w:rsid w:val="007A53B9"/>
    <w:rsid w:val="007A56BC"/>
    <w:rsid w:val="007A596B"/>
    <w:rsid w:val="007A5EB9"/>
    <w:rsid w:val="007A5ED3"/>
    <w:rsid w:val="007A5F8D"/>
    <w:rsid w:val="007A62D2"/>
    <w:rsid w:val="007A6E21"/>
    <w:rsid w:val="007A7A66"/>
    <w:rsid w:val="007A7A99"/>
    <w:rsid w:val="007B08BB"/>
    <w:rsid w:val="007B098D"/>
    <w:rsid w:val="007B0BD3"/>
    <w:rsid w:val="007B0EB2"/>
    <w:rsid w:val="007B1485"/>
    <w:rsid w:val="007B1F22"/>
    <w:rsid w:val="007B21DD"/>
    <w:rsid w:val="007B26CB"/>
    <w:rsid w:val="007B274F"/>
    <w:rsid w:val="007B3008"/>
    <w:rsid w:val="007B326A"/>
    <w:rsid w:val="007B3BBE"/>
    <w:rsid w:val="007B3E37"/>
    <w:rsid w:val="007B4A2B"/>
    <w:rsid w:val="007B5467"/>
    <w:rsid w:val="007B55A3"/>
    <w:rsid w:val="007B5638"/>
    <w:rsid w:val="007B5699"/>
    <w:rsid w:val="007B607E"/>
    <w:rsid w:val="007B60FB"/>
    <w:rsid w:val="007B63F6"/>
    <w:rsid w:val="007B6AC8"/>
    <w:rsid w:val="007B6BE5"/>
    <w:rsid w:val="007B7033"/>
    <w:rsid w:val="007B7047"/>
    <w:rsid w:val="007B7569"/>
    <w:rsid w:val="007B78F0"/>
    <w:rsid w:val="007C02A6"/>
    <w:rsid w:val="007C09B2"/>
    <w:rsid w:val="007C0B51"/>
    <w:rsid w:val="007C10E1"/>
    <w:rsid w:val="007C1134"/>
    <w:rsid w:val="007C1180"/>
    <w:rsid w:val="007C20BF"/>
    <w:rsid w:val="007C21BB"/>
    <w:rsid w:val="007C254C"/>
    <w:rsid w:val="007C2691"/>
    <w:rsid w:val="007C2982"/>
    <w:rsid w:val="007C3E19"/>
    <w:rsid w:val="007C3EA1"/>
    <w:rsid w:val="007C40F4"/>
    <w:rsid w:val="007C414E"/>
    <w:rsid w:val="007C4193"/>
    <w:rsid w:val="007C423B"/>
    <w:rsid w:val="007C4249"/>
    <w:rsid w:val="007C4E91"/>
    <w:rsid w:val="007C5631"/>
    <w:rsid w:val="007C627D"/>
    <w:rsid w:val="007C6914"/>
    <w:rsid w:val="007C6DE7"/>
    <w:rsid w:val="007C713B"/>
    <w:rsid w:val="007C7206"/>
    <w:rsid w:val="007C73DA"/>
    <w:rsid w:val="007C747F"/>
    <w:rsid w:val="007C756B"/>
    <w:rsid w:val="007C7691"/>
    <w:rsid w:val="007C79BE"/>
    <w:rsid w:val="007C7F3F"/>
    <w:rsid w:val="007D028B"/>
    <w:rsid w:val="007D06B5"/>
    <w:rsid w:val="007D07E3"/>
    <w:rsid w:val="007D0889"/>
    <w:rsid w:val="007D0942"/>
    <w:rsid w:val="007D18C6"/>
    <w:rsid w:val="007D1A40"/>
    <w:rsid w:val="007D1F16"/>
    <w:rsid w:val="007D1F1E"/>
    <w:rsid w:val="007D2186"/>
    <w:rsid w:val="007D21AF"/>
    <w:rsid w:val="007D30DF"/>
    <w:rsid w:val="007D327B"/>
    <w:rsid w:val="007D3304"/>
    <w:rsid w:val="007D340D"/>
    <w:rsid w:val="007D3B64"/>
    <w:rsid w:val="007D4233"/>
    <w:rsid w:val="007D4583"/>
    <w:rsid w:val="007D460C"/>
    <w:rsid w:val="007D4A37"/>
    <w:rsid w:val="007D530E"/>
    <w:rsid w:val="007D56B5"/>
    <w:rsid w:val="007D5A04"/>
    <w:rsid w:val="007D5C9D"/>
    <w:rsid w:val="007D6968"/>
    <w:rsid w:val="007D6D2F"/>
    <w:rsid w:val="007D7278"/>
    <w:rsid w:val="007D7DCE"/>
    <w:rsid w:val="007E01E8"/>
    <w:rsid w:val="007E08FF"/>
    <w:rsid w:val="007E09BA"/>
    <w:rsid w:val="007E0F17"/>
    <w:rsid w:val="007E1E76"/>
    <w:rsid w:val="007E2960"/>
    <w:rsid w:val="007E2D9C"/>
    <w:rsid w:val="007E2E3F"/>
    <w:rsid w:val="007E2E74"/>
    <w:rsid w:val="007E30FE"/>
    <w:rsid w:val="007E3225"/>
    <w:rsid w:val="007E3955"/>
    <w:rsid w:val="007E3992"/>
    <w:rsid w:val="007E4CA1"/>
    <w:rsid w:val="007E5462"/>
    <w:rsid w:val="007E5494"/>
    <w:rsid w:val="007E6750"/>
    <w:rsid w:val="007E67B3"/>
    <w:rsid w:val="007E710F"/>
    <w:rsid w:val="007E7E10"/>
    <w:rsid w:val="007F03C9"/>
    <w:rsid w:val="007F0B42"/>
    <w:rsid w:val="007F0DFB"/>
    <w:rsid w:val="007F0E4C"/>
    <w:rsid w:val="007F121E"/>
    <w:rsid w:val="007F1556"/>
    <w:rsid w:val="007F1935"/>
    <w:rsid w:val="007F1A81"/>
    <w:rsid w:val="007F233C"/>
    <w:rsid w:val="007F24C9"/>
    <w:rsid w:val="007F26BA"/>
    <w:rsid w:val="007F3947"/>
    <w:rsid w:val="007F3AD0"/>
    <w:rsid w:val="007F3B00"/>
    <w:rsid w:val="007F3F7B"/>
    <w:rsid w:val="007F4547"/>
    <w:rsid w:val="007F477F"/>
    <w:rsid w:val="007F4A5D"/>
    <w:rsid w:val="007F59CB"/>
    <w:rsid w:val="007F59D5"/>
    <w:rsid w:val="007F60BF"/>
    <w:rsid w:val="007F6593"/>
    <w:rsid w:val="007F66A6"/>
    <w:rsid w:val="007F6CAB"/>
    <w:rsid w:val="007F6D0D"/>
    <w:rsid w:val="007F6DC2"/>
    <w:rsid w:val="007F6F9E"/>
    <w:rsid w:val="007F6FE7"/>
    <w:rsid w:val="007F74F3"/>
    <w:rsid w:val="007F7673"/>
    <w:rsid w:val="007F79AE"/>
    <w:rsid w:val="007F7E3E"/>
    <w:rsid w:val="00801869"/>
    <w:rsid w:val="00801D8F"/>
    <w:rsid w:val="00801E03"/>
    <w:rsid w:val="00801F2A"/>
    <w:rsid w:val="00802664"/>
    <w:rsid w:val="00802705"/>
    <w:rsid w:val="00802721"/>
    <w:rsid w:val="00802EB0"/>
    <w:rsid w:val="0080314D"/>
    <w:rsid w:val="00803204"/>
    <w:rsid w:val="008033F9"/>
    <w:rsid w:val="0080379A"/>
    <w:rsid w:val="008037D1"/>
    <w:rsid w:val="00803BDA"/>
    <w:rsid w:val="00804015"/>
    <w:rsid w:val="00804FAF"/>
    <w:rsid w:val="0080546A"/>
    <w:rsid w:val="0080551D"/>
    <w:rsid w:val="00805FBF"/>
    <w:rsid w:val="0080616C"/>
    <w:rsid w:val="008068CD"/>
    <w:rsid w:val="00806A39"/>
    <w:rsid w:val="00807459"/>
    <w:rsid w:val="00807462"/>
    <w:rsid w:val="008077D6"/>
    <w:rsid w:val="008104E9"/>
    <w:rsid w:val="00810526"/>
    <w:rsid w:val="00810603"/>
    <w:rsid w:val="00810B29"/>
    <w:rsid w:val="00810B6F"/>
    <w:rsid w:val="00810C27"/>
    <w:rsid w:val="00810F17"/>
    <w:rsid w:val="0081127E"/>
    <w:rsid w:val="008112B3"/>
    <w:rsid w:val="008113CD"/>
    <w:rsid w:val="0081158F"/>
    <w:rsid w:val="0081166A"/>
    <w:rsid w:val="00811EB8"/>
    <w:rsid w:val="0081232C"/>
    <w:rsid w:val="00812459"/>
    <w:rsid w:val="0081301E"/>
    <w:rsid w:val="008131F6"/>
    <w:rsid w:val="0081438D"/>
    <w:rsid w:val="0081469C"/>
    <w:rsid w:val="00815044"/>
    <w:rsid w:val="00815629"/>
    <w:rsid w:val="008158ED"/>
    <w:rsid w:val="00815AC1"/>
    <w:rsid w:val="00815D11"/>
    <w:rsid w:val="00815ECE"/>
    <w:rsid w:val="0081602E"/>
    <w:rsid w:val="00816107"/>
    <w:rsid w:val="008165AA"/>
    <w:rsid w:val="0081669C"/>
    <w:rsid w:val="00816BC6"/>
    <w:rsid w:val="00816EDE"/>
    <w:rsid w:val="00816F95"/>
    <w:rsid w:val="008171AA"/>
    <w:rsid w:val="0081721D"/>
    <w:rsid w:val="00817496"/>
    <w:rsid w:val="0081793D"/>
    <w:rsid w:val="00817953"/>
    <w:rsid w:val="00820462"/>
    <w:rsid w:val="00820883"/>
    <w:rsid w:val="008208FE"/>
    <w:rsid w:val="00820D3D"/>
    <w:rsid w:val="00820EA2"/>
    <w:rsid w:val="0082105D"/>
    <w:rsid w:val="0082181C"/>
    <w:rsid w:val="00821CFB"/>
    <w:rsid w:val="00822CE0"/>
    <w:rsid w:val="00822D88"/>
    <w:rsid w:val="008239AC"/>
    <w:rsid w:val="008239EA"/>
    <w:rsid w:val="00823AEE"/>
    <w:rsid w:val="0082420F"/>
    <w:rsid w:val="00824EEF"/>
    <w:rsid w:val="00824FEA"/>
    <w:rsid w:val="00825332"/>
    <w:rsid w:val="00825607"/>
    <w:rsid w:val="008257EA"/>
    <w:rsid w:val="00826798"/>
    <w:rsid w:val="00826D75"/>
    <w:rsid w:val="00826D88"/>
    <w:rsid w:val="00826FE7"/>
    <w:rsid w:val="00827F14"/>
    <w:rsid w:val="008303E0"/>
    <w:rsid w:val="00830F9A"/>
    <w:rsid w:val="00830FBD"/>
    <w:rsid w:val="008319E4"/>
    <w:rsid w:val="00831A5C"/>
    <w:rsid w:val="0083227A"/>
    <w:rsid w:val="008324CC"/>
    <w:rsid w:val="00832F3F"/>
    <w:rsid w:val="0083333C"/>
    <w:rsid w:val="008338B6"/>
    <w:rsid w:val="00834526"/>
    <w:rsid w:val="00834B46"/>
    <w:rsid w:val="00834BE3"/>
    <w:rsid w:val="00834FCB"/>
    <w:rsid w:val="0083508A"/>
    <w:rsid w:val="008355CF"/>
    <w:rsid w:val="008359E3"/>
    <w:rsid w:val="00835B1A"/>
    <w:rsid w:val="00836DDC"/>
    <w:rsid w:val="00836E57"/>
    <w:rsid w:val="00837380"/>
    <w:rsid w:val="0083786F"/>
    <w:rsid w:val="008378F3"/>
    <w:rsid w:val="00837AFF"/>
    <w:rsid w:val="00840B41"/>
    <w:rsid w:val="0084163D"/>
    <w:rsid w:val="008416E2"/>
    <w:rsid w:val="0084176A"/>
    <w:rsid w:val="00841AB1"/>
    <w:rsid w:val="00841AF9"/>
    <w:rsid w:val="00841DDD"/>
    <w:rsid w:val="00841FAC"/>
    <w:rsid w:val="00842AF9"/>
    <w:rsid w:val="00842B81"/>
    <w:rsid w:val="00843745"/>
    <w:rsid w:val="00843933"/>
    <w:rsid w:val="00843E5E"/>
    <w:rsid w:val="008440A3"/>
    <w:rsid w:val="00844100"/>
    <w:rsid w:val="008449B1"/>
    <w:rsid w:val="008449FE"/>
    <w:rsid w:val="00844DAD"/>
    <w:rsid w:val="00844E8A"/>
    <w:rsid w:val="0084510F"/>
    <w:rsid w:val="008457B7"/>
    <w:rsid w:val="00845CD9"/>
    <w:rsid w:val="00846523"/>
    <w:rsid w:val="00846697"/>
    <w:rsid w:val="00846D51"/>
    <w:rsid w:val="008506AF"/>
    <w:rsid w:val="0085098E"/>
    <w:rsid w:val="00850C9E"/>
    <w:rsid w:val="00850F9D"/>
    <w:rsid w:val="008511BE"/>
    <w:rsid w:val="00851221"/>
    <w:rsid w:val="00851529"/>
    <w:rsid w:val="008516F4"/>
    <w:rsid w:val="00851ADC"/>
    <w:rsid w:val="00851E16"/>
    <w:rsid w:val="008520FB"/>
    <w:rsid w:val="00852BFB"/>
    <w:rsid w:val="00853C06"/>
    <w:rsid w:val="00853D28"/>
    <w:rsid w:val="008549F4"/>
    <w:rsid w:val="00854AC1"/>
    <w:rsid w:val="00854E94"/>
    <w:rsid w:val="0085564C"/>
    <w:rsid w:val="00855BA5"/>
    <w:rsid w:val="008563C7"/>
    <w:rsid w:val="00856896"/>
    <w:rsid w:val="00856C22"/>
    <w:rsid w:val="00856CB6"/>
    <w:rsid w:val="00856D80"/>
    <w:rsid w:val="00857030"/>
    <w:rsid w:val="0085764D"/>
    <w:rsid w:val="008577AC"/>
    <w:rsid w:val="0086024F"/>
    <w:rsid w:val="00860297"/>
    <w:rsid w:val="008603E7"/>
    <w:rsid w:val="00860AB4"/>
    <w:rsid w:val="008610D4"/>
    <w:rsid w:val="008613DD"/>
    <w:rsid w:val="008615D1"/>
    <w:rsid w:val="008616A3"/>
    <w:rsid w:val="0086332E"/>
    <w:rsid w:val="00863998"/>
    <w:rsid w:val="00863D30"/>
    <w:rsid w:val="00863DFB"/>
    <w:rsid w:val="00863E61"/>
    <w:rsid w:val="0086468A"/>
    <w:rsid w:val="008646CE"/>
    <w:rsid w:val="008648E2"/>
    <w:rsid w:val="0086556B"/>
    <w:rsid w:val="00866433"/>
    <w:rsid w:val="00866999"/>
    <w:rsid w:val="00866B1D"/>
    <w:rsid w:val="00866C7A"/>
    <w:rsid w:val="0086709F"/>
    <w:rsid w:val="0086749A"/>
    <w:rsid w:val="0086753B"/>
    <w:rsid w:val="008702FB"/>
    <w:rsid w:val="008709B1"/>
    <w:rsid w:val="00871534"/>
    <w:rsid w:val="00872293"/>
    <w:rsid w:val="00872682"/>
    <w:rsid w:val="008728C3"/>
    <w:rsid w:val="00873504"/>
    <w:rsid w:val="00874B1A"/>
    <w:rsid w:val="00875ADA"/>
    <w:rsid w:val="00875F1B"/>
    <w:rsid w:val="008760E2"/>
    <w:rsid w:val="00876107"/>
    <w:rsid w:val="00876356"/>
    <w:rsid w:val="00876523"/>
    <w:rsid w:val="0087655E"/>
    <w:rsid w:val="0087678A"/>
    <w:rsid w:val="00876A01"/>
    <w:rsid w:val="00877322"/>
    <w:rsid w:val="008779E6"/>
    <w:rsid w:val="00877A29"/>
    <w:rsid w:val="00877D2B"/>
    <w:rsid w:val="00880183"/>
    <w:rsid w:val="00880F6C"/>
    <w:rsid w:val="008810CA"/>
    <w:rsid w:val="008810E0"/>
    <w:rsid w:val="00881C37"/>
    <w:rsid w:val="0088242C"/>
    <w:rsid w:val="00882694"/>
    <w:rsid w:val="008827CE"/>
    <w:rsid w:val="00882A46"/>
    <w:rsid w:val="00882BAB"/>
    <w:rsid w:val="00882CBC"/>
    <w:rsid w:val="00882E49"/>
    <w:rsid w:val="00883230"/>
    <w:rsid w:val="00883241"/>
    <w:rsid w:val="00883281"/>
    <w:rsid w:val="008833AB"/>
    <w:rsid w:val="00883601"/>
    <w:rsid w:val="00883F7F"/>
    <w:rsid w:val="0088426C"/>
    <w:rsid w:val="00884C1E"/>
    <w:rsid w:val="00884D01"/>
    <w:rsid w:val="00885F24"/>
    <w:rsid w:val="0088643C"/>
    <w:rsid w:val="00886681"/>
    <w:rsid w:val="00887839"/>
    <w:rsid w:val="008878F4"/>
    <w:rsid w:val="00887E9E"/>
    <w:rsid w:val="008900C6"/>
    <w:rsid w:val="008908EF"/>
    <w:rsid w:val="00890916"/>
    <w:rsid w:val="00891261"/>
    <w:rsid w:val="008913F1"/>
    <w:rsid w:val="0089174E"/>
    <w:rsid w:val="0089208D"/>
    <w:rsid w:val="008928F4"/>
    <w:rsid w:val="00892DCA"/>
    <w:rsid w:val="00893159"/>
    <w:rsid w:val="0089410B"/>
    <w:rsid w:val="00894A7F"/>
    <w:rsid w:val="00894C00"/>
    <w:rsid w:val="00894E40"/>
    <w:rsid w:val="00895217"/>
    <w:rsid w:val="00895723"/>
    <w:rsid w:val="00895CA2"/>
    <w:rsid w:val="00895FF7"/>
    <w:rsid w:val="00896C66"/>
    <w:rsid w:val="008A01BD"/>
    <w:rsid w:val="008A0C13"/>
    <w:rsid w:val="008A18CC"/>
    <w:rsid w:val="008A1ADA"/>
    <w:rsid w:val="008A21AD"/>
    <w:rsid w:val="008A22E2"/>
    <w:rsid w:val="008A23C5"/>
    <w:rsid w:val="008A253A"/>
    <w:rsid w:val="008A26F9"/>
    <w:rsid w:val="008A2A53"/>
    <w:rsid w:val="008A4163"/>
    <w:rsid w:val="008A43C9"/>
    <w:rsid w:val="008A455F"/>
    <w:rsid w:val="008A7194"/>
    <w:rsid w:val="008A725E"/>
    <w:rsid w:val="008B0494"/>
    <w:rsid w:val="008B0B57"/>
    <w:rsid w:val="008B10DC"/>
    <w:rsid w:val="008B110F"/>
    <w:rsid w:val="008B123B"/>
    <w:rsid w:val="008B13E6"/>
    <w:rsid w:val="008B14B2"/>
    <w:rsid w:val="008B2242"/>
    <w:rsid w:val="008B25F4"/>
    <w:rsid w:val="008B2B4F"/>
    <w:rsid w:val="008B335E"/>
    <w:rsid w:val="008B3535"/>
    <w:rsid w:val="008B3542"/>
    <w:rsid w:val="008B3885"/>
    <w:rsid w:val="008B43A9"/>
    <w:rsid w:val="008B47EE"/>
    <w:rsid w:val="008B4B8A"/>
    <w:rsid w:val="008B4BEE"/>
    <w:rsid w:val="008B51C8"/>
    <w:rsid w:val="008B5493"/>
    <w:rsid w:val="008B553D"/>
    <w:rsid w:val="008B5B64"/>
    <w:rsid w:val="008B5BAB"/>
    <w:rsid w:val="008B629D"/>
    <w:rsid w:val="008B640C"/>
    <w:rsid w:val="008B6478"/>
    <w:rsid w:val="008B6689"/>
    <w:rsid w:val="008B69A9"/>
    <w:rsid w:val="008B6A4E"/>
    <w:rsid w:val="008B6C5B"/>
    <w:rsid w:val="008B6F71"/>
    <w:rsid w:val="008B78FD"/>
    <w:rsid w:val="008B7914"/>
    <w:rsid w:val="008B7CD2"/>
    <w:rsid w:val="008C00E7"/>
    <w:rsid w:val="008C04BF"/>
    <w:rsid w:val="008C0628"/>
    <w:rsid w:val="008C091B"/>
    <w:rsid w:val="008C0A6E"/>
    <w:rsid w:val="008C0A9E"/>
    <w:rsid w:val="008C0CAC"/>
    <w:rsid w:val="008C0D18"/>
    <w:rsid w:val="008C0E32"/>
    <w:rsid w:val="008C1A57"/>
    <w:rsid w:val="008C21ED"/>
    <w:rsid w:val="008C23E8"/>
    <w:rsid w:val="008C2425"/>
    <w:rsid w:val="008C2580"/>
    <w:rsid w:val="008C2879"/>
    <w:rsid w:val="008C2A06"/>
    <w:rsid w:val="008C2AC6"/>
    <w:rsid w:val="008C2CC1"/>
    <w:rsid w:val="008C399F"/>
    <w:rsid w:val="008C41AD"/>
    <w:rsid w:val="008C4401"/>
    <w:rsid w:val="008C456C"/>
    <w:rsid w:val="008C4F89"/>
    <w:rsid w:val="008C534D"/>
    <w:rsid w:val="008C5452"/>
    <w:rsid w:val="008C55DB"/>
    <w:rsid w:val="008C5AB2"/>
    <w:rsid w:val="008C5EF8"/>
    <w:rsid w:val="008C6603"/>
    <w:rsid w:val="008C68F1"/>
    <w:rsid w:val="008C6950"/>
    <w:rsid w:val="008C6F73"/>
    <w:rsid w:val="008C725E"/>
    <w:rsid w:val="008C72AD"/>
    <w:rsid w:val="008C7724"/>
    <w:rsid w:val="008C786A"/>
    <w:rsid w:val="008C7AF1"/>
    <w:rsid w:val="008C7B17"/>
    <w:rsid w:val="008C7F2B"/>
    <w:rsid w:val="008D1063"/>
    <w:rsid w:val="008D1A7A"/>
    <w:rsid w:val="008D1D8A"/>
    <w:rsid w:val="008D2651"/>
    <w:rsid w:val="008D2A51"/>
    <w:rsid w:val="008D2CF7"/>
    <w:rsid w:val="008D3216"/>
    <w:rsid w:val="008D39AB"/>
    <w:rsid w:val="008D3A9D"/>
    <w:rsid w:val="008D3BC9"/>
    <w:rsid w:val="008D3D88"/>
    <w:rsid w:val="008D487E"/>
    <w:rsid w:val="008D49EF"/>
    <w:rsid w:val="008D4B45"/>
    <w:rsid w:val="008D532B"/>
    <w:rsid w:val="008D55F6"/>
    <w:rsid w:val="008D5AB2"/>
    <w:rsid w:val="008D5C1F"/>
    <w:rsid w:val="008D650B"/>
    <w:rsid w:val="008D6FF0"/>
    <w:rsid w:val="008D7977"/>
    <w:rsid w:val="008E0862"/>
    <w:rsid w:val="008E0D66"/>
    <w:rsid w:val="008E0D86"/>
    <w:rsid w:val="008E10A9"/>
    <w:rsid w:val="008E1B74"/>
    <w:rsid w:val="008E1D17"/>
    <w:rsid w:val="008E1F64"/>
    <w:rsid w:val="008E2313"/>
    <w:rsid w:val="008E2C5C"/>
    <w:rsid w:val="008E3283"/>
    <w:rsid w:val="008E37C6"/>
    <w:rsid w:val="008E3980"/>
    <w:rsid w:val="008E4040"/>
    <w:rsid w:val="008E4114"/>
    <w:rsid w:val="008E445E"/>
    <w:rsid w:val="008E47C3"/>
    <w:rsid w:val="008E4928"/>
    <w:rsid w:val="008E5EAD"/>
    <w:rsid w:val="008E623E"/>
    <w:rsid w:val="008E6995"/>
    <w:rsid w:val="008E6AB9"/>
    <w:rsid w:val="008E6FAF"/>
    <w:rsid w:val="008E7B77"/>
    <w:rsid w:val="008E7CAF"/>
    <w:rsid w:val="008E7E71"/>
    <w:rsid w:val="008F0261"/>
    <w:rsid w:val="008F0BD0"/>
    <w:rsid w:val="008F0EA5"/>
    <w:rsid w:val="008F1058"/>
    <w:rsid w:val="008F1521"/>
    <w:rsid w:val="008F15BB"/>
    <w:rsid w:val="008F1626"/>
    <w:rsid w:val="008F172D"/>
    <w:rsid w:val="008F1981"/>
    <w:rsid w:val="008F1ABF"/>
    <w:rsid w:val="008F2834"/>
    <w:rsid w:val="008F29A9"/>
    <w:rsid w:val="008F3317"/>
    <w:rsid w:val="008F3490"/>
    <w:rsid w:val="008F4217"/>
    <w:rsid w:val="008F42A9"/>
    <w:rsid w:val="008F436E"/>
    <w:rsid w:val="008F487A"/>
    <w:rsid w:val="008F4C7E"/>
    <w:rsid w:val="008F4EF3"/>
    <w:rsid w:val="008F55F5"/>
    <w:rsid w:val="008F568E"/>
    <w:rsid w:val="008F6541"/>
    <w:rsid w:val="008F74A5"/>
    <w:rsid w:val="008F78EB"/>
    <w:rsid w:val="008F7A8C"/>
    <w:rsid w:val="008F7C08"/>
    <w:rsid w:val="0090033A"/>
    <w:rsid w:val="00900CAD"/>
    <w:rsid w:val="00901414"/>
    <w:rsid w:val="00902220"/>
    <w:rsid w:val="00902530"/>
    <w:rsid w:val="00902BCC"/>
    <w:rsid w:val="00902D42"/>
    <w:rsid w:val="00903236"/>
    <w:rsid w:val="00903C61"/>
    <w:rsid w:val="00903E62"/>
    <w:rsid w:val="00904BC3"/>
    <w:rsid w:val="00904CBA"/>
    <w:rsid w:val="00905981"/>
    <w:rsid w:val="009061EB"/>
    <w:rsid w:val="00906A60"/>
    <w:rsid w:val="00907255"/>
    <w:rsid w:val="00907BEA"/>
    <w:rsid w:val="0091056C"/>
    <w:rsid w:val="009105BD"/>
    <w:rsid w:val="00910B86"/>
    <w:rsid w:val="00911539"/>
    <w:rsid w:val="00911B10"/>
    <w:rsid w:val="00911E5C"/>
    <w:rsid w:val="009120AC"/>
    <w:rsid w:val="00912977"/>
    <w:rsid w:val="00913648"/>
    <w:rsid w:val="00913DB6"/>
    <w:rsid w:val="00914576"/>
    <w:rsid w:val="009148E7"/>
    <w:rsid w:val="00915C08"/>
    <w:rsid w:val="009165E6"/>
    <w:rsid w:val="00917263"/>
    <w:rsid w:val="00917269"/>
    <w:rsid w:val="00917965"/>
    <w:rsid w:val="00920AE8"/>
    <w:rsid w:val="00921413"/>
    <w:rsid w:val="00921803"/>
    <w:rsid w:val="00921A63"/>
    <w:rsid w:val="00923017"/>
    <w:rsid w:val="009233FA"/>
    <w:rsid w:val="00923550"/>
    <w:rsid w:val="00923685"/>
    <w:rsid w:val="00923F91"/>
    <w:rsid w:val="00924019"/>
    <w:rsid w:val="009248DB"/>
    <w:rsid w:val="00924960"/>
    <w:rsid w:val="00925601"/>
    <w:rsid w:val="00926503"/>
    <w:rsid w:val="00926616"/>
    <w:rsid w:val="00926AC7"/>
    <w:rsid w:val="00927592"/>
    <w:rsid w:val="00927697"/>
    <w:rsid w:val="00927806"/>
    <w:rsid w:val="00930B3F"/>
    <w:rsid w:val="009316C7"/>
    <w:rsid w:val="009317C1"/>
    <w:rsid w:val="009319B3"/>
    <w:rsid w:val="00931B06"/>
    <w:rsid w:val="0093253B"/>
    <w:rsid w:val="009325E3"/>
    <w:rsid w:val="00932C05"/>
    <w:rsid w:val="00932C10"/>
    <w:rsid w:val="00932FF4"/>
    <w:rsid w:val="00933077"/>
    <w:rsid w:val="0093324B"/>
    <w:rsid w:val="00933B1C"/>
    <w:rsid w:val="00933EAF"/>
    <w:rsid w:val="009342E1"/>
    <w:rsid w:val="00934B51"/>
    <w:rsid w:val="00934C79"/>
    <w:rsid w:val="00935157"/>
    <w:rsid w:val="009357EE"/>
    <w:rsid w:val="00935F0E"/>
    <w:rsid w:val="00935F41"/>
    <w:rsid w:val="00936569"/>
    <w:rsid w:val="00936608"/>
    <w:rsid w:val="0093687E"/>
    <w:rsid w:val="00936EFD"/>
    <w:rsid w:val="00937206"/>
    <w:rsid w:val="0093743E"/>
    <w:rsid w:val="00937905"/>
    <w:rsid w:val="009404B6"/>
    <w:rsid w:val="00940E5A"/>
    <w:rsid w:val="009419C2"/>
    <w:rsid w:val="00941AC9"/>
    <w:rsid w:val="00941C41"/>
    <w:rsid w:val="00942297"/>
    <w:rsid w:val="009426BC"/>
    <w:rsid w:val="00942D16"/>
    <w:rsid w:val="00943561"/>
    <w:rsid w:val="0094448D"/>
    <w:rsid w:val="00944C88"/>
    <w:rsid w:val="00944D75"/>
    <w:rsid w:val="009457E5"/>
    <w:rsid w:val="00945962"/>
    <w:rsid w:val="00945EFE"/>
    <w:rsid w:val="00946394"/>
    <w:rsid w:val="00946553"/>
    <w:rsid w:val="00946845"/>
    <w:rsid w:val="009468D4"/>
    <w:rsid w:val="0094724F"/>
    <w:rsid w:val="00947AE9"/>
    <w:rsid w:val="00947BE7"/>
    <w:rsid w:val="0095019E"/>
    <w:rsid w:val="00950892"/>
    <w:rsid w:val="009511FC"/>
    <w:rsid w:val="009518F9"/>
    <w:rsid w:val="00951C97"/>
    <w:rsid w:val="00952B7E"/>
    <w:rsid w:val="00954556"/>
    <w:rsid w:val="00954728"/>
    <w:rsid w:val="009549AB"/>
    <w:rsid w:val="00954F8D"/>
    <w:rsid w:val="00955036"/>
    <w:rsid w:val="0095609C"/>
    <w:rsid w:val="009562D3"/>
    <w:rsid w:val="009567DF"/>
    <w:rsid w:val="00956D7A"/>
    <w:rsid w:val="00957A8D"/>
    <w:rsid w:val="00960FAF"/>
    <w:rsid w:val="0096116B"/>
    <w:rsid w:val="009612AE"/>
    <w:rsid w:val="0096196A"/>
    <w:rsid w:val="00961BA0"/>
    <w:rsid w:val="00961EEF"/>
    <w:rsid w:val="00962441"/>
    <w:rsid w:val="00962961"/>
    <w:rsid w:val="00962B90"/>
    <w:rsid w:val="009630CC"/>
    <w:rsid w:val="009631ED"/>
    <w:rsid w:val="0096331B"/>
    <w:rsid w:val="00963A49"/>
    <w:rsid w:val="00965216"/>
    <w:rsid w:val="0096521F"/>
    <w:rsid w:val="009656F7"/>
    <w:rsid w:val="00965A2A"/>
    <w:rsid w:val="00965D11"/>
    <w:rsid w:val="0096645C"/>
    <w:rsid w:val="009668C2"/>
    <w:rsid w:val="00967AB2"/>
    <w:rsid w:val="0097034E"/>
    <w:rsid w:val="0097066E"/>
    <w:rsid w:val="00970AD4"/>
    <w:rsid w:val="00970D1A"/>
    <w:rsid w:val="00970FCF"/>
    <w:rsid w:val="0097107A"/>
    <w:rsid w:val="00971330"/>
    <w:rsid w:val="009719C4"/>
    <w:rsid w:val="00971A76"/>
    <w:rsid w:val="00971C71"/>
    <w:rsid w:val="00971D77"/>
    <w:rsid w:val="00971FDF"/>
    <w:rsid w:val="0097221F"/>
    <w:rsid w:val="009726D8"/>
    <w:rsid w:val="00972CD8"/>
    <w:rsid w:val="0097368B"/>
    <w:rsid w:val="009736F3"/>
    <w:rsid w:val="009739D3"/>
    <w:rsid w:val="009745CC"/>
    <w:rsid w:val="00974CAF"/>
    <w:rsid w:val="009750E8"/>
    <w:rsid w:val="0097522F"/>
    <w:rsid w:val="009754C0"/>
    <w:rsid w:val="00975850"/>
    <w:rsid w:val="009758B2"/>
    <w:rsid w:val="00975AA8"/>
    <w:rsid w:val="0097635A"/>
    <w:rsid w:val="00976CE9"/>
    <w:rsid w:val="00976DD4"/>
    <w:rsid w:val="0097702F"/>
    <w:rsid w:val="00977534"/>
    <w:rsid w:val="00977932"/>
    <w:rsid w:val="009779AC"/>
    <w:rsid w:val="00977A4E"/>
    <w:rsid w:val="00977F30"/>
    <w:rsid w:val="00980615"/>
    <w:rsid w:val="00980740"/>
    <w:rsid w:val="00980DED"/>
    <w:rsid w:val="00980E42"/>
    <w:rsid w:val="00981215"/>
    <w:rsid w:val="00981263"/>
    <w:rsid w:val="009817F2"/>
    <w:rsid w:val="00981D82"/>
    <w:rsid w:val="0098200F"/>
    <w:rsid w:val="00982269"/>
    <w:rsid w:val="00982442"/>
    <w:rsid w:val="0098250E"/>
    <w:rsid w:val="009828CF"/>
    <w:rsid w:val="00982A4B"/>
    <w:rsid w:val="00982EB1"/>
    <w:rsid w:val="009830D6"/>
    <w:rsid w:val="0098341C"/>
    <w:rsid w:val="0098349D"/>
    <w:rsid w:val="0098381C"/>
    <w:rsid w:val="00983964"/>
    <w:rsid w:val="00983C53"/>
    <w:rsid w:val="00983F92"/>
    <w:rsid w:val="009848F9"/>
    <w:rsid w:val="00984911"/>
    <w:rsid w:val="00984987"/>
    <w:rsid w:val="00985BA2"/>
    <w:rsid w:val="00986496"/>
    <w:rsid w:val="0098664D"/>
    <w:rsid w:val="0099036E"/>
    <w:rsid w:val="00990C9D"/>
    <w:rsid w:val="00991074"/>
    <w:rsid w:val="00991124"/>
    <w:rsid w:val="00991217"/>
    <w:rsid w:val="00991412"/>
    <w:rsid w:val="00991EFB"/>
    <w:rsid w:val="009929A2"/>
    <w:rsid w:val="009934BA"/>
    <w:rsid w:val="0099372E"/>
    <w:rsid w:val="00993ED6"/>
    <w:rsid w:val="00994488"/>
    <w:rsid w:val="00995386"/>
    <w:rsid w:val="009956EE"/>
    <w:rsid w:val="00995747"/>
    <w:rsid w:val="00996133"/>
    <w:rsid w:val="009966F8"/>
    <w:rsid w:val="009967FA"/>
    <w:rsid w:val="00997548"/>
    <w:rsid w:val="0099786F"/>
    <w:rsid w:val="00997957"/>
    <w:rsid w:val="0099796C"/>
    <w:rsid w:val="00997E77"/>
    <w:rsid w:val="009A14AF"/>
    <w:rsid w:val="009A1A06"/>
    <w:rsid w:val="009A255A"/>
    <w:rsid w:val="009A27E3"/>
    <w:rsid w:val="009A2941"/>
    <w:rsid w:val="009A2E1A"/>
    <w:rsid w:val="009A3B07"/>
    <w:rsid w:val="009A3F70"/>
    <w:rsid w:val="009A3FCF"/>
    <w:rsid w:val="009A4413"/>
    <w:rsid w:val="009A4A38"/>
    <w:rsid w:val="009A4B81"/>
    <w:rsid w:val="009A55F6"/>
    <w:rsid w:val="009A61CD"/>
    <w:rsid w:val="009A645A"/>
    <w:rsid w:val="009A68AC"/>
    <w:rsid w:val="009A6E08"/>
    <w:rsid w:val="009A7410"/>
    <w:rsid w:val="009A7E85"/>
    <w:rsid w:val="009A7EE7"/>
    <w:rsid w:val="009B0391"/>
    <w:rsid w:val="009B0979"/>
    <w:rsid w:val="009B0AD4"/>
    <w:rsid w:val="009B11D5"/>
    <w:rsid w:val="009B1301"/>
    <w:rsid w:val="009B1362"/>
    <w:rsid w:val="009B1531"/>
    <w:rsid w:val="009B1562"/>
    <w:rsid w:val="009B18BF"/>
    <w:rsid w:val="009B2402"/>
    <w:rsid w:val="009B2D31"/>
    <w:rsid w:val="009B2F8B"/>
    <w:rsid w:val="009B32FA"/>
    <w:rsid w:val="009B3507"/>
    <w:rsid w:val="009B385D"/>
    <w:rsid w:val="009B4917"/>
    <w:rsid w:val="009B4BBD"/>
    <w:rsid w:val="009B5C80"/>
    <w:rsid w:val="009B60EF"/>
    <w:rsid w:val="009B6A02"/>
    <w:rsid w:val="009B6D4C"/>
    <w:rsid w:val="009B6FB1"/>
    <w:rsid w:val="009B7080"/>
    <w:rsid w:val="009B7342"/>
    <w:rsid w:val="009B75E3"/>
    <w:rsid w:val="009B7AD0"/>
    <w:rsid w:val="009C01AC"/>
    <w:rsid w:val="009C03C7"/>
    <w:rsid w:val="009C066C"/>
    <w:rsid w:val="009C13C6"/>
    <w:rsid w:val="009C1719"/>
    <w:rsid w:val="009C26C7"/>
    <w:rsid w:val="009C28E2"/>
    <w:rsid w:val="009C2DF9"/>
    <w:rsid w:val="009C30AD"/>
    <w:rsid w:val="009C3BA0"/>
    <w:rsid w:val="009C3FD6"/>
    <w:rsid w:val="009C57CC"/>
    <w:rsid w:val="009C5D5D"/>
    <w:rsid w:val="009C61C4"/>
    <w:rsid w:val="009C67B3"/>
    <w:rsid w:val="009C688C"/>
    <w:rsid w:val="009C7119"/>
    <w:rsid w:val="009C71D2"/>
    <w:rsid w:val="009C7226"/>
    <w:rsid w:val="009C75B9"/>
    <w:rsid w:val="009C7BB4"/>
    <w:rsid w:val="009D0AA2"/>
    <w:rsid w:val="009D0AF6"/>
    <w:rsid w:val="009D0C1D"/>
    <w:rsid w:val="009D1087"/>
    <w:rsid w:val="009D1222"/>
    <w:rsid w:val="009D1C1E"/>
    <w:rsid w:val="009D1CB6"/>
    <w:rsid w:val="009D20B0"/>
    <w:rsid w:val="009D31B5"/>
    <w:rsid w:val="009D32B6"/>
    <w:rsid w:val="009D33B7"/>
    <w:rsid w:val="009D36FC"/>
    <w:rsid w:val="009D3AB5"/>
    <w:rsid w:val="009D3E94"/>
    <w:rsid w:val="009D4067"/>
    <w:rsid w:val="009D4082"/>
    <w:rsid w:val="009D40BB"/>
    <w:rsid w:val="009D4320"/>
    <w:rsid w:val="009D4751"/>
    <w:rsid w:val="009D4927"/>
    <w:rsid w:val="009D58A8"/>
    <w:rsid w:val="009D58B9"/>
    <w:rsid w:val="009D5E56"/>
    <w:rsid w:val="009D5EAD"/>
    <w:rsid w:val="009D6811"/>
    <w:rsid w:val="009D6D6E"/>
    <w:rsid w:val="009D7051"/>
    <w:rsid w:val="009D7168"/>
    <w:rsid w:val="009D7308"/>
    <w:rsid w:val="009D76F2"/>
    <w:rsid w:val="009D7AC7"/>
    <w:rsid w:val="009D7BFF"/>
    <w:rsid w:val="009E064B"/>
    <w:rsid w:val="009E09EE"/>
    <w:rsid w:val="009E0A7E"/>
    <w:rsid w:val="009E10D2"/>
    <w:rsid w:val="009E12E4"/>
    <w:rsid w:val="009E1A4D"/>
    <w:rsid w:val="009E22F3"/>
    <w:rsid w:val="009E2861"/>
    <w:rsid w:val="009E3A26"/>
    <w:rsid w:val="009E40C9"/>
    <w:rsid w:val="009E4154"/>
    <w:rsid w:val="009E4309"/>
    <w:rsid w:val="009E45A4"/>
    <w:rsid w:val="009E4721"/>
    <w:rsid w:val="009E47EA"/>
    <w:rsid w:val="009E4BAA"/>
    <w:rsid w:val="009E4C21"/>
    <w:rsid w:val="009E50AD"/>
    <w:rsid w:val="009E5903"/>
    <w:rsid w:val="009E61D4"/>
    <w:rsid w:val="009E65ED"/>
    <w:rsid w:val="009E6A77"/>
    <w:rsid w:val="009E6BAE"/>
    <w:rsid w:val="009E73A3"/>
    <w:rsid w:val="009E7DB1"/>
    <w:rsid w:val="009E7F1D"/>
    <w:rsid w:val="009F04D6"/>
    <w:rsid w:val="009F157D"/>
    <w:rsid w:val="009F1A7C"/>
    <w:rsid w:val="009F1B9F"/>
    <w:rsid w:val="009F1CBB"/>
    <w:rsid w:val="009F1F78"/>
    <w:rsid w:val="009F2D00"/>
    <w:rsid w:val="009F2D0B"/>
    <w:rsid w:val="009F2EF3"/>
    <w:rsid w:val="009F2F08"/>
    <w:rsid w:val="009F3936"/>
    <w:rsid w:val="009F3AB2"/>
    <w:rsid w:val="009F4168"/>
    <w:rsid w:val="009F45D5"/>
    <w:rsid w:val="009F4F9F"/>
    <w:rsid w:val="009F7100"/>
    <w:rsid w:val="009F7695"/>
    <w:rsid w:val="009F76DB"/>
    <w:rsid w:val="009F7A33"/>
    <w:rsid w:val="009F7A7A"/>
    <w:rsid w:val="009F7E6F"/>
    <w:rsid w:val="009F7EBD"/>
    <w:rsid w:val="00A000D0"/>
    <w:rsid w:val="00A00511"/>
    <w:rsid w:val="00A01118"/>
    <w:rsid w:val="00A01181"/>
    <w:rsid w:val="00A014CC"/>
    <w:rsid w:val="00A01DA5"/>
    <w:rsid w:val="00A01E78"/>
    <w:rsid w:val="00A01FFC"/>
    <w:rsid w:val="00A021E0"/>
    <w:rsid w:val="00A0253D"/>
    <w:rsid w:val="00A02803"/>
    <w:rsid w:val="00A02AF8"/>
    <w:rsid w:val="00A02D88"/>
    <w:rsid w:val="00A02EC1"/>
    <w:rsid w:val="00A0338D"/>
    <w:rsid w:val="00A0342A"/>
    <w:rsid w:val="00A036AE"/>
    <w:rsid w:val="00A04387"/>
    <w:rsid w:val="00A0444A"/>
    <w:rsid w:val="00A04483"/>
    <w:rsid w:val="00A04E76"/>
    <w:rsid w:val="00A052E2"/>
    <w:rsid w:val="00A060F2"/>
    <w:rsid w:val="00A06C65"/>
    <w:rsid w:val="00A07A10"/>
    <w:rsid w:val="00A07C50"/>
    <w:rsid w:val="00A07DA3"/>
    <w:rsid w:val="00A10305"/>
    <w:rsid w:val="00A10BAA"/>
    <w:rsid w:val="00A10BB7"/>
    <w:rsid w:val="00A113BB"/>
    <w:rsid w:val="00A116A9"/>
    <w:rsid w:val="00A1178F"/>
    <w:rsid w:val="00A11AEC"/>
    <w:rsid w:val="00A11AF7"/>
    <w:rsid w:val="00A11D6C"/>
    <w:rsid w:val="00A11D79"/>
    <w:rsid w:val="00A12084"/>
    <w:rsid w:val="00A12525"/>
    <w:rsid w:val="00A12661"/>
    <w:rsid w:val="00A12714"/>
    <w:rsid w:val="00A12866"/>
    <w:rsid w:val="00A12AED"/>
    <w:rsid w:val="00A130A1"/>
    <w:rsid w:val="00A13678"/>
    <w:rsid w:val="00A13C80"/>
    <w:rsid w:val="00A13EEE"/>
    <w:rsid w:val="00A14705"/>
    <w:rsid w:val="00A15338"/>
    <w:rsid w:val="00A1535F"/>
    <w:rsid w:val="00A15588"/>
    <w:rsid w:val="00A15D33"/>
    <w:rsid w:val="00A16245"/>
    <w:rsid w:val="00A162DF"/>
    <w:rsid w:val="00A1644A"/>
    <w:rsid w:val="00A165FB"/>
    <w:rsid w:val="00A16761"/>
    <w:rsid w:val="00A16AFC"/>
    <w:rsid w:val="00A17172"/>
    <w:rsid w:val="00A172C2"/>
    <w:rsid w:val="00A17688"/>
    <w:rsid w:val="00A1789A"/>
    <w:rsid w:val="00A20C87"/>
    <w:rsid w:val="00A2150B"/>
    <w:rsid w:val="00A21D10"/>
    <w:rsid w:val="00A220CF"/>
    <w:rsid w:val="00A22396"/>
    <w:rsid w:val="00A22E49"/>
    <w:rsid w:val="00A23445"/>
    <w:rsid w:val="00A23DCF"/>
    <w:rsid w:val="00A23EAE"/>
    <w:rsid w:val="00A24482"/>
    <w:rsid w:val="00A24819"/>
    <w:rsid w:val="00A24C6C"/>
    <w:rsid w:val="00A24EA9"/>
    <w:rsid w:val="00A251E6"/>
    <w:rsid w:val="00A25621"/>
    <w:rsid w:val="00A256A3"/>
    <w:rsid w:val="00A256D8"/>
    <w:rsid w:val="00A25B92"/>
    <w:rsid w:val="00A25D23"/>
    <w:rsid w:val="00A26077"/>
    <w:rsid w:val="00A26995"/>
    <w:rsid w:val="00A26998"/>
    <w:rsid w:val="00A27039"/>
    <w:rsid w:val="00A30117"/>
    <w:rsid w:val="00A30FBE"/>
    <w:rsid w:val="00A3195A"/>
    <w:rsid w:val="00A31EA9"/>
    <w:rsid w:val="00A31F97"/>
    <w:rsid w:val="00A32273"/>
    <w:rsid w:val="00A32434"/>
    <w:rsid w:val="00A325C0"/>
    <w:rsid w:val="00A32C3B"/>
    <w:rsid w:val="00A32D13"/>
    <w:rsid w:val="00A32D99"/>
    <w:rsid w:val="00A33BB6"/>
    <w:rsid w:val="00A33D86"/>
    <w:rsid w:val="00A33E0F"/>
    <w:rsid w:val="00A3474A"/>
    <w:rsid w:val="00A34B69"/>
    <w:rsid w:val="00A34E91"/>
    <w:rsid w:val="00A34FD3"/>
    <w:rsid w:val="00A350E8"/>
    <w:rsid w:val="00A35389"/>
    <w:rsid w:val="00A35922"/>
    <w:rsid w:val="00A35C8E"/>
    <w:rsid w:val="00A35D4B"/>
    <w:rsid w:val="00A36334"/>
    <w:rsid w:val="00A366D9"/>
    <w:rsid w:val="00A37289"/>
    <w:rsid w:val="00A37624"/>
    <w:rsid w:val="00A37714"/>
    <w:rsid w:val="00A40166"/>
    <w:rsid w:val="00A408D9"/>
    <w:rsid w:val="00A40F3F"/>
    <w:rsid w:val="00A411BC"/>
    <w:rsid w:val="00A41543"/>
    <w:rsid w:val="00A416A2"/>
    <w:rsid w:val="00A418A3"/>
    <w:rsid w:val="00A41A5F"/>
    <w:rsid w:val="00A41C37"/>
    <w:rsid w:val="00A42256"/>
    <w:rsid w:val="00A422E9"/>
    <w:rsid w:val="00A431AC"/>
    <w:rsid w:val="00A43216"/>
    <w:rsid w:val="00A433FC"/>
    <w:rsid w:val="00A4347E"/>
    <w:rsid w:val="00A43972"/>
    <w:rsid w:val="00A441C9"/>
    <w:rsid w:val="00A444D1"/>
    <w:rsid w:val="00A444F5"/>
    <w:rsid w:val="00A44C5A"/>
    <w:rsid w:val="00A44CAA"/>
    <w:rsid w:val="00A44DF0"/>
    <w:rsid w:val="00A44EAA"/>
    <w:rsid w:val="00A4574C"/>
    <w:rsid w:val="00A45CF9"/>
    <w:rsid w:val="00A45DAA"/>
    <w:rsid w:val="00A45DF5"/>
    <w:rsid w:val="00A45F4F"/>
    <w:rsid w:val="00A463E5"/>
    <w:rsid w:val="00A46648"/>
    <w:rsid w:val="00A46A95"/>
    <w:rsid w:val="00A46AEB"/>
    <w:rsid w:val="00A47097"/>
    <w:rsid w:val="00A4714D"/>
    <w:rsid w:val="00A4728F"/>
    <w:rsid w:val="00A4750E"/>
    <w:rsid w:val="00A47794"/>
    <w:rsid w:val="00A47CF0"/>
    <w:rsid w:val="00A50248"/>
    <w:rsid w:val="00A50910"/>
    <w:rsid w:val="00A51048"/>
    <w:rsid w:val="00A51210"/>
    <w:rsid w:val="00A51E27"/>
    <w:rsid w:val="00A520DB"/>
    <w:rsid w:val="00A520F6"/>
    <w:rsid w:val="00A5221E"/>
    <w:rsid w:val="00A52570"/>
    <w:rsid w:val="00A527CC"/>
    <w:rsid w:val="00A528F5"/>
    <w:rsid w:val="00A532E6"/>
    <w:rsid w:val="00A5344E"/>
    <w:rsid w:val="00A53641"/>
    <w:rsid w:val="00A53667"/>
    <w:rsid w:val="00A5426C"/>
    <w:rsid w:val="00A542AF"/>
    <w:rsid w:val="00A54A7D"/>
    <w:rsid w:val="00A54F3D"/>
    <w:rsid w:val="00A5526D"/>
    <w:rsid w:val="00A555C9"/>
    <w:rsid w:val="00A55D56"/>
    <w:rsid w:val="00A5605B"/>
    <w:rsid w:val="00A56061"/>
    <w:rsid w:val="00A5708A"/>
    <w:rsid w:val="00A570B5"/>
    <w:rsid w:val="00A57193"/>
    <w:rsid w:val="00A571EE"/>
    <w:rsid w:val="00A574F4"/>
    <w:rsid w:val="00A57B2C"/>
    <w:rsid w:val="00A57B31"/>
    <w:rsid w:val="00A600A9"/>
    <w:rsid w:val="00A607E4"/>
    <w:rsid w:val="00A608C7"/>
    <w:rsid w:val="00A60CEA"/>
    <w:rsid w:val="00A61441"/>
    <w:rsid w:val="00A61476"/>
    <w:rsid w:val="00A6147A"/>
    <w:rsid w:val="00A61CA8"/>
    <w:rsid w:val="00A6200F"/>
    <w:rsid w:val="00A624B0"/>
    <w:rsid w:val="00A62607"/>
    <w:rsid w:val="00A62AA4"/>
    <w:rsid w:val="00A630B3"/>
    <w:rsid w:val="00A6435B"/>
    <w:rsid w:val="00A648FE"/>
    <w:rsid w:val="00A64A83"/>
    <w:rsid w:val="00A65393"/>
    <w:rsid w:val="00A6594E"/>
    <w:rsid w:val="00A66327"/>
    <w:rsid w:val="00A66E51"/>
    <w:rsid w:val="00A67FF3"/>
    <w:rsid w:val="00A67FF9"/>
    <w:rsid w:val="00A70D23"/>
    <w:rsid w:val="00A70FDD"/>
    <w:rsid w:val="00A71CD3"/>
    <w:rsid w:val="00A71E36"/>
    <w:rsid w:val="00A72185"/>
    <w:rsid w:val="00A72299"/>
    <w:rsid w:val="00A724FD"/>
    <w:rsid w:val="00A72D2C"/>
    <w:rsid w:val="00A72DAA"/>
    <w:rsid w:val="00A72F00"/>
    <w:rsid w:val="00A73133"/>
    <w:rsid w:val="00A73168"/>
    <w:rsid w:val="00A73AA0"/>
    <w:rsid w:val="00A73B9A"/>
    <w:rsid w:val="00A745E2"/>
    <w:rsid w:val="00A747BE"/>
    <w:rsid w:val="00A74B89"/>
    <w:rsid w:val="00A75366"/>
    <w:rsid w:val="00A75B95"/>
    <w:rsid w:val="00A75CA8"/>
    <w:rsid w:val="00A76324"/>
    <w:rsid w:val="00A765E9"/>
    <w:rsid w:val="00A76885"/>
    <w:rsid w:val="00A76DB3"/>
    <w:rsid w:val="00A7701D"/>
    <w:rsid w:val="00A776A9"/>
    <w:rsid w:val="00A77A9C"/>
    <w:rsid w:val="00A80182"/>
    <w:rsid w:val="00A8045F"/>
    <w:rsid w:val="00A8078C"/>
    <w:rsid w:val="00A80FDA"/>
    <w:rsid w:val="00A811D9"/>
    <w:rsid w:val="00A81D99"/>
    <w:rsid w:val="00A83380"/>
    <w:rsid w:val="00A835ED"/>
    <w:rsid w:val="00A83738"/>
    <w:rsid w:val="00A8416B"/>
    <w:rsid w:val="00A841B7"/>
    <w:rsid w:val="00A854B8"/>
    <w:rsid w:val="00A85652"/>
    <w:rsid w:val="00A8568E"/>
    <w:rsid w:val="00A856E4"/>
    <w:rsid w:val="00A85A8D"/>
    <w:rsid w:val="00A85B5B"/>
    <w:rsid w:val="00A85CC1"/>
    <w:rsid w:val="00A860D4"/>
    <w:rsid w:val="00A861B9"/>
    <w:rsid w:val="00A86A1F"/>
    <w:rsid w:val="00A86E93"/>
    <w:rsid w:val="00A871BE"/>
    <w:rsid w:val="00A8761F"/>
    <w:rsid w:val="00A87DE1"/>
    <w:rsid w:val="00A90014"/>
    <w:rsid w:val="00A907F9"/>
    <w:rsid w:val="00A90B25"/>
    <w:rsid w:val="00A90D17"/>
    <w:rsid w:val="00A90F03"/>
    <w:rsid w:val="00A91DAC"/>
    <w:rsid w:val="00A92076"/>
    <w:rsid w:val="00A9249C"/>
    <w:rsid w:val="00A92A47"/>
    <w:rsid w:val="00A92D99"/>
    <w:rsid w:val="00A93D81"/>
    <w:rsid w:val="00A940DB"/>
    <w:rsid w:val="00A947D9"/>
    <w:rsid w:val="00A94A65"/>
    <w:rsid w:val="00A94D37"/>
    <w:rsid w:val="00A94E1C"/>
    <w:rsid w:val="00A94ED3"/>
    <w:rsid w:val="00A95271"/>
    <w:rsid w:val="00A952C5"/>
    <w:rsid w:val="00A9547E"/>
    <w:rsid w:val="00A955D4"/>
    <w:rsid w:val="00A95AC9"/>
    <w:rsid w:val="00A95ACA"/>
    <w:rsid w:val="00A96769"/>
    <w:rsid w:val="00A970E7"/>
    <w:rsid w:val="00A97194"/>
    <w:rsid w:val="00A97385"/>
    <w:rsid w:val="00A975F0"/>
    <w:rsid w:val="00A97DFE"/>
    <w:rsid w:val="00AA0056"/>
    <w:rsid w:val="00AA0591"/>
    <w:rsid w:val="00AA066B"/>
    <w:rsid w:val="00AA06C7"/>
    <w:rsid w:val="00AA0F43"/>
    <w:rsid w:val="00AA16A5"/>
    <w:rsid w:val="00AA20E7"/>
    <w:rsid w:val="00AA2105"/>
    <w:rsid w:val="00AA2558"/>
    <w:rsid w:val="00AA2794"/>
    <w:rsid w:val="00AA2AC9"/>
    <w:rsid w:val="00AA2D71"/>
    <w:rsid w:val="00AA2E40"/>
    <w:rsid w:val="00AA2F7E"/>
    <w:rsid w:val="00AA34D7"/>
    <w:rsid w:val="00AA352B"/>
    <w:rsid w:val="00AA3594"/>
    <w:rsid w:val="00AA362C"/>
    <w:rsid w:val="00AA389F"/>
    <w:rsid w:val="00AA3A42"/>
    <w:rsid w:val="00AA3CBF"/>
    <w:rsid w:val="00AA445C"/>
    <w:rsid w:val="00AA45D7"/>
    <w:rsid w:val="00AA4A9F"/>
    <w:rsid w:val="00AA55B7"/>
    <w:rsid w:val="00AA5B9E"/>
    <w:rsid w:val="00AA61FC"/>
    <w:rsid w:val="00AA683F"/>
    <w:rsid w:val="00AA6A55"/>
    <w:rsid w:val="00AA7389"/>
    <w:rsid w:val="00AA775B"/>
    <w:rsid w:val="00AA7930"/>
    <w:rsid w:val="00AA7F30"/>
    <w:rsid w:val="00AB0D2B"/>
    <w:rsid w:val="00AB0D83"/>
    <w:rsid w:val="00AB1652"/>
    <w:rsid w:val="00AB1EA1"/>
    <w:rsid w:val="00AB2365"/>
    <w:rsid w:val="00AB23FB"/>
    <w:rsid w:val="00AB2407"/>
    <w:rsid w:val="00AB2839"/>
    <w:rsid w:val="00AB29FE"/>
    <w:rsid w:val="00AB2B7E"/>
    <w:rsid w:val="00AB30D0"/>
    <w:rsid w:val="00AB3135"/>
    <w:rsid w:val="00AB33BE"/>
    <w:rsid w:val="00AB33C0"/>
    <w:rsid w:val="00AB3C21"/>
    <w:rsid w:val="00AB3EC5"/>
    <w:rsid w:val="00AB4E02"/>
    <w:rsid w:val="00AB4F71"/>
    <w:rsid w:val="00AB4FFE"/>
    <w:rsid w:val="00AB53DF"/>
    <w:rsid w:val="00AB546D"/>
    <w:rsid w:val="00AB5E0B"/>
    <w:rsid w:val="00AB5EB5"/>
    <w:rsid w:val="00AB74F6"/>
    <w:rsid w:val="00AB789C"/>
    <w:rsid w:val="00AB7A1D"/>
    <w:rsid w:val="00AB7CE0"/>
    <w:rsid w:val="00AC018C"/>
    <w:rsid w:val="00AC0711"/>
    <w:rsid w:val="00AC0744"/>
    <w:rsid w:val="00AC080A"/>
    <w:rsid w:val="00AC0F0E"/>
    <w:rsid w:val="00AC17BB"/>
    <w:rsid w:val="00AC229F"/>
    <w:rsid w:val="00AC243C"/>
    <w:rsid w:val="00AC2980"/>
    <w:rsid w:val="00AC2CD6"/>
    <w:rsid w:val="00AC2CF9"/>
    <w:rsid w:val="00AC32F1"/>
    <w:rsid w:val="00AC33BD"/>
    <w:rsid w:val="00AC3F9E"/>
    <w:rsid w:val="00AC441F"/>
    <w:rsid w:val="00AC4487"/>
    <w:rsid w:val="00AC4755"/>
    <w:rsid w:val="00AC4EF7"/>
    <w:rsid w:val="00AC5411"/>
    <w:rsid w:val="00AC5532"/>
    <w:rsid w:val="00AC5D4F"/>
    <w:rsid w:val="00AC6266"/>
    <w:rsid w:val="00AC6477"/>
    <w:rsid w:val="00AC6736"/>
    <w:rsid w:val="00AC6ED4"/>
    <w:rsid w:val="00AC7291"/>
    <w:rsid w:val="00AC755C"/>
    <w:rsid w:val="00AC7BBD"/>
    <w:rsid w:val="00AD03F7"/>
    <w:rsid w:val="00AD05A8"/>
    <w:rsid w:val="00AD0925"/>
    <w:rsid w:val="00AD0987"/>
    <w:rsid w:val="00AD0AA8"/>
    <w:rsid w:val="00AD2B66"/>
    <w:rsid w:val="00AD2BA1"/>
    <w:rsid w:val="00AD3347"/>
    <w:rsid w:val="00AD3BAA"/>
    <w:rsid w:val="00AD3C45"/>
    <w:rsid w:val="00AD3E3F"/>
    <w:rsid w:val="00AD4139"/>
    <w:rsid w:val="00AD4469"/>
    <w:rsid w:val="00AD4A35"/>
    <w:rsid w:val="00AD4D21"/>
    <w:rsid w:val="00AD579E"/>
    <w:rsid w:val="00AD5AA0"/>
    <w:rsid w:val="00AD5BA1"/>
    <w:rsid w:val="00AD5F2E"/>
    <w:rsid w:val="00AD65DF"/>
    <w:rsid w:val="00AD7387"/>
    <w:rsid w:val="00AD77EB"/>
    <w:rsid w:val="00AD7843"/>
    <w:rsid w:val="00AE00AA"/>
    <w:rsid w:val="00AE01BD"/>
    <w:rsid w:val="00AE01F4"/>
    <w:rsid w:val="00AE0206"/>
    <w:rsid w:val="00AE0294"/>
    <w:rsid w:val="00AE1B06"/>
    <w:rsid w:val="00AE1BC0"/>
    <w:rsid w:val="00AE1F7D"/>
    <w:rsid w:val="00AE1F7F"/>
    <w:rsid w:val="00AE1F8E"/>
    <w:rsid w:val="00AE20FC"/>
    <w:rsid w:val="00AE2191"/>
    <w:rsid w:val="00AE28C2"/>
    <w:rsid w:val="00AE2949"/>
    <w:rsid w:val="00AE3262"/>
    <w:rsid w:val="00AE32D6"/>
    <w:rsid w:val="00AE3512"/>
    <w:rsid w:val="00AE3664"/>
    <w:rsid w:val="00AE368D"/>
    <w:rsid w:val="00AE381C"/>
    <w:rsid w:val="00AE4DC0"/>
    <w:rsid w:val="00AE52E7"/>
    <w:rsid w:val="00AE5427"/>
    <w:rsid w:val="00AE5A2A"/>
    <w:rsid w:val="00AE67A2"/>
    <w:rsid w:val="00AE6B2D"/>
    <w:rsid w:val="00AE7D41"/>
    <w:rsid w:val="00AF038B"/>
    <w:rsid w:val="00AF0611"/>
    <w:rsid w:val="00AF06C9"/>
    <w:rsid w:val="00AF0A34"/>
    <w:rsid w:val="00AF0DC3"/>
    <w:rsid w:val="00AF1AE7"/>
    <w:rsid w:val="00AF1B7C"/>
    <w:rsid w:val="00AF2071"/>
    <w:rsid w:val="00AF25F7"/>
    <w:rsid w:val="00AF32A3"/>
    <w:rsid w:val="00AF37FF"/>
    <w:rsid w:val="00AF42C9"/>
    <w:rsid w:val="00AF553D"/>
    <w:rsid w:val="00AF553F"/>
    <w:rsid w:val="00AF5CCB"/>
    <w:rsid w:val="00AF5D4A"/>
    <w:rsid w:val="00AF676F"/>
    <w:rsid w:val="00AF6916"/>
    <w:rsid w:val="00AF6B2D"/>
    <w:rsid w:val="00AF7444"/>
    <w:rsid w:val="00AF7720"/>
    <w:rsid w:val="00AF7861"/>
    <w:rsid w:val="00B000AE"/>
    <w:rsid w:val="00B001BF"/>
    <w:rsid w:val="00B00B6F"/>
    <w:rsid w:val="00B00C3E"/>
    <w:rsid w:val="00B01C2E"/>
    <w:rsid w:val="00B01D7E"/>
    <w:rsid w:val="00B01F16"/>
    <w:rsid w:val="00B02194"/>
    <w:rsid w:val="00B0223B"/>
    <w:rsid w:val="00B0249B"/>
    <w:rsid w:val="00B02C40"/>
    <w:rsid w:val="00B0318C"/>
    <w:rsid w:val="00B031EB"/>
    <w:rsid w:val="00B032F0"/>
    <w:rsid w:val="00B035DA"/>
    <w:rsid w:val="00B03F97"/>
    <w:rsid w:val="00B046C4"/>
    <w:rsid w:val="00B04ACA"/>
    <w:rsid w:val="00B04FE2"/>
    <w:rsid w:val="00B05E93"/>
    <w:rsid w:val="00B06826"/>
    <w:rsid w:val="00B07069"/>
    <w:rsid w:val="00B0792E"/>
    <w:rsid w:val="00B07B3E"/>
    <w:rsid w:val="00B07E5C"/>
    <w:rsid w:val="00B07F40"/>
    <w:rsid w:val="00B100AF"/>
    <w:rsid w:val="00B1097C"/>
    <w:rsid w:val="00B10E55"/>
    <w:rsid w:val="00B1139F"/>
    <w:rsid w:val="00B11622"/>
    <w:rsid w:val="00B1164B"/>
    <w:rsid w:val="00B11FA2"/>
    <w:rsid w:val="00B12782"/>
    <w:rsid w:val="00B129CA"/>
    <w:rsid w:val="00B13B5A"/>
    <w:rsid w:val="00B13B9D"/>
    <w:rsid w:val="00B13C3D"/>
    <w:rsid w:val="00B15299"/>
    <w:rsid w:val="00B154DD"/>
    <w:rsid w:val="00B15845"/>
    <w:rsid w:val="00B15864"/>
    <w:rsid w:val="00B15978"/>
    <w:rsid w:val="00B1658D"/>
    <w:rsid w:val="00B16802"/>
    <w:rsid w:val="00B16E74"/>
    <w:rsid w:val="00B1736F"/>
    <w:rsid w:val="00B17489"/>
    <w:rsid w:val="00B17BB7"/>
    <w:rsid w:val="00B17D04"/>
    <w:rsid w:val="00B20476"/>
    <w:rsid w:val="00B20887"/>
    <w:rsid w:val="00B2095F"/>
    <w:rsid w:val="00B20D4E"/>
    <w:rsid w:val="00B214DD"/>
    <w:rsid w:val="00B21892"/>
    <w:rsid w:val="00B21A9F"/>
    <w:rsid w:val="00B21CAF"/>
    <w:rsid w:val="00B22FB0"/>
    <w:rsid w:val="00B239F4"/>
    <w:rsid w:val="00B2467D"/>
    <w:rsid w:val="00B25267"/>
    <w:rsid w:val="00B254CC"/>
    <w:rsid w:val="00B25D69"/>
    <w:rsid w:val="00B25FFF"/>
    <w:rsid w:val="00B262F9"/>
    <w:rsid w:val="00B26D84"/>
    <w:rsid w:val="00B30369"/>
    <w:rsid w:val="00B3041A"/>
    <w:rsid w:val="00B304B4"/>
    <w:rsid w:val="00B3083D"/>
    <w:rsid w:val="00B30B18"/>
    <w:rsid w:val="00B30F52"/>
    <w:rsid w:val="00B31EA9"/>
    <w:rsid w:val="00B32291"/>
    <w:rsid w:val="00B3247D"/>
    <w:rsid w:val="00B325E6"/>
    <w:rsid w:val="00B32BAE"/>
    <w:rsid w:val="00B330AB"/>
    <w:rsid w:val="00B331A4"/>
    <w:rsid w:val="00B332B8"/>
    <w:rsid w:val="00B338D1"/>
    <w:rsid w:val="00B33BBD"/>
    <w:rsid w:val="00B3442C"/>
    <w:rsid w:val="00B348D7"/>
    <w:rsid w:val="00B34E34"/>
    <w:rsid w:val="00B35103"/>
    <w:rsid w:val="00B355F9"/>
    <w:rsid w:val="00B356FF"/>
    <w:rsid w:val="00B35C97"/>
    <w:rsid w:val="00B365B7"/>
    <w:rsid w:val="00B36AC7"/>
    <w:rsid w:val="00B36D7E"/>
    <w:rsid w:val="00B3705E"/>
    <w:rsid w:val="00B37074"/>
    <w:rsid w:val="00B37258"/>
    <w:rsid w:val="00B3740B"/>
    <w:rsid w:val="00B3751D"/>
    <w:rsid w:val="00B37B19"/>
    <w:rsid w:val="00B40816"/>
    <w:rsid w:val="00B409DB"/>
    <w:rsid w:val="00B41E8F"/>
    <w:rsid w:val="00B41E99"/>
    <w:rsid w:val="00B42557"/>
    <w:rsid w:val="00B4268B"/>
    <w:rsid w:val="00B42D7C"/>
    <w:rsid w:val="00B438E0"/>
    <w:rsid w:val="00B43B47"/>
    <w:rsid w:val="00B448F9"/>
    <w:rsid w:val="00B449C6"/>
    <w:rsid w:val="00B44D7B"/>
    <w:rsid w:val="00B44E59"/>
    <w:rsid w:val="00B44F7E"/>
    <w:rsid w:val="00B44FAD"/>
    <w:rsid w:val="00B45305"/>
    <w:rsid w:val="00B46132"/>
    <w:rsid w:val="00B462FD"/>
    <w:rsid w:val="00B46B74"/>
    <w:rsid w:val="00B46C2E"/>
    <w:rsid w:val="00B46E41"/>
    <w:rsid w:val="00B47520"/>
    <w:rsid w:val="00B478C7"/>
    <w:rsid w:val="00B47978"/>
    <w:rsid w:val="00B502D6"/>
    <w:rsid w:val="00B50417"/>
    <w:rsid w:val="00B504D3"/>
    <w:rsid w:val="00B50E62"/>
    <w:rsid w:val="00B52A7F"/>
    <w:rsid w:val="00B531A0"/>
    <w:rsid w:val="00B53786"/>
    <w:rsid w:val="00B53BE4"/>
    <w:rsid w:val="00B541DB"/>
    <w:rsid w:val="00B5460F"/>
    <w:rsid w:val="00B55376"/>
    <w:rsid w:val="00B55C02"/>
    <w:rsid w:val="00B56230"/>
    <w:rsid w:val="00B56453"/>
    <w:rsid w:val="00B56596"/>
    <w:rsid w:val="00B5736C"/>
    <w:rsid w:val="00B574FD"/>
    <w:rsid w:val="00B57B9A"/>
    <w:rsid w:val="00B57D76"/>
    <w:rsid w:val="00B60DA8"/>
    <w:rsid w:val="00B618B0"/>
    <w:rsid w:val="00B61B56"/>
    <w:rsid w:val="00B61FFC"/>
    <w:rsid w:val="00B62094"/>
    <w:rsid w:val="00B62940"/>
    <w:rsid w:val="00B62B83"/>
    <w:rsid w:val="00B63346"/>
    <w:rsid w:val="00B6349D"/>
    <w:rsid w:val="00B6368A"/>
    <w:rsid w:val="00B63706"/>
    <w:rsid w:val="00B63FBC"/>
    <w:rsid w:val="00B64144"/>
    <w:rsid w:val="00B6445E"/>
    <w:rsid w:val="00B64EFD"/>
    <w:rsid w:val="00B651B5"/>
    <w:rsid w:val="00B657E7"/>
    <w:rsid w:val="00B65873"/>
    <w:rsid w:val="00B65C2E"/>
    <w:rsid w:val="00B65C7E"/>
    <w:rsid w:val="00B65FE8"/>
    <w:rsid w:val="00B661FB"/>
    <w:rsid w:val="00B667D0"/>
    <w:rsid w:val="00B6682A"/>
    <w:rsid w:val="00B66D11"/>
    <w:rsid w:val="00B66FB2"/>
    <w:rsid w:val="00B6712D"/>
    <w:rsid w:val="00B673D8"/>
    <w:rsid w:val="00B67882"/>
    <w:rsid w:val="00B704C4"/>
    <w:rsid w:val="00B70D2F"/>
    <w:rsid w:val="00B70D3A"/>
    <w:rsid w:val="00B70DC0"/>
    <w:rsid w:val="00B71012"/>
    <w:rsid w:val="00B71366"/>
    <w:rsid w:val="00B71B5D"/>
    <w:rsid w:val="00B71CE0"/>
    <w:rsid w:val="00B71DB9"/>
    <w:rsid w:val="00B71F93"/>
    <w:rsid w:val="00B720B8"/>
    <w:rsid w:val="00B7254C"/>
    <w:rsid w:val="00B72615"/>
    <w:rsid w:val="00B7263E"/>
    <w:rsid w:val="00B72C05"/>
    <w:rsid w:val="00B73058"/>
    <w:rsid w:val="00B739FC"/>
    <w:rsid w:val="00B73CC3"/>
    <w:rsid w:val="00B741C0"/>
    <w:rsid w:val="00B74DDE"/>
    <w:rsid w:val="00B753C3"/>
    <w:rsid w:val="00B75C3A"/>
    <w:rsid w:val="00B75F9D"/>
    <w:rsid w:val="00B75FEC"/>
    <w:rsid w:val="00B76112"/>
    <w:rsid w:val="00B76811"/>
    <w:rsid w:val="00B76986"/>
    <w:rsid w:val="00B76D73"/>
    <w:rsid w:val="00B76ECA"/>
    <w:rsid w:val="00B7724D"/>
    <w:rsid w:val="00B775E2"/>
    <w:rsid w:val="00B77FEC"/>
    <w:rsid w:val="00B803D2"/>
    <w:rsid w:val="00B80825"/>
    <w:rsid w:val="00B80E14"/>
    <w:rsid w:val="00B80E54"/>
    <w:rsid w:val="00B811F7"/>
    <w:rsid w:val="00B8129D"/>
    <w:rsid w:val="00B81383"/>
    <w:rsid w:val="00B81AFD"/>
    <w:rsid w:val="00B823AE"/>
    <w:rsid w:val="00B82571"/>
    <w:rsid w:val="00B825E1"/>
    <w:rsid w:val="00B8283E"/>
    <w:rsid w:val="00B828C0"/>
    <w:rsid w:val="00B8299A"/>
    <w:rsid w:val="00B836B5"/>
    <w:rsid w:val="00B83789"/>
    <w:rsid w:val="00B83E62"/>
    <w:rsid w:val="00B850FA"/>
    <w:rsid w:val="00B8553C"/>
    <w:rsid w:val="00B85CAC"/>
    <w:rsid w:val="00B85FBC"/>
    <w:rsid w:val="00B8615E"/>
    <w:rsid w:val="00B86468"/>
    <w:rsid w:val="00B865EE"/>
    <w:rsid w:val="00B86761"/>
    <w:rsid w:val="00B869BE"/>
    <w:rsid w:val="00B8723A"/>
    <w:rsid w:val="00B87674"/>
    <w:rsid w:val="00B8789A"/>
    <w:rsid w:val="00B87ADE"/>
    <w:rsid w:val="00B87BC8"/>
    <w:rsid w:val="00B87F47"/>
    <w:rsid w:val="00B90A80"/>
    <w:rsid w:val="00B90F5D"/>
    <w:rsid w:val="00B9101E"/>
    <w:rsid w:val="00B9107C"/>
    <w:rsid w:val="00B915C3"/>
    <w:rsid w:val="00B919EA"/>
    <w:rsid w:val="00B91F0C"/>
    <w:rsid w:val="00B91F35"/>
    <w:rsid w:val="00B926E9"/>
    <w:rsid w:val="00B9315E"/>
    <w:rsid w:val="00B9319E"/>
    <w:rsid w:val="00B9355F"/>
    <w:rsid w:val="00B9381E"/>
    <w:rsid w:val="00B945A0"/>
    <w:rsid w:val="00B94DDD"/>
    <w:rsid w:val="00B9542C"/>
    <w:rsid w:val="00B954F1"/>
    <w:rsid w:val="00B95597"/>
    <w:rsid w:val="00B95955"/>
    <w:rsid w:val="00B95AB2"/>
    <w:rsid w:val="00B96398"/>
    <w:rsid w:val="00B9704C"/>
    <w:rsid w:val="00B973C8"/>
    <w:rsid w:val="00B97586"/>
    <w:rsid w:val="00B97801"/>
    <w:rsid w:val="00B9789F"/>
    <w:rsid w:val="00B97F25"/>
    <w:rsid w:val="00BA0017"/>
    <w:rsid w:val="00BA01F1"/>
    <w:rsid w:val="00BA025C"/>
    <w:rsid w:val="00BA0353"/>
    <w:rsid w:val="00BA037F"/>
    <w:rsid w:val="00BA0B5F"/>
    <w:rsid w:val="00BA0C87"/>
    <w:rsid w:val="00BA0CB2"/>
    <w:rsid w:val="00BA146F"/>
    <w:rsid w:val="00BA1D80"/>
    <w:rsid w:val="00BA1ED4"/>
    <w:rsid w:val="00BA2070"/>
    <w:rsid w:val="00BA222E"/>
    <w:rsid w:val="00BA2453"/>
    <w:rsid w:val="00BA2D57"/>
    <w:rsid w:val="00BA3043"/>
    <w:rsid w:val="00BA3374"/>
    <w:rsid w:val="00BA4312"/>
    <w:rsid w:val="00BA433E"/>
    <w:rsid w:val="00BA4D16"/>
    <w:rsid w:val="00BA4E33"/>
    <w:rsid w:val="00BA5111"/>
    <w:rsid w:val="00BA52B1"/>
    <w:rsid w:val="00BA5BEF"/>
    <w:rsid w:val="00BA5DC6"/>
    <w:rsid w:val="00BA6196"/>
    <w:rsid w:val="00BA63D2"/>
    <w:rsid w:val="00BA7CA9"/>
    <w:rsid w:val="00BB0076"/>
    <w:rsid w:val="00BB00C1"/>
    <w:rsid w:val="00BB05C3"/>
    <w:rsid w:val="00BB0D1D"/>
    <w:rsid w:val="00BB0DCD"/>
    <w:rsid w:val="00BB10BF"/>
    <w:rsid w:val="00BB11CF"/>
    <w:rsid w:val="00BB1213"/>
    <w:rsid w:val="00BB142D"/>
    <w:rsid w:val="00BB1D0D"/>
    <w:rsid w:val="00BB1D63"/>
    <w:rsid w:val="00BB2166"/>
    <w:rsid w:val="00BB2177"/>
    <w:rsid w:val="00BB219B"/>
    <w:rsid w:val="00BB21AD"/>
    <w:rsid w:val="00BB234F"/>
    <w:rsid w:val="00BB2800"/>
    <w:rsid w:val="00BB2CCA"/>
    <w:rsid w:val="00BB2EF8"/>
    <w:rsid w:val="00BB3A04"/>
    <w:rsid w:val="00BB3AD3"/>
    <w:rsid w:val="00BB3BDB"/>
    <w:rsid w:val="00BB3C3D"/>
    <w:rsid w:val="00BB470E"/>
    <w:rsid w:val="00BB4D03"/>
    <w:rsid w:val="00BB514B"/>
    <w:rsid w:val="00BB527B"/>
    <w:rsid w:val="00BB53CB"/>
    <w:rsid w:val="00BB5CEF"/>
    <w:rsid w:val="00BB5F26"/>
    <w:rsid w:val="00BB61F7"/>
    <w:rsid w:val="00BB679C"/>
    <w:rsid w:val="00BB6B9A"/>
    <w:rsid w:val="00BB7329"/>
    <w:rsid w:val="00BB7A59"/>
    <w:rsid w:val="00BC0B95"/>
    <w:rsid w:val="00BC0BB0"/>
    <w:rsid w:val="00BC16E9"/>
    <w:rsid w:val="00BC17CA"/>
    <w:rsid w:val="00BC1A7B"/>
    <w:rsid w:val="00BC1B44"/>
    <w:rsid w:val="00BC20DE"/>
    <w:rsid w:val="00BC218C"/>
    <w:rsid w:val="00BC25B6"/>
    <w:rsid w:val="00BC2691"/>
    <w:rsid w:val="00BC2811"/>
    <w:rsid w:val="00BC316A"/>
    <w:rsid w:val="00BC3860"/>
    <w:rsid w:val="00BC418E"/>
    <w:rsid w:val="00BC461B"/>
    <w:rsid w:val="00BC4658"/>
    <w:rsid w:val="00BC4C8F"/>
    <w:rsid w:val="00BC518B"/>
    <w:rsid w:val="00BC533E"/>
    <w:rsid w:val="00BC6272"/>
    <w:rsid w:val="00BC6997"/>
    <w:rsid w:val="00BC6D8C"/>
    <w:rsid w:val="00BC6DCE"/>
    <w:rsid w:val="00BC7552"/>
    <w:rsid w:val="00BC76D5"/>
    <w:rsid w:val="00BD03D2"/>
    <w:rsid w:val="00BD0932"/>
    <w:rsid w:val="00BD0987"/>
    <w:rsid w:val="00BD0A66"/>
    <w:rsid w:val="00BD0AAB"/>
    <w:rsid w:val="00BD1252"/>
    <w:rsid w:val="00BD178E"/>
    <w:rsid w:val="00BD184C"/>
    <w:rsid w:val="00BD20A8"/>
    <w:rsid w:val="00BD21EB"/>
    <w:rsid w:val="00BD23EB"/>
    <w:rsid w:val="00BD2423"/>
    <w:rsid w:val="00BD2822"/>
    <w:rsid w:val="00BD35CB"/>
    <w:rsid w:val="00BD37F2"/>
    <w:rsid w:val="00BD3811"/>
    <w:rsid w:val="00BD391E"/>
    <w:rsid w:val="00BD3B02"/>
    <w:rsid w:val="00BD3DB1"/>
    <w:rsid w:val="00BD3E9E"/>
    <w:rsid w:val="00BD3EB0"/>
    <w:rsid w:val="00BD4421"/>
    <w:rsid w:val="00BD469B"/>
    <w:rsid w:val="00BD4AD8"/>
    <w:rsid w:val="00BD4B61"/>
    <w:rsid w:val="00BD4DE2"/>
    <w:rsid w:val="00BD517A"/>
    <w:rsid w:val="00BD52D7"/>
    <w:rsid w:val="00BD5967"/>
    <w:rsid w:val="00BD600A"/>
    <w:rsid w:val="00BD6150"/>
    <w:rsid w:val="00BD72C9"/>
    <w:rsid w:val="00BD796F"/>
    <w:rsid w:val="00BD7D19"/>
    <w:rsid w:val="00BD7ED5"/>
    <w:rsid w:val="00BE0034"/>
    <w:rsid w:val="00BE05D4"/>
    <w:rsid w:val="00BE189D"/>
    <w:rsid w:val="00BE2044"/>
    <w:rsid w:val="00BE25E7"/>
    <w:rsid w:val="00BE3059"/>
    <w:rsid w:val="00BE3461"/>
    <w:rsid w:val="00BE38C6"/>
    <w:rsid w:val="00BE3F4E"/>
    <w:rsid w:val="00BE4932"/>
    <w:rsid w:val="00BE55AC"/>
    <w:rsid w:val="00BE55B7"/>
    <w:rsid w:val="00BE6566"/>
    <w:rsid w:val="00BE68EE"/>
    <w:rsid w:val="00BE70C4"/>
    <w:rsid w:val="00BE72F7"/>
    <w:rsid w:val="00BE7A6B"/>
    <w:rsid w:val="00BF0078"/>
    <w:rsid w:val="00BF05A5"/>
    <w:rsid w:val="00BF05F7"/>
    <w:rsid w:val="00BF081B"/>
    <w:rsid w:val="00BF12B7"/>
    <w:rsid w:val="00BF14E5"/>
    <w:rsid w:val="00BF163B"/>
    <w:rsid w:val="00BF1DDE"/>
    <w:rsid w:val="00BF2080"/>
    <w:rsid w:val="00BF21FD"/>
    <w:rsid w:val="00BF221E"/>
    <w:rsid w:val="00BF23EF"/>
    <w:rsid w:val="00BF2BF4"/>
    <w:rsid w:val="00BF372F"/>
    <w:rsid w:val="00BF4138"/>
    <w:rsid w:val="00BF4904"/>
    <w:rsid w:val="00BF4AA0"/>
    <w:rsid w:val="00BF4F45"/>
    <w:rsid w:val="00BF5472"/>
    <w:rsid w:val="00BF56B8"/>
    <w:rsid w:val="00BF5FAE"/>
    <w:rsid w:val="00BF63F1"/>
    <w:rsid w:val="00BF679B"/>
    <w:rsid w:val="00BF6B46"/>
    <w:rsid w:val="00BF6CD2"/>
    <w:rsid w:val="00BF6D16"/>
    <w:rsid w:val="00BF6F63"/>
    <w:rsid w:val="00BF714D"/>
    <w:rsid w:val="00BF7181"/>
    <w:rsid w:val="00BF75A1"/>
    <w:rsid w:val="00BF75C1"/>
    <w:rsid w:val="00BF7DB5"/>
    <w:rsid w:val="00BF7DF8"/>
    <w:rsid w:val="00C000D6"/>
    <w:rsid w:val="00C006F0"/>
    <w:rsid w:val="00C007E4"/>
    <w:rsid w:val="00C00D77"/>
    <w:rsid w:val="00C0162D"/>
    <w:rsid w:val="00C01662"/>
    <w:rsid w:val="00C0199C"/>
    <w:rsid w:val="00C02035"/>
    <w:rsid w:val="00C02888"/>
    <w:rsid w:val="00C02B5F"/>
    <w:rsid w:val="00C02CA0"/>
    <w:rsid w:val="00C0330F"/>
    <w:rsid w:val="00C03384"/>
    <w:rsid w:val="00C03BF1"/>
    <w:rsid w:val="00C04057"/>
    <w:rsid w:val="00C0408A"/>
    <w:rsid w:val="00C043FB"/>
    <w:rsid w:val="00C04450"/>
    <w:rsid w:val="00C04611"/>
    <w:rsid w:val="00C048A4"/>
    <w:rsid w:val="00C048F7"/>
    <w:rsid w:val="00C04AC2"/>
    <w:rsid w:val="00C057AF"/>
    <w:rsid w:val="00C05AD2"/>
    <w:rsid w:val="00C05EA0"/>
    <w:rsid w:val="00C05FBF"/>
    <w:rsid w:val="00C06C3E"/>
    <w:rsid w:val="00C07881"/>
    <w:rsid w:val="00C07DC0"/>
    <w:rsid w:val="00C07DE0"/>
    <w:rsid w:val="00C07E5E"/>
    <w:rsid w:val="00C103B1"/>
    <w:rsid w:val="00C103CC"/>
    <w:rsid w:val="00C10656"/>
    <w:rsid w:val="00C10EFB"/>
    <w:rsid w:val="00C110FC"/>
    <w:rsid w:val="00C11484"/>
    <w:rsid w:val="00C11575"/>
    <w:rsid w:val="00C11791"/>
    <w:rsid w:val="00C11BFF"/>
    <w:rsid w:val="00C11F9D"/>
    <w:rsid w:val="00C14CD0"/>
    <w:rsid w:val="00C14FBB"/>
    <w:rsid w:val="00C152FC"/>
    <w:rsid w:val="00C15696"/>
    <w:rsid w:val="00C15961"/>
    <w:rsid w:val="00C15DA1"/>
    <w:rsid w:val="00C160CB"/>
    <w:rsid w:val="00C163A3"/>
    <w:rsid w:val="00C166ED"/>
    <w:rsid w:val="00C16D97"/>
    <w:rsid w:val="00C1757C"/>
    <w:rsid w:val="00C1789E"/>
    <w:rsid w:val="00C20146"/>
    <w:rsid w:val="00C218A4"/>
    <w:rsid w:val="00C218BF"/>
    <w:rsid w:val="00C21B8E"/>
    <w:rsid w:val="00C21EDB"/>
    <w:rsid w:val="00C222A1"/>
    <w:rsid w:val="00C2232C"/>
    <w:rsid w:val="00C2235A"/>
    <w:rsid w:val="00C227E0"/>
    <w:rsid w:val="00C2283C"/>
    <w:rsid w:val="00C229E0"/>
    <w:rsid w:val="00C22BB8"/>
    <w:rsid w:val="00C22BE3"/>
    <w:rsid w:val="00C22DFD"/>
    <w:rsid w:val="00C22EDE"/>
    <w:rsid w:val="00C23209"/>
    <w:rsid w:val="00C23268"/>
    <w:rsid w:val="00C23520"/>
    <w:rsid w:val="00C23BDE"/>
    <w:rsid w:val="00C23C10"/>
    <w:rsid w:val="00C23EC2"/>
    <w:rsid w:val="00C23F25"/>
    <w:rsid w:val="00C241DF"/>
    <w:rsid w:val="00C24C8D"/>
    <w:rsid w:val="00C24F12"/>
    <w:rsid w:val="00C24F29"/>
    <w:rsid w:val="00C257CA"/>
    <w:rsid w:val="00C258FE"/>
    <w:rsid w:val="00C25947"/>
    <w:rsid w:val="00C25D94"/>
    <w:rsid w:val="00C2680F"/>
    <w:rsid w:val="00C27492"/>
    <w:rsid w:val="00C27B88"/>
    <w:rsid w:val="00C27F1E"/>
    <w:rsid w:val="00C30497"/>
    <w:rsid w:val="00C30CB0"/>
    <w:rsid w:val="00C30DB4"/>
    <w:rsid w:val="00C30F69"/>
    <w:rsid w:val="00C31934"/>
    <w:rsid w:val="00C31F3F"/>
    <w:rsid w:val="00C3239C"/>
    <w:rsid w:val="00C32957"/>
    <w:rsid w:val="00C32A9A"/>
    <w:rsid w:val="00C32F37"/>
    <w:rsid w:val="00C33057"/>
    <w:rsid w:val="00C33EAA"/>
    <w:rsid w:val="00C34006"/>
    <w:rsid w:val="00C34FB7"/>
    <w:rsid w:val="00C351AD"/>
    <w:rsid w:val="00C3571D"/>
    <w:rsid w:val="00C35902"/>
    <w:rsid w:val="00C35E3E"/>
    <w:rsid w:val="00C36B4C"/>
    <w:rsid w:val="00C36B9A"/>
    <w:rsid w:val="00C37727"/>
    <w:rsid w:val="00C40061"/>
    <w:rsid w:val="00C404DB"/>
    <w:rsid w:val="00C40DFD"/>
    <w:rsid w:val="00C4154D"/>
    <w:rsid w:val="00C41567"/>
    <w:rsid w:val="00C41614"/>
    <w:rsid w:val="00C419FD"/>
    <w:rsid w:val="00C41A32"/>
    <w:rsid w:val="00C41B01"/>
    <w:rsid w:val="00C41F38"/>
    <w:rsid w:val="00C42361"/>
    <w:rsid w:val="00C4252A"/>
    <w:rsid w:val="00C426B1"/>
    <w:rsid w:val="00C428EB"/>
    <w:rsid w:val="00C42A02"/>
    <w:rsid w:val="00C431C2"/>
    <w:rsid w:val="00C4342F"/>
    <w:rsid w:val="00C434BB"/>
    <w:rsid w:val="00C4377B"/>
    <w:rsid w:val="00C43B82"/>
    <w:rsid w:val="00C44393"/>
    <w:rsid w:val="00C446A5"/>
    <w:rsid w:val="00C44F31"/>
    <w:rsid w:val="00C450BA"/>
    <w:rsid w:val="00C453D6"/>
    <w:rsid w:val="00C455B1"/>
    <w:rsid w:val="00C463A6"/>
    <w:rsid w:val="00C4694E"/>
    <w:rsid w:val="00C46A8D"/>
    <w:rsid w:val="00C476F5"/>
    <w:rsid w:val="00C47CC3"/>
    <w:rsid w:val="00C503AC"/>
    <w:rsid w:val="00C50571"/>
    <w:rsid w:val="00C50761"/>
    <w:rsid w:val="00C5089F"/>
    <w:rsid w:val="00C50D65"/>
    <w:rsid w:val="00C50F5A"/>
    <w:rsid w:val="00C514EE"/>
    <w:rsid w:val="00C522B4"/>
    <w:rsid w:val="00C52602"/>
    <w:rsid w:val="00C527CF"/>
    <w:rsid w:val="00C532CD"/>
    <w:rsid w:val="00C53674"/>
    <w:rsid w:val="00C53D1C"/>
    <w:rsid w:val="00C543E5"/>
    <w:rsid w:val="00C54B0A"/>
    <w:rsid w:val="00C559B5"/>
    <w:rsid w:val="00C55FFB"/>
    <w:rsid w:val="00C560DC"/>
    <w:rsid w:val="00C57571"/>
    <w:rsid w:val="00C577D4"/>
    <w:rsid w:val="00C57906"/>
    <w:rsid w:val="00C60098"/>
    <w:rsid w:val="00C60106"/>
    <w:rsid w:val="00C602CC"/>
    <w:rsid w:val="00C60558"/>
    <w:rsid w:val="00C613D1"/>
    <w:rsid w:val="00C61A0F"/>
    <w:rsid w:val="00C61D09"/>
    <w:rsid w:val="00C621D4"/>
    <w:rsid w:val="00C6268B"/>
    <w:rsid w:val="00C62B5A"/>
    <w:rsid w:val="00C63DFC"/>
    <w:rsid w:val="00C63ECB"/>
    <w:rsid w:val="00C64266"/>
    <w:rsid w:val="00C64E0D"/>
    <w:rsid w:val="00C6502F"/>
    <w:rsid w:val="00C65556"/>
    <w:rsid w:val="00C65999"/>
    <w:rsid w:val="00C65A01"/>
    <w:rsid w:val="00C65ADF"/>
    <w:rsid w:val="00C65B38"/>
    <w:rsid w:val="00C66160"/>
    <w:rsid w:val="00C66184"/>
    <w:rsid w:val="00C661D4"/>
    <w:rsid w:val="00C676B3"/>
    <w:rsid w:val="00C67742"/>
    <w:rsid w:val="00C67BBD"/>
    <w:rsid w:val="00C67C86"/>
    <w:rsid w:val="00C702D8"/>
    <w:rsid w:val="00C70546"/>
    <w:rsid w:val="00C709DC"/>
    <w:rsid w:val="00C70F96"/>
    <w:rsid w:val="00C71F92"/>
    <w:rsid w:val="00C721AC"/>
    <w:rsid w:val="00C724A3"/>
    <w:rsid w:val="00C727A3"/>
    <w:rsid w:val="00C72B4C"/>
    <w:rsid w:val="00C731B0"/>
    <w:rsid w:val="00C731E2"/>
    <w:rsid w:val="00C735A7"/>
    <w:rsid w:val="00C737A6"/>
    <w:rsid w:val="00C73BEC"/>
    <w:rsid w:val="00C73D87"/>
    <w:rsid w:val="00C74758"/>
    <w:rsid w:val="00C74863"/>
    <w:rsid w:val="00C7489D"/>
    <w:rsid w:val="00C74D73"/>
    <w:rsid w:val="00C7554B"/>
    <w:rsid w:val="00C75A46"/>
    <w:rsid w:val="00C75D2F"/>
    <w:rsid w:val="00C76203"/>
    <w:rsid w:val="00C766C3"/>
    <w:rsid w:val="00C768FD"/>
    <w:rsid w:val="00C76F5D"/>
    <w:rsid w:val="00C7721F"/>
    <w:rsid w:val="00C7725F"/>
    <w:rsid w:val="00C777B1"/>
    <w:rsid w:val="00C77F13"/>
    <w:rsid w:val="00C80AA4"/>
    <w:rsid w:val="00C8124F"/>
    <w:rsid w:val="00C8136C"/>
    <w:rsid w:val="00C81696"/>
    <w:rsid w:val="00C81C0D"/>
    <w:rsid w:val="00C82749"/>
    <w:rsid w:val="00C82E46"/>
    <w:rsid w:val="00C83049"/>
    <w:rsid w:val="00C831BE"/>
    <w:rsid w:val="00C833E1"/>
    <w:rsid w:val="00C8394F"/>
    <w:rsid w:val="00C8473D"/>
    <w:rsid w:val="00C84D68"/>
    <w:rsid w:val="00C8504A"/>
    <w:rsid w:val="00C85430"/>
    <w:rsid w:val="00C86302"/>
    <w:rsid w:val="00C8631E"/>
    <w:rsid w:val="00C867D0"/>
    <w:rsid w:val="00C86854"/>
    <w:rsid w:val="00C86C4B"/>
    <w:rsid w:val="00C86EC5"/>
    <w:rsid w:val="00C87743"/>
    <w:rsid w:val="00C878FA"/>
    <w:rsid w:val="00C9023E"/>
    <w:rsid w:val="00C90B7B"/>
    <w:rsid w:val="00C90D6A"/>
    <w:rsid w:val="00C91050"/>
    <w:rsid w:val="00C910ED"/>
    <w:rsid w:val="00C915ED"/>
    <w:rsid w:val="00C91600"/>
    <w:rsid w:val="00C91A53"/>
    <w:rsid w:val="00C91CBB"/>
    <w:rsid w:val="00C91F5B"/>
    <w:rsid w:val="00C92339"/>
    <w:rsid w:val="00C92886"/>
    <w:rsid w:val="00C92B9C"/>
    <w:rsid w:val="00C93873"/>
    <w:rsid w:val="00C9531E"/>
    <w:rsid w:val="00C9536B"/>
    <w:rsid w:val="00C95574"/>
    <w:rsid w:val="00C95D8F"/>
    <w:rsid w:val="00C96199"/>
    <w:rsid w:val="00C96844"/>
    <w:rsid w:val="00C9708B"/>
    <w:rsid w:val="00C9758C"/>
    <w:rsid w:val="00C97D65"/>
    <w:rsid w:val="00CA0804"/>
    <w:rsid w:val="00CA0986"/>
    <w:rsid w:val="00CA0B06"/>
    <w:rsid w:val="00CA0DC5"/>
    <w:rsid w:val="00CA131F"/>
    <w:rsid w:val="00CA17F4"/>
    <w:rsid w:val="00CA1A6B"/>
    <w:rsid w:val="00CA1F84"/>
    <w:rsid w:val="00CA247E"/>
    <w:rsid w:val="00CA28CE"/>
    <w:rsid w:val="00CA295B"/>
    <w:rsid w:val="00CA2CDB"/>
    <w:rsid w:val="00CA2E9A"/>
    <w:rsid w:val="00CA42AA"/>
    <w:rsid w:val="00CA42F3"/>
    <w:rsid w:val="00CA49A8"/>
    <w:rsid w:val="00CA49DB"/>
    <w:rsid w:val="00CA4D13"/>
    <w:rsid w:val="00CA501D"/>
    <w:rsid w:val="00CA5098"/>
    <w:rsid w:val="00CA51C1"/>
    <w:rsid w:val="00CA5BA8"/>
    <w:rsid w:val="00CA6380"/>
    <w:rsid w:val="00CA6509"/>
    <w:rsid w:val="00CA6A33"/>
    <w:rsid w:val="00CA6D21"/>
    <w:rsid w:val="00CA7482"/>
    <w:rsid w:val="00CB0E31"/>
    <w:rsid w:val="00CB0EAE"/>
    <w:rsid w:val="00CB1473"/>
    <w:rsid w:val="00CB14BC"/>
    <w:rsid w:val="00CB17D2"/>
    <w:rsid w:val="00CB1E6F"/>
    <w:rsid w:val="00CB22D0"/>
    <w:rsid w:val="00CB2461"/>
    <w:rsid w:val="00CB274B"/>
    <w:rsid w:val="00CB2DCD"/>
    <w:rsid w:val="00CB2FC8"/>
    <w:rsid w:val="00CB3483"/>
    <w:rsid w:val="00CB35BD"/>
    <w:rsid w:val="00CB368D"/>
    <w:rsid w:val="00CB37E2"/>
    <w:rsid w:val="00CB3E05"/>
    <w:rsid w:val="00CB3E42"/>
    <w:rsid w:val="00CB444B"/>
    <w:rsid w:val="00CB4B3B"/>
    <w:rsid w:val="00CB4B4E"/>
    <w:rsid w:val="00CB4C91"/>
    <w:rsid w:val="00CB4F73"/>
    <w:rsid w:val="00CB5AB5"/>
    <w:rsid w:val="00CB5C0B"/>
    <w:rsid w:val="00CB5F30"/>
    <w:rsid w:val="00CB608D"/>
    <w:rsid w:val="00CB64CF"/>
    <w:rsid w:val="00CB6DED"/>
    <w:rsid w:val="00CB700F"/>
    <w:rsid w:val="00CB7366"/>
    <w:rsid w:val="00CB746A"/>
    <w:rsid w:val="00CB77E1"/>
    <w:rsid w:val="00CB7831"/>
    <w:rsid w:val="00CB7AB2"/>
    <w:rsid w:val="00CB7E4D"/>
    <w:rsid w:val="00CB7F24"/>
    <w:rsid w:val="00CC02D3"/>
    <w:rsid w:val="00CC0D94"/>
    <w:rsid w:val="00CC11DA"/>
    <w:rsid w:val="00CC1646"/>
    <w:rsid w:val="00CC17C1"/>
    <w:rsid w:val="00CC1D3C"/>
    <w:rsid w:val="00CC221B"/>
    <w:rsid w:val="00CC2334"/>
    <w:rsid w:val="00CC2DDF"/>
    <w:rsid w:val="00CC33D4"/>
    <w:rsid w:val="00CC3506"/>
    <w:rsid w:val="00CC3DE1"/>
    <w:rsid w:val="00CC44D2"/>
    <w:rsid w:val="00CC45F3"/>
    <w:rsid w:val="00CC5471"/>
    <w:rsid w:val="00CC5672"/>
    <w:rsid w:val="00CC5BDD"/>
    <w:rsid w:val="00CC5D1C"/>
    <w:rsid w:val="00CC5D96"/>
    <w:rsid w:val="00CC6447"/>
    <w:rsid w:val="00CC6B84"/>
    <w:rsid w:val="00CC6BC4"/>
    <w:rsid w:val="00CC6F1A"/>
    <w:rsid w:val="00CC72B6"/>
    <w:rsid w:val="00CC78B6"/>
    <w:rsid w:val="00CC7902"/>
    <w:rsid w:val="00CC7F12"/>
    <w:rsid w:val="00CD018A"/>
    <w:rsid w:val="00CD01A8"/>
    <w:rsid w:val="00CD02A7"/>
    <w:rsid w:val="00CD04CC"/>
    <w:rsid w:val="00CD067C"/>
    <w:rsid w:val="00CD0A11"/>
    <w:rsid w:val="00CD144A"/>
    <w:rsid w:val="00CD1455"/>
    <w:rsid w:val="00CD19D7"/>
    <w:rsid w:val="00CD23E5"/>
    <w:rsid w:val="00CD2819"/>
    <w:rsid w:val="00CD30A6"/>
    <w:rsid w:val="00CD339B"/>
    <w:rsid w:val="00CD34A2"/>
    <w:rsid w:val="00CD3DD6"/>
    <w:rsid w:val="00CD44E3"/>
    <w:rsid w:val="00CD4646"/>
    <w:rsid w:val="00CD579C"/>
    <w:rsid w:val="00CD5F0A"/>
    <w:rsid w:val="00CD6443"/>
    <w:rsid w:val="00CD64D9"/>
    <w:rsid w:val="00CD6D9C"/>
    <w:rsid w:val="00CD7924"/>
    <w:rsid w:val="00CD7EB4"/>
    <w:rsid w:val="00CD7EF8"/>
    <w:rsid w:val="00CE02AB"/>
    <w:rsid w:val="00CE0356"/>
    <w:rsid w:val="00CE03C5"/>
    <w:rsid w:val="00CE0481"/>
    <w:rsid w:val="00CE0515"/>
    <w:rsid w:val="00CE060A"/>
    <w:rsid w:val="00CE0CB3"/>
    <w:rsid w:val="00CE0DED"/>
    <w:rsid w:val="00CE1720"/>
    <w:rsid w:val="00CE2A14"/>
    <w:rsid w:val="00CE306D"/>
    <w:rsid w:val="00CE32D3"/>
    <w:rsid w:val="00CE37D7"/>
    <w:rsid w:val="00CE3E38"/>
    <w:rsid w:val="00CE4DA5"/>
    <w:rsid w:val="00CE4DF2"/>
    <w:rsid w:val="00CE4E2F"/>
    <w:rsid w:val="00CE4F33"/>
    <w:rsid w:val="00CE591B"/>
    <w:rsid w:val="00CE5B2E"/>
    <w:rsid w:val="00CE611F"/>
    <w:rsid w:val="00CE63E4"/>
    <w:rsid w:val="00CE648D"/>
    <w:rsid w:val="00CE6F59"/>
    <w:rsid w:val="00CE786F"/>
    <w:rsid w:val="00CE78CD"/>
    <w:rsid w:val="00CF013C"/>
    <w:rsid w:val="00CF01B5"/>
    <w:rsid w:val="00CF0245"/>
    <w:rsid w:val="00CF062A"/>
    <w:rsid w:val="00CF1917"/>
    <w:rsid w:val="00CF1F21"/>
    <w:rsid w:val="00CF2DC5"/>
    <w:rsid w:val="00CF2F3B"/>
    <w:rsid w:val="00CF31FD"/>
    <w:rsid w:val="00CF35C5"/>
    <w:rsid w:val="00CF3FDB"/>
    <w:rsid w:val="00CF41A8"/>
    <w:rsid w:val="00CF4765"/>
    <w:rsid w:val="00CF4D9B"/>
    <w:rsid w:val="00CF5131"/>
    <w:rsid w:val="00CF51D7"/>
    <w:rsid w:val="00CF55FF"/>
    <w:rsid w:val="00CF5967"/>
    <w:rsid w:val="00CF5C63"/>
    <w:rsid w:val="00CF6133"/>
    <w:rsid w:val="00CF614F"/>
    <w:rsid w:val="00CF6486"/>
    <w:rsid w:val="00CF6D15"/>
    <w:rsid w:val="00CF71DC"/>
    <w:rsid w:val="00CF774F"/>
    <w:rsid w:val="00CF7987"/>
    <w:rsid w:val="00CF7FEC"/>
    <w:rsid w:val="00D00390"/>
    <w:rsid w:val="00D004EC"/>
    <w:rsid w:val="00D0083E"/>
    <w:rsid w:val="00D00CD3"/>
    <w:rsid w:val="00D0107B"/>
    <w:rsid w:val="00D01964"/>
    <w:rsid w:val="00D0218D"/>
    <w:rsid w:val="00D021C5"/>
    <w:rsid w:val="00D036EB"/>
    <w:rsid w:val="00D03FC3"/>
    <w:rsid w:val="00D043F2"/>
    <w:rsid w:val="00D04AEE"/>
    <w:rsid w:val="00D04D20"/>
    <w:rsid w:val="00D04D74"/>
    <w:rsid w:val="00D04E84"/>
    <w:rsid w:val="00D0541D"/>
    <w:rsid w:val="00D05870"/>
    <w:rsid w:val="00D05969"/>
    <w:rsid w:val="00D05A7C"/>
    <w:rsid w:val="00D05B3C"/>
    <w:rsid w:val="00D06059"/>
    <w:rsid w:val="00D062ED"/>
    <w:rsid w:val="00D06E97"/>
    <w:rsid w:val="00D07085"/>
    <w:rsid w:val="00D0799F"/>
    <w:rsid w:val="00D07B77"/>
    <w:rsid w:val="00D07C7F"/>
    <w:rsid w:val="00D07C94"/>
    <w:rsid w:val="00D07DEC"/>
    <w:rsid w:val="00D10250"/>
    <w:rsid w:val="00D10410"/>
    <w:rsid w:val="00D1116C"/>
    <w:rsid w:val="00D11206"/>
    <w:rsid w:val="00D113F7"/>
    <w:rsid w:val="00D11722"/>
    <w:rsid w:val="00D11C4C"/>
    <w:rsid w:val="00D122C4"/>
    <w:rsid w:val="00D12738"/>
    <w:rsid w:val="00D13857"/>
    <w:rsid w:val="00D13918"/>
    <w:rsid w:val="00D13ACB"/>
    <w:rsid w:val="00D13E4C"/>
    <w:rsid w:val="00D1435C"/>
    <w:rsid w:val="00D148A0"/>
    <w:rsid w:val="00D15575"/>
    <w:rsid w:val="00D15799"/>
    <w:rsid w:val="00D15873"/>
    <w:rsid w:val="00D160FE"/>
    <w:rsid w:val="00D164E9"/>
    <w:rsid w:val="00D16807"/>
    <w:rsid w:val="00D16E13"/>
    <w:rsid w:val="00D17190"/>
    <w:rsid w:val="00D17ECB"/>
    <w:rsid w:val="00D17FCB"/>
    <w:rsid w:val="00D20E88"/>
    <w:rsid w:val="00D20F67"/>
    <w:rsid w:val="00D2101B"/>
    <w:rsid w:val="00D21B57"/>
    <w:rsid w:val="00D22273"/>
    <w:rsid w:val="00D22675"/>
    <w:rsid w:val="00D2326F"/>
    <w:rsid w:val="00D23846"/>
    <w:rsid w:val="00D240AD"/>
    <w:rsid w:val="00D24540"/>
    <w:rsid w:val="00D24559"/>
    <w:rsid w:val="00D248EA"/>
    <w:rsid w:val="00D25030"/>
    <w:rsid w:val="00D25406"/>
    <w:rsid w:val="00D25C4D"/>
    <w:rsid w:val="00D25EE2"/>
    <w:rsid w:val="00D25FB5"/>
    <w:rsid w:val="00D26A86"/>
    <w:rsid w:val="00D26AD2"/>
    <w:rsid w:val="00D26E23"/>
    <w:rsid w:val="00D26EC0"/>
    <w:rsid w:val="00D278CE"/>
    <w:rsid w:val="00D279AD"/>
    <w:rsid w:val="00D27B16"/>
    <w:rsid w:val="00D3010F"/>
    <w:rsid w:val="00D309F6"/>
    <w:rsid w:val="00D30D77"/>
    <w:rsid w:val="00D319CE"/>
    <w:rsid w:val="00D31CE5"/>
    <w:rsid w:val="00D32B81"/>
    <w:rsid w:val="00D32D5C"/>
    <w:rsid w:val="00D33721"/>
    <w:rsid w:val="00D33CEF"/>
    <w:rsid w:val="00D346CB"/>
    <w:rsid w:val="00D3521F"/>
    <w:rsid w:val="00D355AE"/>
    <w:rsid w:val="00D35909"/>
    <w:rsid w:val="00D3625C"/>
    <w:rsid w:val="00D365A7"/>
    <w:rsid w:val="00D3689E"/>
    <w:rsid w:val="00D368CB"/>
    <w:rsid w:val="00D36AC3"/>
    <w:rsid w:val="00D36B47"/>
    <w:rsid w:val="00D3718F"/>
    <w:rsid w:val="00D37A66"/>
    <w:rsid w:val="00D37ABB"/>
    <w:rsid w:val="00D37C62"/>
    <w:rsid w:val="00D37F86"/>
    <w:rsid w:val="00D4026C"/>
    <w:rsid w:val="00D40A28"/>
    <w:rsid w:val="00D40BD5"/>
    <w:rsid w:val="00D40D6B"/>
    <w:rsid w:val="00D40E81"/>
    <w:rsid w:val="00D40F58"/>
    <w:rsid w:val="00D4194E"/>
    <w:rsid w:val="00D41C8A"/>
    <w:rsid w:val="00D422EC"/>
    <w:rsid w:val="00D42529"/>
    <w:rsid w:val="00D42923"/>
    <w:rsid w:val="00D42C14"/>
    <w:rsid w:val="00D42EA7"/>
    <w:rsid w:val="00D42F3C"/>
    <w:rsid w:val="00D434B0"/>
    <w:rsid w:val="00D44223"/>
    <w:rsid w:val="00D44292"/>
    <w:rsid w:val="00D4447B"/>
    <w:rsid w:val="00D44803"/>
    <w:rsid w:val="00D4497A"/>
    <w:rsid w:val="00D44DAE"/>
    <w:rsid w:val="00D457D6"/>
    <w:rsid w:val="00D45D3F"/>
    <w:rsid w:val="00D4677C"/>
    <w:rsid w:val="00D46827"/>
    <w:rsid w:val="00D46AC5"/>
    <w:rsid w:val="00D4760C"/>
    <w:rsid w:val="00D47795"/>
    <w:rsid w:val="00D50237"/>
    <w:rsid w:val="00D50A84"/>
    <w:rsid w:val="00D512AE"/>
    <w:rsid w:val="00D516EF"/>
    <w:rsid w:val="00D51B28"/>
    <w:rsid w:val="00D51B53"/>
    <w:rsid w:val="00D51FB4"/>
    <w:rsid w:val="00D5200F"/>
    <w:rsid w:val="00D525FE"/>
    <w:rsid w:val="00D5317B"/>
    <w:rsid w:val="00D5363E"/>
    <w:rsid w:val="00D538BE"/>
    <w:rsid w:val="00D543E7"/>
    <w:rsid w:val="00D54D8F"/>
    <w:rsid w:val="00D54E71"/>
    <w:rsid w:val="00D54ECC"/>
    <w:rsid w:val="00D550E3"/>
    <w:rsid w:val="00D55655"/>
    <w:rsid w:val="00D55739"/>
    <w:rsid w:val="00D5575D"/>
    <w:rsid w:val="00D558A5"/>
    <w:rsid w:val="00D55FE5"/>
    <w:rsid w:val="00D5646A"/>
    <w:rsid w:val="00D5663D"/>
    <w:rsid w:val="00D56A3F"/>
    <w:rsid w:val="00D57190"/>
    <w:rsid w:val="00D6049C"/>
    <w:rsid w:val="00D604A9"/>
    <w:rsid w:val="00D60835"/>
    <w:rsid w:val="00D6087B"/>
    <w:rsid w:val="00D6091C"/>
    <w:rsid w:val="00D60BC6"/>
    <w:rsid w:val="00D6101F"/>
    <w:rsid w:val="00D619C4"/>
    <w:rsid w:val="00D61A42"/>
    <w:rsid w:val="00D61CB6"/>
    <w:rsid w:val="00D61EF8"/>
    <w:rsid w:val="00D62100"/>
    <w:rsid w:val="00D6220B"/>
    <w:rsid w:val="00D62396"/>
    <w:rsid w:val="00D62B53"/>
    <w:rsid w:val="00D62F3B"/>
    <w:rsid w:val="00D631B6"/>
    <w:rsid w:val="00D6349F"/>
    <w:rsid w:val="00D638B7"/>
    <w:rsid w:val="00D63CFA"/>
    <w:rsid w:val="00D64B48"/>
    <w:rsid w:val="00D6549E"/>
    <w:rsid w:val="00D65C08"/>
    <w:rsid w:val="00D65F1D"/>
    <w:rsid w:val="00D6622C"/>
    <w:rsid w:val="00D66728"/>
    <w:rsid w:val="00D66873"/>
    <w:rsid w:val="00D675D8"/>
    <w:rsid w:val="00D675FB"/>
    <w:rsid w:val="00D678A8"/>
    <w:rsid w:val="00D67B96"/>
    <w:rsid w:val="00D67D5A"/>
    <w:rsid w:val="00D67ED8"/>
    <w:rsid w:val="00D709A6"/>
    <w:rsid w:val="00D70A1B"/>
    <w:rsid w:val="00D71801"/>
    <w:rsid w:val="00D7321D"/>
    <w:rsid w:val="00D732F6"/>
    <w:rsid w:val="00D73583"/>
    <w:rsid w:val="00D73AC4"/>
    <w:rsid w:val="00D747D4"/>
    <w:rsid w:val="00D74DEC"/>
    <w:rsid w:val="00D75517"/>
    <w:rsid w:val="00D75AD8"/>
    <w:rsid w:val="00D75D32"/>
    <w:rsid w:val="00D76021"/>
    <w:rsid w:val="00D76FD7"/>
    <w:rsid w:val="00D77268"/>
    <w:rsid w:val="00D77432"/>
    <w:rsid w:val="00D77C0D"/>
    <w:rsid w:val="00D77EC3"/>
    <w:rsid w:val="00D80246"/>
    <w:rsid w:val="00D80332"/>
    <w:rsid w:val="00D8035A"/>
    <w:rsid w:val="00D809BC"/>
    <w:rsid w:val="00D80D39"/>
    <w:rsid w:val="00D80D68"/>
    <w:rsid w:val="00D81361"/>
    <w:rsid w:val="00D8144D"/>
    <w:rsid w:val="00D8152A"/>
    <w:rsid w:val="00D815BA"/>
    <w:rsid w:val="00D81D46"/>
    <w:rsid w:val="00D824A2"/>
    <w:rsid w:val="00D83329"/>
    <w:rsid w:val="00D83F49"/>
    <w:rsid w:val="00D852EE"/>
    <w:rsid w:val="00D8540E"/>
    <w:rsid w:val="00D86073"/>
    <w:rsid w:val="00D860DC"/>
    <w:rsid w:val="00D86135"/>
    <w:rsid w:val="00D87329"/>
    <w:rsid w:val="00D87A4E"/>
    <w:rsid w:val="00D87D26"/>
    <w:rsid w:val="00D87F65"/>
    <w:rsid w:val="00D90EDA"/>
    <w:rsid w:val="00D9148B"/>
    <w:rsid w:val="00D91601"/>
    <w:rsid w:val="00D91ABA"/>
    <w:rsid w:val="00D92177"/>
    <w:rsid w:val="00D921F7"/>
    <w:rsid w:val="00D924BE"/>
    <w:rsid w:val="00D925E1"/>
    <w:rsid w:val="00D928E5"/>
    <w:rsid w:val="00D93095"/>
    <w:rsid w:val="00D93A6A"/>
    <w:rsid w:val="00D93BBC"/>
    <w:rsid w:val="00D9405C"/>
    <w:rsid w:val="00D94212"/>
    <w:rsid w:val="00D94706"/>
    <w:rsid w:val="00D95DCB"/>
    <w:rsid w:val="00D9651A"/>
    <w:rsid w:val="00D9704C"/>
    <w:rsid w:val="00D9742F"/>
    <w:rsid w:val="00D9754A"/>
    <w:rsid w:val="00D976A2"/>
    <w:rsid w:val="00D97897"/>
    <w:rsid w:val="00DA087E"/>
    <w:rsid w:val="00DA1022"/>
    <w:rsid w:val="00DA10C9"/>
    <w:rsid w:val="00DA1384"/>
    <w:rsid w:val="00DA13FE"/>
    <w:rsid w:val="00DA1648"/>
    <w:rsid w:val="00DA1B88"/>
    <w:rsid w:val="00DA1E9A"/>
    <w:rsid w:val="00DA2529"/>
    <w:rsid w:val="00DA29EA"/>
    <w:rsid w:val="00DA2DC0"/>
    <w:rsid w:val="00DA2DEB"/>
    <w:rsid w:val="00DA326D"/>
    <w:rsid w:val="00DA32B3"/>
    <w:rsid w:val="00DA351B"/>
    <w:rsid w:val="00DA4681"/>
    <w:rsid w:val="00DA4BEB"/>
    <w:rsid w:val="00DA4C4A"/>
    <w:rsid w:val="00DA58D4"/>
    <w:rsid w:val="00DA63ED"/>
    <w:rsid w:val="00DA65B9"/>
    <w:rsid w:val="00DA668D"/>
    <w:rsid w:val="00DA66EC"/>
    <w:rsid w:val="00DA680D"/>
    <w:rsid w:val="00DA7B42"/>
    <w:rsid w:val="00DA7F72"/>
    <w:rsid w:val="00DB0C18"/>
    <w:rsid w:val="00DB0F08"/>
    <w:rsid w:val="00DB130A"/>
    <w:rsid w:val="00DB133C"/>
    <w:rsid w:val="00DB286A"/>
    <w:rsid w:val="00DB2998"/>
    <w:rsid w:val="00DB2A21"/>
    <w:rsid w:val="00DB2EBB"/>
    <w:rsid w:val="00DB2EFF"/>
    <w:rsid w:val="00DB3716"/>
    <w:rsid w:val="00DB389E"/>
    <w:rsid w:val="00DB3AFF"/>
    <w:rsid w:val="00DB4203"/>
    <w:rsid w:val="00DB467D"/>
    <w:rsid w:val="00DB488C"/>
    <w:rsid w:val="00DB4C34"/>
    <w:rsid w:val="00DB4C7B"/>
    <w:rsid w:val="00DB526E"/>
    <w:rsid w:val="00DB5A94"/>
    <w:rsid w:val="00DB5EF8"/>
    <w:rsid w:val="00DB6262"/>
    <w:rsid w:val="00DB62E1"/>
    <w:rsid w:val="00DB69F4"/>
    <w:rsid w:val="00DB6B2F"/>
    <w:rsid w:val="00DB7161"/>
    <w:rsid w:val="00DB79D1"/>
    <w:rsid w:val="00DC10A1"/>
    <w:rsid w:val="00DC2108"/>
    <w:rsid w:val="00DC21A9"/>
    <w:rsid w:val="00DC21AC"/>
    <w:rsid w:val="00DC249E"/>
    <w:rsid w:val="00DC2A20"/>
    <w:rsid w:val="00DC3510"/>
    <w:rsid w:val="00DC357B"/>
    <w:rsid w:val="00DC3987"/>
    <w:rsid w:val="00DC436D"/>
    <w:rsid w:val="00DC456C"/>
    <w:rsid w:val="00DC48A1"/>
    <w:rsid w:val="00DC596F"/>
    <w:rsid w:val="00DC5BF7"/>
    <w:rsid w:val="00DC6054"/>
    <w:rsid w:val="00DC6099"/>
    <w:rsid w:val="00DC655F"/>
    <w:rsid w:val="00DC6922"/>
    <w:rsid w:val="00DC69C8"/>
    <w:rsid w:val="00DC6C34"/>
    <w:rsid w:val="00DC77A9"/>
    <w:rsid w:val="00DD02B4"/>
    <w:rsid w:val="00DD04E8"/>
    <w:rsid w:val="00DD0B59"/>
    <w:rsid w:val="00DD0B6D"/>
    <w:rsid w:val="00DD14DC"/>
    <w:rsid w:val="00DD157B"/>
    <w:rsid w:val="00DD18AE"/>
    <w:rsid w:val="00DD1B76"/>
    <w:rsid w:val="00DD1FE0"/>
    <w:rsid w:val="00DD2142"/>
    <w:rsid w:val="00DD25D4"/>
    <w:rsid w:val="00DD2A17"/>
    <w:rsid w:val="00DD2A2E"/>
    <w:rsid w:val="00DD2AD0"/>
    <w:rsid w:val="00DD2B54"/>
    <w:rsid w:val="00DD34BF"/>
    <w:rsid w:val="00DD35DB"/>
    <w:rsid w:val="00DD36E3"/>
    <w:rsid w:val="00DD3C68"/>
    <w:rsid w:val="00DD45E6"/>
    <w:rsid w:val="00DD4CF6"/>
    <w:rsid w:val="00DD56F7"/>
    <w:rsid w:val="00DD65AF"/>
    <w:rsid w:val="00DD71C2"/>
    <w:rsid w:val="00DD7303"/>
    <w:rsid w:val="00DD757C"/>
    <w:rsid w:val="00DD78A1"/>
    <w:rsid w:val="00DD7EBD"/>
    <w:rsid w:val="00DE07DE"/>
    <w:rsid w:val="00DE1AD2"/>
    <w:rsid w:val="00DE225C"/>
    <w:rsid w:val="00DE22CC"/>
    <w:rsid w:val="00DE25BD"/>
    <w:rsid w:val="00DE2AA1"/>
    <w:rsid w:val="00DE3014"/>
    <w:rsid w:val="00DE33B5"/>
    <w:rsid w:val="00DE3572"/>
    <w:rsid w:val="00DE3594"/>
    <w:rsid w:val="00DE3643"/>
    <w:rsid w:val="00DE4128"/>
    <w:rsid w:val="00DE4220"/>
    <w:rsid w:val="00DE4B6C"/>
    <w:rsid w:val="00DE4E08"/>
    <w:rsid w:val="00DE4EEF"/>
    <w:rsid w:val="00DE4F59"/>
    <w:rsid w:val="00DE5020"/>
    <w:rsid w:val="00DE537E"/>
    <w:rsid w:val="00DE548D"/>
    <w:rsid w:val="00DE5652"/>
    <w:rsid w:val="00DE5813"/>
    <w:rsid w:val="00DE5BB9"/>
    <w:rsid w:val="00DE5BCC"/>
    <w:rsid w:val="00DE638B"/>
    <w:rsid w:val="00DE64D8"/>
    <w:rsid w:val="00DE681D"/>
    <w:rsid w:val="00DE6916"/>
    <w:rsid w:val="00DE6BED"/>
    <w:rsid w:val="00DE6D08"/>
    <w:rsid w:val="00DE7029"/>
    <w:rsid w:val="00DE7367"/>
    <w:rsid w:val="00DE74F7"/>
    <w:rsid w:val="00DE79FD"/>
    <w:rsid w:val="00DE7E30"/>
    <w:rsid w:val="00DF014E"/>
    <w:rsid w:val="00DF04FA"/>
    <w:rsid w:val="00DF0721"/>
    <w:rsid w:val="00DF0791"/>
    <w:rsid w:val="00DF0853"/>
    <w:rsid w:val="00DF09F5"/>
    <w:rsid w:val="00DF1A4E"/>
    <w:rsid w:val="00DF1C31"/>
    <w:rsid w:val="00DF1CEB"/>
    <w:rsid w:val="00DF240A"/>
    <w:rsid w:val="00DF2B8F"/>
    <w:rsid w:val="00DF30E4"/>
    <w:rsid w:val="00DF348B"/>
    <w:rsid w:val="00DF3958"/>
    <w:rsid w:val="00DF3FCC"/>
    <w:rsid w:val="00DF4498"/>
    <w:rsid w:val="00DF46A1"/>
    <w:rsid w:val="00DF5B65"/>
    <w:rsid w:val="00DF608B"/>
    <w:rsid w:val="00DF61AB"/>
    <w:rsid w:val="00DF62B6"/>
    <w:rsid w:val="00DF62C7"/>
    <w:rsid w:val="00DF7B31"/>
    <w:rsid w:val="00DF7BA2"/>
    <w:rsid w:val="00E0030E"/>
    <w:rsid w:val="00E0070A"/>
    <w:rsid w:val="00E00A1F"/>
    <w:rsid w:val="00E00DCF"/>
    <w:rsid w:val="00E011B2"/>
    <w:rsid w:val="00E01765"/>
    <w:rsid w:val="00E02017"/>
    <w:rsid w:val="00E026B1"/>
    <w:rsid w:val="00E02AA7"/>
    <w:rsid w:val="00E02D0E"/>
    <w:rsid w:val="00E03251"/>
    <w:rsid w:val="00E033AC"/>
    <w:rsid w:val="00E042A0"/>
    <w:rsid w:val="00E04759"/>
    <w:rsid w:val="00E049F6"/>
    <w:rsid w:val="00E05399"/>
    <w:rsid w:val="00E05B35"/>
    <w:rsid w:val="00E05BD0"/>
    <w:rsid w:val="00E05E96"/>
    <w:rsid w:val="00E06616"/>
    <w:rsid w:val="00E0662C"/>
    <w:rsid w:val="00E06BCE"/>
    <w:rsid w:val="00E0716C"/>
    <w:rsid w:val="00E07225"/>
    <w:rsid w:val="00E07671"/>
    <w:rsid w:val="00E0794D"/>
    <w:rsid w:val="00E1026D"/>
    <w:rsid w:val="00E104D7"/>
    <w:rsid w:val="00E10F91"/>
    <w:rsid w:val="00E11A49"/>
    <w:rsid w:val="00E12127"/>
    <w:rsid w:val="00E1220E"/>
    <w:rsid w:val="00E12A4E"/>
    <w:rsid w:val="00E12DC2"/>
    <w:rsid w:val="00E12F4A"/>
    <w:rsid w:val="00E12F70"/>
    <w:rsid w:val="00E13AAA"/>
    <w:rsid w:val="00E14A68"/>
    <w:rsid w:val="00E14ABE"/>
    <w:rsid w:val="00E14B07"/>
    <w:rsid w:val="00E14C7D"/>
    <w:rsid w:val="00E15D0A"/>
    <w:rsid w:val="00E166B6"/>
    <w:rsid w:val="00E166CF"/>
    <w:rsid w:val="00E1688C"/>
    <w:rsid w:val="00E16F0E"/>
    <w:rsid w:val="00E16FD4"/>
    <w:rsid w:val="00E17154"/>
    <w:rsid w:val="00E171FC"/>
    <w:rsid w:val="00E178C5"/>
    <w:rsid w:val="00E17B3F"/>
    <w:rsid w:val="00E17C61"/>
    <w:rsid w:val="00E17F54"/>
    <w:rsid w:val="00E20165"/>
    <w:rsid w:val="00E2026E"/>
    <w:rsid w:val="00E208DF"/>
    <w:rsid w:val="00E216F9"/>
    <w:rsid w:val="00E21FBE"/>
    <w:rsid w:val="00E222F6"/>
    <w:rsid w:val="00E225D2"/>
    <w:rsid w:val="00E227B6"/>
    <w:rsid w:val="00E228EC"/>
    <w:rsid w:val="00E228FE"/>
    <w:rsid w:val="00E22AE4"/>
    <w:rsid w:val="00E22E10"/>
    <w:rsid w:val="00E2321F"/>
    <w:rsid w:val="00E23C13"/>
    <w:rsid w:val="00E23D79"/>
    <w:rsid w:val="00E2456D"/>
    <w:rsid w:val="00E24C85"/>
    <w:rsid w:val="00E24D01"/>
    <w:rsid w:val="00E24EE8"/>
    <w:rsid w:val="00E24FFF"/>
    <w:rsid w:val="00E25C9E"/>
    <w:rsid w:val="00E25F7C"/>
    <w:rsid w:val="00E264F3"/>
    <w:rsid w:val="00E26728"/>
    <w:rsid w:val="00E26803"/>
    <w:rsid w:val="00E26AC5"/>
    <w:rsid w:val="00E26DF9"/>
    <w:rsid w:val="00E2732E"/>
    <w:rsid w:val="00E30304"/>
    <w:rsid w:val="00E31769"/>
    <w:rsid w:val="00E31A26"/>
    <w:rsid w:val="00E31CAF"/>
    <w:rsid w:val="00E32157"/>
    <w:rsid w:val="00E32430"/>
    <w:rsid w:val="00E3257A"/>
    <w:rsid w:val="00E331AC"/>
    <w:rsid w:val="00E33DF2"/>
    <w:rsid w:val="00E33FC0"/>
    <w:rsid w:val="00E341E9"/>
    <w:rsid w:val="00E341FA"/>
    <w:rsid w:val="00E34389"/>
    <w:rsid w:val="00E34486"/>
    <w:rsid w:val="00E3451F"/>
    <w:rsid w:val="00E3495D"/>
    <w:rsid w:val="00E34B4A"/>
    <w:rsid w:val="00E34C10"/>
    <w:rsid w:val="00E3515A"/>
    <w:rsid w:val="00E35712"/>
    <w:rsid w:val="00E35BA8"/>
    <w:rsid w:val="00E3663C"/>
    <w:rsid w:val="00E36854"/>
    <w:rsid w:val="00E36B16"/>
    <w:rsid w:val="00E36F37"/>
    <w:rsid w:val="00E3700D"/>
    <w:rsid w:val="00E372F0"/>
    <w:rsid w:val="00E377E0"/>
    <w:rsid w:val="00E37B0C"/>
    <w:rsid w:val="00E40BEE"/>
    <w:rsid w:val="00E4136A"/>
    <w:rsid w:val="00E41C3B"/>
    <w:rsid w:val="00E41F77"/>
    <w:rsid w:val="00E422F0"/>
    <w:rsid w:val="00E42C21"/>
    <w:rsid w:val="00E43260"/>
    <w:rsid w:val="00E43559"/>
    <w:rsid w:val="00E4387F"/>
    <w:rsid w:val="00E43A05"/>
    <w:rsid w:val="00E442CA"/>
    <w:rsid w:val="00E443B8"/>
    <w:rsid w:val="00E4499E"/>
    <w:rsid w:val="00E44ABC"/>
    <w:rsid w:val="00E4510E"/>
    <w:rsid w:val="00E451F8"/>
    <w:rsid w:val="00E454E4"/>
    <w:rsid w:val="00E45BC8"/>
    <w:rsid w:val="00E45D61"/>
    <w:rsid w:val="00E45FBB"/>
    <w:rsid w:val="00E460F2"/>
    <w:rsid w:val="00E461CA"/>
    <w:rsid w:val="00E46242"/>
    <w:rsid w:val="00E46260"/>
    <w:rsid w:val="00E462E3"/>
    <w:rsid w:val="00E4666E"/>
    <w:rsid w:val="00E466A8"/>
    <w:rsid w:val="00E47EF7"/>
    <w:rsid w:val="00E47FD2"/>
    <w:rsid w:val="00E50064"/>
    <w:rsid w:val="00E50C49"/>
    <w:rsid w:val="00E50E65"/>
    <w:rsid w:val="00E51260"/>
    <w:rsid w:val="00E513E9"/>
    <w:rsid w:val="00E518DD"/>
    <w:rsid w:val="00E52268"/>
    <w:rsid w:val="00E52DF9"/>
    <w:rsid w:val="00E530B7"/>
    <w:rsid w:val="00E53142"/>
    <w:rsid w:val="00E53186"/>
    <w:rsid w:val="00E531A4"/>
    <w:rsid w:val="00E53754"/>
    <w:rsid w:val="00E537AF"/>
    <w:rsid w:val="00E53B0B"/>
    <w:rsid w:val="00E53B4B"/>
    <w:rsid w:val="00E5409F"/>
    <w:rsid w:val="00E540C3"/>
    <w:rsid w:val="00E54979"/>
    <w:rsid w:val="00E54E63"/>
    <w:rsid w:val="00E5513A"/>
    <w:rsid w:val="00E5552E"/>
    <w:rsid w:val="00E556C2"/>
    <w:rsid w:val="00E556C7"/>
    <w:rsid w:val="00E560EF"/>
    <w:rsid w:val="00E56334"/>
    <w:rsid w:val="00E572DA"/>
    <w:rsid w:val="00E573A6"/>
    <w:rsid w:val="00E5758C"/>
    <w:rsid w:val="00E5771F"/>
    <w:rsid w:val="00E57814"/>
    <w:rsid w:val="00E6017A"/>
    <w:rsid w:val="00E602C4"/>
    <w:rsid w:val="00E6043A"/>
    <w:rsid w:val="00E6077A"/>
    <w:rsid w:val="00E60827"/>
    <w:rsid w:val="00E60A17"/>
    <w:rsid w:val="00E60A22"/>
    <w:rsid w:val="00E60CC7"/>
    <w:rsid w:val="00E6147B"/>
    <w:rsid w:val="00E61547"/>
    <w:rsid w:val="00E615C1"/>
    <w:rsid w:val="00E620AB"/>
    <w:rsid w:val="00E620C0"/>
    <w:rsid w:val="00E621E7"/>
    <w:rsid w:val="00E6292A"/>
    <w:rsid w:val="00E631DE"/>
    <w:rsid w:val="00E63221"/>
    <w:rsid w:val="00E6339A"/>
    <w:rsid w:val="00E6346F"/>
    <w:rsid w:val="00E634E7"/>
    <w:rsid w:val="00E637E0"/>
    <w:rsid w:val="00E639FA"/>
    <w:rsid w:val="00E645A7"/>
    <w:rsid w:val="00E64672"/>
    <w:rsid w:val="00E65EB3"/>
    <w:rsid w:val="00E660A3"/>
    <w:rsid w:val="00E66E66"/>
    <w:rsid w:val="00E67066"/>
    <w:rsid w:val="00E67762"/>
    <w:rsid w:val="00E705BC"/>
    <w:rsid w:val="00E70772"/>
    <w:rsid w:val="00E70C60"/>
    <w:rsid w:val="00E72278"/>
    <w:rsid w:val="00E72A1D"/>
    <w:rsid w:val="00E736B2"/>
    <w:rsid w:val="00E73A0D"/>
    <w:rsid w:val="00E73E75"/>
    <w:rsid w:val="00E74379"/>
    <w:rsid w:val="00E743CF"/>
    <w:rsid w:val="00E74497"/>
    <w:rsid w:val="00E74D6D"/>
    <w:rsid w:val="00E74F60"/>
    <w:rsid w:val="00E750B3"/>
    <w:rsid w:val="00E75908"/>
    <w:rsid w:val="00E7594E"/>
    <w:rsid w:val="00E75C7F"/>
    <w:rsid w:val="00E76077"/>
    <w:rsid w:val="00E7648E"/>
    <w:rsid w:val="00E766B6"/>
    <w:rsid w:val="00E7676F"/>
    <w:rsid w:val="00E76AF7"/>
    <w:rsid w:val="00E76B1E"/>
    <w:rsid w:val="00E76BE0"/>
    <w:rsid w:val="00E77C57"/>
    <w:rsid w:val="00E77C64"/>
    <w:rsid w:val="00E80804"/>
    <w:rsid w:val="00E80AA9"/>
    <w:rsid w:val="00E80AC7"/>
    <w:rsid w:val="00E80AF6"/>
    <w:rsid w:val="00E80BB8"/>
    <w:rsid w:val="00E80E53"/>
    <w:rsid w:val="00E811C0"/>
    <w:rsid w:val="00E81505"/>
    <w:rsid w:val="00E81839"/>
    <w:rsid w:val="00E81BA8"/>
    <w:rsid w:val="00E81CC2"/>
    <w:rsid w:val="00E81CC8"/>
    <w:rsid w:val="00E81EA9"/>
    <w:rsid w:val="00E829F9"/>
    <w:rsid w:val="00E82B39"/>
    <w:rsid w:val="00E833D4"/>
    <w:rsid w:val="00E83998"/>
    <w:rsid w:val="00E83FFA"/>
    <w:rsid w:val="00E84434"/>
    <w:rsid w:val="00E854A7"/>
    <w:rsid w:val="00E85603"/>
    <w:rsid w:val="00E856F7"/>
    <w:rsid w:val="00E85946"/>
    <w:rsid w:val="00E85DDC"/>
    <w:rsid w:val="00E8621E"/>
    <w:rsid w:val="00E864B2"/>
    <w:rsid w:val="00E8682F"/>
    <w:rsid w:val="00E8692F"/>
    <w:rsid w:val="00E8708C"/>
    <w:rsid w:val="00E873C9"/>
    <w:rsid w:val="00E90248"/>
    <w:rsid w:val="00E905A4"/>
    <w:rsid w:val="00E90AA6"/>
    <w:rsid w:val="00E916FD"/>
    <w:rsid w:val="00E91717"/>
    <w:rsid w:val="00E91B62"/>
    <w:rsid w:val="00E91D80"/>
    <w:rsid w:val="00E91F60"/>
    <w:rsid w:val="00E9221B"/>
    <w:rsid w:val="00E9270B"/>
    <w:rsid w:val="00E92F9B"/>
    <w:rsid w:val="00E9306A"/>
    <w:rsid w:val="00E93E2B"/>
    <w:rsid w:val="00E93EDB"/>
    <w:rsid w:val="00E93FDA"/>
    <w:rsid w:val="00E947CD"/>
    <w:rsid w:val="00E949D7"/>
    <w:rsid w:val="00E94D5B"/>
    <w:rsid w:val="00E94E1E"/>
    <w:rsid w:val="00E94E26"/>
    <w:rsid w:val="00E94E48"/>
    <w:rsid w:val="00E94F45"/>
    <w:rsid w:val="00E95111"/>
    <w:rsid w:val="00E9514B"/>
    <w:rsid w:val="00E9514F"/>
    <w:rsid w:val="00E95277"/>
    <w:rsid w:val="00E9565F"/>
    <w:rsid w:val="00E95F24"/>
    <w:rsid w:val="00E9614C"/>
    <w:rsid w:val="00E961B8"/>
    <w:rsid w:val="00E961E7"/>
    <w:rsid w:val="00E961EC"/>
    <w:rsid w:val="00E96B3B"/>
    <w:rsid w:val="00E96E51"/>
    <w:rsid w:val="00E97884"/>
    <w:rsid w:val="00E97B86"/>
    <w:rsid w:val="00EA01F1"/>
    <w:rsid w:val="00EA04FC"/>
    <w:rsid w:val="00EA08A3"/>
    <w:rsid w:val="00EA08EA"/>
    <w:rsid w:val="00EA0B0B"/>
    <w:rsid w:val="00EA0E3C"/>
    <w:rsid w:val="00EA1008"/>
    <w:rsid w:val="00EA102C"/>
    <w:rsid w:val="00EA127B"/>
    <w:rsid w:val="00EA1471"/>
    <w:rsid w:val="00EA18DF"/>
    <w:rsid w:val="00EA1D36"/>
    <w:rsid w:val="00EA1F66"/>
    <w:rsid w:val="00EA2ABC"/>
    <w:rsid w:val="00EA2DD8"/>
    <w:rsid w:val="00EA2E31"/>
    <w:rsid w:val="00EA3122"/>
    <w:rsid w:val="00EA3B24"/>
    <w:rsid w:val="00EA3C12"/>
    <w:rsid w:val="00EA3E43"/>
    <w:rsid w:val="00EA42DC"/>
    <w:rsid w:val="00EA4BA0"/>
    <w:rsid w:val="00EA51D4"/>
    <w:rsid w:val="00EA54D4"/>
    <w:rsid w:val="00EA59A3"/>
    <w:rsid w:val="00EA5BCA"/>
    <w:rsid w:val="00EA5D2C"/>
    <w:rsid w:val="00EA6321"/>
    <w:rsid w:val="00EA71F2"/>
    <w:rsid w:val="00EA7C84"/>
    <w:rsid w:val="00EA7CF0"/>
    <w:rsid w:val="00EB01C7"/>
    <w:rsid w:val="00EB0313"/>
    <w:rsid w:val="00EB079C"/>
    <w:rsid w:val="00EB0AEC"/>
    <w:rsid w:val="00EB0D6F"/>
    <w:rsid w:val="00EB0E3D"/>
    <w:rsid w:val="00EB0F44"/>
    <w:rsid w:val="00EB1611"/>
    <w:rsid w:val="00EB221D"/>
    <w:rsid w:val="00EB27B7"/>
    <w:rsid w:val="00EB2FD5"/>
    <w:rsid w:val="00EB33EC"/>
    <w:rsid w:val="00EB4CDA"/>
    <w:rsid w:val="00EB4FE5"/>
    <w:rsid w:val="00EB51C2"/>
    <w:rsid w:val="00EB6020"/>
    <w:rsid w:val="00EB62F9"/>
    <w:rsid w:val="00EB669C"/>
    <w:rsid w:val="00EB6720"/>
    <w:rsid w:val="00EB76F2"/>
    <w:rsid w:val="00EB77F6"/>
    <w:rsid w:val="00EB7E14"/>
    <w:rsid w:val="00EB7E8D"/>
    <w:rsid w:val="00EC0918"/>
    <w:rsid w:val="00EC17AC"/>
    <w:rsid w:val="00EC197B"/>
    <w:rsid w:val="00EC19E9"/>
    <w:rsid w:val="00EC1CB1"/>
    <w:rsid w:val="00EC1FC0"/>
    <w:rsid w:val="00EC2254"/>
    <w:rsid w:val="00EC2275"/>
    <w:rsid w:val="00EC3109"/>
    <w:rsid w:val="00EC338D"/>
    <w:rsid w:val="00EC33B3"/>
    <w:rsid w:val="00EC4AB7"/>
    <w:rsid w:val="00EC4DB1"/>
    <w:rsid w:val="00EC4E24"/>
    <w:rsid w:val="00EC51AD"/>
    <w:rsid w:val="00EC543E"/>
    <w:rsid w:val="00EC555B"/>
    <w:rsid w:val="00EC5C4B"/>
    <w:rsid w:val="00EC669A"/>
    <w:rsid w:val="00EC6D99"/>
    <w:rsid w:val="00EC7559"/>
    <w:rsid w:val="00EC75EF"/>
    <w:rsid w:val="00EC7E6B"/>
    <w:rsid w:val="00ED0636"/>
    <w:rsid w:val="00ED0A06"/>
    <w:rsid w:val="00ED1078"/>
    <w:rsid w:val="00ED15C0"/>
    <w:rsid w:val="00ED25AC"/>
    <w:rsid w:val="00ED2FC2"/>
    <w:rsid w:val="00ED388E"/>
    <w:rsid w:val="00ED39C0"/>
    <w:rsid w:val="00ED3C67"/>
    <w:rsid w:val="00ED446B"/>
    <w:rsid w:val="00ED46A8"/>
    <w:rsid w:val="00ED4802"/>
    <w:rsid w:val="00ED4DAB"/>
    <w:rsid w:val="00ED4E57"/>
    <w:rsid w:val="00ED4F9C"/>
    <w:rsid w:val="00ED5198"/>
    <w:rsid w:val="00ED53FB"/>
    <w:rsid w:val="00ED5B84"/>
    <w:rsid w:val="00ED5BE2"/>
    <w:rsid w:val="00ED63AD"/>
    <w:rsid w:val="00ED68AC"/>
    <w:rsid w:val="00ED6A99"/>
    <w:rsid w:val="00ED74CB"/>
    <w:rsid w:val="00EE0CCB"/>
    <w:rsid w:val="00EE1227"/>
    <w:rsid w:val="00EE12B3"/>
    <w:rsid w:val="00EE1330"/>
    <w:rsid w:val="00EE149F"/>
    <w:rsid w:val="00EE18FC"/>
    <w:rsid w:val="00EE1956"/>
    <w:rsid w:val="00EE1AB5"/>
    <w:rsid w:val="00EE1DC9"/>
    <w:rsid w:val="00EE240A"/>
    <w:rsid w:val="00EE241C"/>
    <w:rsid w:val="00EE271C"/>
    <w:rsid w:val="00EE2BC6"/>
    <w:rsid w:val="00EE2C6C"/>
    <w:rsid w:val="00EE2E25"/>
    <w:rsid w:val="00EE31E5"/>
    <w:rsid w:val="00EE356E"/>
    <w:rsid w:val="00EE36C4"/>
    <w:rsid w:val="00EE3AF9"/>
    <w:rsid w:val="00EE3F66"/>
    <w:rsid w:val="00EE4050"/>
    <w:rsid w:val="00EE4752"/>
    <w:rsid w:val="00EE4880"/>
    <w:rsid w:val="00EE5624"/>
    <w:rsid w:val="00EE6038"/>
    <w:rsid w:val="00EE62EB"/>
    <w:rsid w:val="00EE632C"/>
    <w:rsid w:val="00EE6488"/>
    <w:rsid w:val="00EE6977"/>
    <w:rsid w:val="00EE6F94"/>
    <w:rsid w:val="00EE72F9"/>
    <w:rsid w:val="00EE75C4"/>
    <w:rsid w:val="00EE761C"/>
    <w:rsid w:val="00EE7734"/>
    <w:rsid w:val="00EE79AE"/>
    <w:rsid w:val="00EF00B9"/>
    <w:rsid w:val="00EF0316"/>
    <w:rsid w:val="00EF04D4"/>
    <w:rsid w:val="00EF0543"/>
    <w:rsid w:val="00EF0733"/>
    <w:rsid w:val="00EF0792"/>
    <w:rsid w:val="00EF122C"/>
    <w:rsid w:val="00EF1625"/>
    <w:rsid w:val="00EF1698"/>
    <w:rsid w:val="00EF1CD1"/>
    <w:rsid w:val="00EF1D10"/>
    <w:rsid w:val="00EF2089"/>
    <w:rsid w:val="00EF2FEF"/>
    <w:rsid w:val="00EF3360"/>
    <w:rsid w:val="00EF38C6"/>
    <w:rsid w:val="00EF3B14"/>
    <w:rsid w:val="00EF3F51"/>
    <w:rsid w:val="00EF427D"/>
    <w:rsid w:val="00EF46A0"/>
    <w:rsid w:val="00EF4930"/>
    <w:rsid w:val="00EF4A31"/>
    <w:rsid w:val="00EF4BEB"/>
    <w:rsid w:val="00EF4D88"/>
    <w:rsid w:val="00EF4E9E"/>
    <w:rsid w:val="00EF53C5"/>
    <w:rsid w:val="00EF57EA"/>
    <w:rsid w:val="00EF5E43"/>
    <w:rsid w:val="00EF60BD"/>
    <w:rsid w:val="00EF616B"/>
    <w:rsid w:val="00EF6665"/>
    <w:rsid w:val="00EF6AA4"/>
    <w:rsid w:val="00EF70AD"/>
    <w:rsid w:val="00EF71F3"/>
    <w:rsid w:val="00EF7847"/>
    <w:rsid w:val="00EF7A07"/>
    <w:rsid w:val="00F0017C"/>
    <w:rsid w:val="00F00A29"/>
    <w:rsid w:val="00F00CDD"/>
    <w:rsid w:val="00F00D48"/>
    <w:rsid w:val="00F00DAA"/>
    <w:rsid w:val="00F00E50"/>
    <w:rsid w:val="00F015CB"/>
    <w:rsid w:val="00F021FA"/>
    <w:rsid w:val="00F022CA"/>
    <w:rsid w:val="00F0302B"/>
    <w:rsid w:val="00F032C9"/>
    <w:rsid w:val="00F03788"/>
    <w:rsid w:val="00F037C9"/>
    <w:rsid w:val="00F03807"/>
    <w:rsid w:val="00F03CF4"/>
    <w:rsid w:val="00F0439D"/>
    <w:rsid w:val="00F04854"/>
    <w:rsid w:val="00F04CDA"/>
    <w:rsid w:val="00F05166"/>
    <w:rsid w:val="00F052A5"/>
    <w:rsid w:val="00F053B3"/>
    <w:rsid w:val="00F054E4"/>
    <w:rsid w:val="00F0582A"/>
    <w:rsid w:val="00F05A7C"/>
    <w:rsid w:val="00F05B64"/>
    <w:rsid w:val="00F05FF4"/>
    <w:rsid w:val="00F07767"/>
    <w:rsid w:val="00F07AC9"/>
    <w:rsid w:val="00F10116"/>
    <w:rsid w:val="00F101E8"/>
    <w:rsid w:val="00F10406"/>
    <w:rsid w:val="00F10407"/>
    <w:rsid w:val="00F10837"/>
    <w:rsid w:val="00F11086"/>
    <w:rsid w:val="00F11E3A"/>
    <w:rsid w:val="00F1243F"/>
    <w:rsid w:val="00F125FD"/>
    <w:rsid w:val="00F12E82"/>
    <w:rsid w:val="00F12FA5"/>
    <w:rsid w:val="00F132DB"/>
    <w:rsid w:val="00F133DB"/>
    <w:rsid w:val="00F134D7"/>
    <w:rsid w:val="00F13673"/>
    <w:rsid w:val="00F13AAE"/>
    <w:rsid w:val="00F140AB"/>
    <w:rsid w:val="00F1448A"/>
    <w:rsid w:val="00F145A9"/>
    <w:rsid w:val="00F15169"/>
    <w:rsid w:val="00F15388"/>
    <w:rsid w:val="00F156C3"/>
    <w:rsid w:val="00F15CF2"/>
    <w:rsid w:val="00F15EC0"/>
    <w:rsid w:val="00F1657A"/>
    <w:rsid w:val="00F16A66"/>
    <w:rsid w:val="00F16CC7"/>
    <w:rsid w:val="00F17299"/>
    <w:rsid w:val="00F20261"/>
    <w:rsid w:val="00F2079D"/>
    <w:rsid w:val="00F20F38"/>
    <w:rsid w:val="00F21424"/>
    <w:rsid w:val="00F2188B"/>
    <w:rsid w:val="00F21F63"/>
    <w:rsid w:val="00F23595"/>
    <w:rsid w:val="00F2452A"/>
    <w:rsid w:val="00F2547C"/>
    <w:rsid w:val="00F25837"/>
    <w:rsid w:val="00F26AA5"/>
    <w:rsid w:val="00F2728F"/>
    <w:rsid w:val="00F27344"/>
    <w:rsid w:val="00F278EE"/>
    <w:rsid w:val="00F27CBA"/>
    <w:rsid w:val="00F27CF1"/>
    <w:rsid w:val="00F312F8"/>
    <w:rsid w:val="00F3158B"/>
    <w:rsid w:val="00F3174E"/>
    <w:rsid w:val="00F31B6A"/>
    <w:rsid w:val="00F31C58"/>
    <w:rsid w:val="00F323AB"/>
    <w:rsid w:val="00F3275B"/>
    <w:rsid w:val="00F3354D"/>
    <w:rsid w:val="00F33DA0"/>
    <w:rsid w:val="00F341B7"/>
    <w:rsid w:val="00F343A5"/>
    <w:rsid w:val="00F344C7"/>
    <w:rsid w:val="00F348BB"/>
    <w:rsid w:val="00F35119"/>
    <w:rsid w:val="00F35512"/>
    <w:rsid w:val="00F3582A"/>
    <w:rsid w:val="00F367D2"/>
    <w:rsid w:val="00F36D53"/>
    <w:rsid w:val="00F37700"/>
    <w:rsid w:val="00F3780C"/>
    <w:rsid w:val="00F37CBF"/>
    <w:rsid w:val="00F37E3B"/>
    <w:rsid w:val="00F37E85"/>
    <w:rsid w:val="00F400E0"/>
    <w:rsid w:val="00F40357"/>
    <w:rsid w:val="00F415F8"/>
    <w:rsid w:val="00F41998"/>
    <w:rsid w:val="00F4220F"/>
    <w:rsid w:val="00F424CD"/>
    <w:rsid w:val="00F425A3"/>
    <w:rsid w:val="00F431B7"/>
    <w:rsid w:val="00F431D0"/>
    <w:rsid w:val="00F433B8"/>
    <w:rsid w:val="00F436E9"/>
    <w:rsid w:val="00F442BB"/>
    <w:rsid w:val="00F442F9"/>
    <w:rsid w:val="00F44318"/>
    <w:rsid w:val="00F44356"/>
    <w:rsid w:val="00F44AFA"/>
    <w:rsid w:val="00F44D36"/>
    <w:rsid w:val="00F45008"/>
    <w:rsid w:val="00F452D8"/>
    <w:rsid w:val="00F45442"/>
    <w:rsid w:val="00F46703"/>
    <w:rsid w:val="00F47374"/>
    <w:rsid w:val="00F505BC"/>
    <w:rsid w:val="00F50D30"/>
    <w:rsid w:val="00F512F6"/>
    <w:rsid w:val="00F51342"/>
    <w:rsid w:val="00F513D3"/>
    <w:rsid w:val="00F5166C"/>
    <w:rsid w:val="00F52E81"/>
    <w:rsid w:val="00F52F10"/>
    <w:rsid w:val="00F52FB4"/>
    <w:rsid w:val="00F53808"/>
    <w:rsid w:val="00F53978"/>
    <w:rsid w:val="00F53B62"/>
    <w:rsid w:val="00F5481C"/>
    <w:rsid w:val="00F5492A"/>
    <w:rsid w:val="00F54A40"/>
    <w:rsid w:val="00F54A41"/>
    <w:rsid w:val="00F5578F"/>
    <w:rsid w:val="00F55844"/>
    <w:rsid w:val="00F55F78"/>
    <w:rsid w:val="00F55FE2"/>
    <w:rsid w:val="00F560FE"/>
    <w:rsid w:val="00F562EB"/>
    <w:rsid w:val="00F562FD"/>
    <w:rsid w:val="00F56609"/>
    <w:rsid w:val="00F5668D"/>
    <w:rsid w:val="00F57A8B"/>
    <w:rsid w:val="00F60547"/>
    <w:rsid w:val="00F6076D"/>
    <w:rsid w:val="00F609E7"/>
    <w:rsid w:val="00F60B63"/>
    <w:rsid w:val="00F60F00"/>
    <w:rsid w:val="00F610A0"/>
    <w:rsid w:val="00F613D7"/>
    <w:rsid w:val="00F61CC6"/>
    <w:rsid w:val="00F61E48"/>
    <w:rsid w:val="00F62357"/>
    <w:rsid w:val="00F62E97"/>
    <w:rsid w:val="00F64209"/>
    <w:rsid w:val="00F64681"/>
    <w:rsid w:val="00F65316"/>
    <w:rsid w:val="00F6565D"/>
    <w:rsid w:val="00F65662"/>
    <w:rsid w:val="00F66009"/>
    <w:rsid w:val="00F6617C"/>
    <w:rsid w:val="00F665E9"/>
    <w:rsid w:val="00F66A0E"/>
    <w:rsid w:val="00F67048"/>
    <w:rsid w:val="00F67CA1"/>
    <w:rsid w:val="00F67F08"/>
    <w:rsid w:val="00F70197"/>
    <w:rsid w:val="00F70535"/>
    <w:rsid w:val="00F70ED5"/>
    <w:rsid w:val="00F70F86"/>
    <w:rsid w:val="00F71175"/>
    <w:rsid w:val="00F713FD"/>
    <w:rsid w:val="00F71500"/>
    <w:rsid w:val="00F7280B"/>
    <w:rsid w:val="00F732D4"/>
    <w:rsid w:val="00F73337"/>
    <w:rsid w:val="00F73997"/>
    <w:rsid w:val="00F73C6B"/>
    <w:rsid w:val="00F74459"/>
    <w:rsid w:val="00F7487C"/>
    <w:rsid w:val="00F7497A"/>
    <w:rsid w:val="00F75454"/>
    <w:rsid w:val="00F7566A"/>
    <w:rsid w:val="00F759C6"/>
    <w:rsid w:val="00F75A25"/>
    <w:rsid w:val="00F75AAE"/>
    <w:rsid w:val="00F75E74"/>
    <w:rsid w:val="00F761F0"/>
    <w:rsid w:val="00F76744"/>
    <w:rsid w:val="00F76BD7"/>
    <w:rsid w:val="00F76D28"/>
    <w:rsid w:val="00F776FC"/>
    <w:rsid w:val="00F7792D"/>
    <w:rsid w:val="00F77A57"/>
    <w:rsid w:val="00F77BF7"/>
    <w:rsid w:val="00F77E64"/>
    <w:rsid w:val="00F81234"/>
    <w:rsid w:val="00F814F9"/>
    <w:rsid w:val="00F8187E"/>
    <w:rsid w:val="00F81BC8"/>
    <w:rsid w:val="00F820D5"/>
    <w:rsid w:val="00F825D5"/>
    <w:rsid w:val="00F827ED"/>
    <w:rsid w:val="00F82B27"/>
    <w:rsid w:val="00F82BAA"/>
    <w:rsid w:val="00F82DE8"/>
    <w:rsid w:val="00F82E62"/>
    <w:rsid w:val="00F83FB5"/>
    <w:rsid w:val="00F84068"/>
    <w:rsid w:val="00F846DB"/>
    <w:rsid w:val="00F84CAA"/>
    <w:rsid w:val="00F85992"/>
    <w:rsid w:val="00F86A32"/>
    <w:rsid w:val="00F8777D"/>
    <w:rsid w:val="00F87EB0"/>
    <w:rsid w:val="00F90520"/>
    <w:rsid w:val="00F9055B"/>
    <w:rsid w:val="00F907C5"/>
    <w:rsid w:val="00F90C05"/>
    <w:rsid w:val="00F91302"/>
    <w:rsid w:val="00F925C3"/>
    <w:rsid w:val="00F92826"/>
    <w:rsid w:val="00F9366D"/>
    <w:rsid w:val="00F9367B"/>
    <w:rsid w:val="00F939F5"/>
    <w:rsid w:val="00F93BF5"/>
    <w:rsid w:val="00F93CB0"/>
    <w:rsid w:val="00F94086"/>
    <w:rsid w:val="00F9440A"/>
    <w:rsid w:val="00F94A9F"/>
    <w:rsid w:val="00F9525B"/>
    <w:rsid w:val="00F95A0D"/>
    <w:rsid w:val="00F95F0F"/>
    <w:rsid w:val="00F965E2"/>
    <w:rsid w:val="00F96D7B"/>
    <w:rsid w:val="00F970AE"/>
    <w:rsid w:val="00F9729D"/>
    <w:rsid w:val="00F97826"/>
    <w:rsid w:val="00F97B07"/>
    <w:rsid w:val="00F97CBE"/>
    <w:rsid w:val="00F97E86"/>
    <w:rsid w:val="00FA04B0"/>
    <w:rsid w:val="00FA07FC"/>
    <w:rsid w:val="00FA09C2"/>
    <w:rsid w:val="00FA1216"/>
    <w:rsid w:val="00FA15A5"/>
    <w:rsid w:val="00FA16CB"/>
    <w:rsid w:val="00FA1843"/>
    <w:rsid w:val="00FA25D9"/>
    <w:rsid w:val="00FA30DC"/>
    <w:rsid w:val="00FA334D"/>
    <w:rsid w:val="00FA33BB"/>
    <w:rsid w:val="00FA3437"/>
    <w:rsid w:val="00FA3802"/>
    <w:rsid w:val="00FA38A2"/>
    <w:rsid w:val="00FA4384"/>
    <w:rsid w:val="00FA4BA8"/>
    <w:rsid w:val="00FA5198"/>
    <w:rsid w:val="00FA56F9"/>
    <w:rsid w:val="00FA582D"/>
    <w:rsid w:val="00FA59A8"/>
    <w:rsid w:val="00FA63B2"/>
    <w:rsid w:val="00FA686B"/>
    <w:rsid w:val="00FA71B8"/>
    <w:rsid w:val="00FA7704"/>
    <w:rsid w:val="00FA7714"/>
    <w:rsid w:val="00FA7C15"/>
    <w:rsid w:val="00FA7DA8"/>
    <w:rsid w:val="00FB010F"/>
    <w:rsid w:val="00FB01E2"/>
    <w:rsid w:val="00FB06A7"/>
    <w:rsid w:val="00FB089C"/>
    <w:rsid w:val="00FB0C48"/>
    <w:rsid w:val="00FB1492"/>
    <w:rsid w:val="00FB17E2"/>
    <w:rsid w:val="00FB1A89"/>
    <w:rsid w:val="00FB1B13"/>
    <w:rsid w:val="00FB21B3"/>
    <w:rsid w:val="00FB2574"/>
    <w:rsid w:val="00FB329F"/>
    <w:rsid w:val="00FB3C12"/>
    <w:rsid w:val="00FB3CF6"/>
    <w:rsid w:val="00FB4331"/>
    <w:rsid w:val="00FB4B5F"/>
    <w:rsid w:val="00FB4FE8"/>
    <w:rsid w:val="00FB50DD"/>
    <w:rsid w:val="00FB517E"/>
    <w:rsid w:val="00FB53DB"/>
    <w:rsid w:val="00FB54DC"/>
    <w:rsid w:val="00FB5DF6"/>
    <w:rsid w:val="00FB6405"/>
    <w:rsid w:val="00FB6769"/>
    <w:rsid w:val="00FB6BA7"/>
    <w:rsid w:val="00FB6E35"/>
    <w:rsid w:val="00FB7706"/>
    <w:rsid w:val="00FB7815"/>
    <w:rsid w:val="00FB7F8B"/>
    <w:rsid w:val="00FC00A1"/>
    <w:rsid w:val="00FC0366"/>
    <w:rsid w:val="00FC03B8"/>
    <w:rsid w:val="00FC05F9"/>
    <w:rsid w:val="00FC1D2C"/>
    <w:rsid w:val="00FC27C7"/>
    <w:rsid w:val="00FC2E90"/>
    <w:rsid w:val="00FC3202"/>
    <w:rsid w:val="00FC4183"/>
    <w:rsid w:val="00FC4E64"/>
    <w:rsid w:val="00FC578C"/>
    <w:rsid w:val="00FC61D0"/>
    <w:rsid w:val="00FC650F"/>
    <w:rsid w:val="00FC6ABD"/>
    <w:rsid w:val="00FC6FF2"/>
    <w:rsid w:val="00FC7F36"/>
    <w:rsid w:val="00FD05DE"/>
    <w:rsid w:val="00FD0C40"/>
    <w:rsid w:val="00FD10A7"/>
    <w:rsid w:val="00FD196E"/>
    <w:rsid w:val="00FD1B57"/>
    <w:rsid w:val="00FD1FFF"/>
    <w:rsid w:val="00FD20ED"/>
    <w:rsid w:val="00FD267C"/>
    <w:rsid w:val="00FD2C1E"/>
    <w:rsid w:val="00FD34A0"/>
    <w:rsid w:val="00FD39A8"/>
    <w:rsid w:val="00FD42DE"/>
    <w:rsid w:val="00FD439B"/>
    <w:rsid w:val="00FD4673"/>
    <w:rsid w:val="00FD4B84"/>
    <w:rsid w:val="00FD5B9D"/>
    <w:rsid w:val="00FD61C0"/>
    <w:rsid w:val="00FD63F3"/>
    <w:rsid w:val="00FD6A03"/>
    <w:rsid w:val="00FD6D35"/>
    <w:rsid w:val="00FD6F00"/>
    <w:rsid w:val="00FD7228"/>
    <w:rsid w:val="00FD7793"/>
    <w:rsid w:val="00FD7AD7"/>
    <w:rsid w:val="00FD7B21"/>
    <w:rsid w:val="00FD7F00"/>
    <w:rsid w:val="00FE0182"/>
    <w:rsid w:val="00FE02C2"/>
    <w:rsid w:val="00FE06DC"/>
    <w:rsid w:val="00FE080E"/>
    <w:rsid w:val="00FE0AEC"/>
    <w:rsid w:val="00FE0C30"/>
    <w:rsid w:val="00FE1056"/>
    <w:rsid w:val="00FE1538"/>
    <w:rsid w:val="00FE2255"/>
    <w:rsid w:val="00FE3022"/>
    <w:rsid w:val="00FE3357"/>
    <w:rsid w:val="00FE35A4"/>
    <w:rsid w:val="00FE3849"/>
    <w:rsid w:val="00FE390D"/>
    <w:rsid w:val="00FE3A71"/>
    <w:rsid w:val="00FE3A8C"/>
    <w:rsid w:val="00FE3AE7"/>
    <w:rsid w:val="00FE3D20"/>
    <w:rsid w:val="00FE3EE4"/>
    <w:rsid w:val="00FE40BB"/>
    <w:rsid w:val="00FE467B"/>
    <w:rsid w:val="00FE479B"/>
    <w:rsid w:val="00FE47DF"/>
    <w:rsid w:val="00FE4880"/>
    <w:rsid w:val="00FE571F"/>
    <w:rsid w:val="00FE6386"/>
    <w:rsid w:val="00FE66C7"/>
    <w:rsid w:val="00FE688E"/>
    <w:rsid w:val="00FE693B"/>
    <w:rsid w:val="00FE6C02"/>
    <w:rsid w:val="00FE7BEA"/>
    <w:rsid w:val="00FF03D0"/>
    <w:rsid w:val="00FF0C17"/>
    <w:rsid w:val="00FF104F"/>
    <w:rsid w:val="00FF12E1"/>
    <w:rsid w:val="00FF1FF5"/>
    <w:rsid w:val="00FF22E5"/>
    <w:rsid w:val="00FF2670"/>
    <w:rsid w:val="00FF27E0"/>
    <w:rsid w:val="00FF2EEB"/>
    <w:rsid w:val="00FF34A2"/>
    <w:rsid w:val="00FF3551"/>
    <w:rsid w:val="00FF3770"/>
    <w:rsid w:val="00FF3807"/>
    <w:rsid w:val="00FF3977"/>
    <w:rsid w:val="00FF397A"/>
    <w:rsid w:val="00FF4235"/>
    <w:rsid w:val="00FF463B"/>
    <w:rsid w:val="00FF48E0"/>
    <w:rsid w:val="00FF4A8B"/>
    <w:rsid w:val="00FF5C6C"/>
    <w:rsid w:val="00FF5F20"/>
    <w:rsid w:val="00FF6792"/>
    <w:rsid w:val="00FF67DC"/>
    <w:rsid w:val="00FF72F5"/>
    <w:rsid w:val="00FF744C"/>
    <w:rsid w:val="00FF790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CD31B8-7283-4E62-A919-6FAA5A42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7034E"/>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690FCF"/>
    <w:rPr>
      <w:rFonts w:ascii="Segoe UI" w:hAnsi="Segoe UI" w:cs="Segoe UI"/>
      <w:sz w:val="18"/>
      <w:szCs w:val="18"/>
    </w:rPr>
  </w:style>
  <w:style w:type="character" w:customStyle="1" w:styleId="BalloonTextChar">
    <w:name w:val="Balloon Text Char"/>
    <w:link w:val="BalloonText"/>
    <w:rsid w:val="00690FCF"/>
    <w:rPr>
      <w:rFonts w:ascii="Segoe UI" w:hAnsi="Segoe UI" w:cs="Segoe UI"/>
      <w:snapToGrid w:val="0"/>
      <w:kern w:val="28"/>
      <w:sz w:val="18"/>
      <w:szCs w:val="18"/>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rsid w:val="00B71CE0"/>
  </w:style>
  <w:style w:type="character" w:customStyle="1" w:styleId="UnresolvedMention1">
    <w:name w:val="Unresolved Mention1"/>
    <w:uiPriority w:val="99"/>
    <w:semiHidden/>
    <w:unhideWhenUsed/>
    <w:rsid w:val="00DE4220"/>
    <w:rPr>
      <w:color w:val="605E5C"/>
      <w:shd w:val="clear" w:color="auto" w:fill="E1DFDD"/>
    </w:rPr>
  </w:style>
  <w:style w:type="character" w:styleId="CommentReference">
    <w:name w:val="annotation reference"/>
    <w:rsid w:val="00D9148B"/>
    <w:rPr>
      <w:sz w:val="16"/>
      <w:szCs w:val="16"/>
    </w:rPr>
  </w:style>
  <w:style w:type="paragraph" w:styleId="CommentText">
    <w:name w:val="annotation text"/>
    <w:basedOn w:val="Normal"/>
    <w:link w:val="CommentTextChar"/>
    <w:rsid w:val="00D9148B"/>
    <w:rPr>
      <w:sz w:val="20"/>
    </w:rPr>
  </w:style>
  <w:style w:type="character" w:customStyle="1" w:styleId="CommentTextChar">
    <w:name w:val="Comment Text Char"/>
    <w:link w:val="CommentText"/>
    <w:rsid w:val="00D9148B"/>
    <w:rPr>
      <w:snapToGrid w:val="0"/>
      <w:kern w:val="28"/>
    </w:rPr>
  </w:style>
  <w:style w:type="paragraph" w:styleId="CommentSubject">
    <w:name w:val="annotation subject"/>
    <w:basedOn w:val="CommentText"/>
    <w:next w:val="CommentText"/>
    <w:link w:val="CommentSubjectChar"/>
    <w:rsid w:val="00D9148B"/>
    <w:rPr>
      <w:b/>
      <w:bCs/>
    </w:rPr>
  </w:style>
  <w:style w:type="character" w:customStyle="1" w:styleId="CommentSubjectChar">
    <w:name w:val="Comment Subject Char"/>
    <w:link w:val="CommentSubject"/>
    <w:rsid w:val="00D9148B"/>
    <w:rPr>
      <w:b/>
      <w:bCs/>
      <w:snapToGrid w:val="0"/>
      <w:kern w:val="28"/>
    </w:rPr>
  </w:style>
  <w:style w:type="character" w:styleId="FollowedHyperlink">
    <w:name w:val="FollowedHyperlink"/>
    <w:rsid w:val="000A0B10"/>
    <w:rPr>
      <w:color w:val="954F72"/>
      <w:u w:val="single"/>
    </w:rPr>
  </w:style>
  <w:style w:type="character" w:customStyle="1" w:styleId="ParaNumChar">
    <w:name w:val="ParaNum Char"/>
    <w:link w:val="ParaNum"/>
    <w:locked/>
    <w:rsid w:val="000B0A5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22260921402/Viya%20USVI%20Locations%20PN%20PFR-c3.pdf" TargetMode="External" /><Relationship Id="rId2" Type="http://schemas.openxmlformats.org/officeDocument/2006/relationships/hyperlink" Target="https://www.fcc.gov/reports-research/data/staff-block-estimat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