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12E2F558" w14:textId="46981632">
      <w:pPr>
        <w:jc w:val="right"/>
        <w:rPr>
          <w:b/>
          <w:sz w:val="24"/>
        </w:rPr>
      </w:pPr>
      <w:r>
        <w:rPr>
          <w:b/>
          <w:sz w:val="24"/>
        </w:rPr>
        <w:t xml:space="preserve">DA </w:t>
      </w:r>
      <w:r w:rsidR="00817F22">
        <w:rPr>
          <w:b/>
          <w:sz w:val="24"/>
        </w:rPr>
        <w:t>20</w:t>
      </w:r>
      <w:r>
        <w:rPr>
          <w:b/>
          <w:sz w:val="24"/>
        </w:rPr>
        <w:t>-</w:t>
      </w:r>
      <w:r w:rsidR="00C96D75">
        <w:rPr>
          <w:b/>
          <w:sz w:val="24"/>
        </w:rPr>
        <w:t>83</w:t>
      </w:r>
      <w:r w:rsidR="00E8159E">
        <w:rPr>
          <w:b/>
          <w:sz w:val="24"/>
        </w:rPr>
        <w:t>9</w:t>
      </w:r>
    </w:p>
    <w:p w:rsidR="00013A8B" w:rsidRPr="00B20363" w:rsidP="00013A8B" w14:paraId="12E2F559" w14:textId="5B41C767">
      <w:pPr>
        <w:spacing w:before="60"/>
        <w:jc w:val="right"/>
        <w:rPr>
          <w:b/>
          <w:sz w:val="24"/>
        </w:rPr>
      </w:pPr>
      <w:r>
        <w:rPr>
          <w:b/>
          <w:sz w:val="24"/>
        </w:rPr>
        <w:t xml:space="preserve">Released:  </w:t>
      </w:r>
      <w:r w:rsidR="00B8223E">
        <w:rPr>
          <w:b/>
          <w:sz w:val="24"/>
        </w:rPr>
        <w:t xml:space="preserve">August </w:t>
      </w:r>
      <w:r w:rsidR="00C96D75">
        <w:rPr>
          <w:b/>
          <w:sz w:val="24"/>
        </w:rPr>
        <w:t>6</w:t>
      </w:r>
      <w:r w:rsidR="00C06D85">
        <w:rPr>
          <w:b/>
          <w:sz w:val="24"/>
        </w:rPr>
        <w:t>, 2020</w:t>
      </w:r>
    </w:p>
    <w:p w:rsidR="00013A8B" w:rsidP="00013A8B" w14:paraId="12E2F55A" w14:textId="77777777">
      <w:pPr>
        <w:jc w:val="right"/>
        <w:rPr>
          <w:sz w:val="24"/>
        </w:rPr>
      </w:pPr>
    </w:p>
    <w:p w:rsidR="005E3BC8" w:rsidRPr="00865B7A" w:rsidP="005E3BC8" w14:paraId="12E2F55B" w14:textId="05B9B19E">
      <w:pPr>
        <w:jc w:val="center"/>
        <w:rPr>
          <w:b/>
          <w:sz w:val="24"/>
          <w:szCs w:val="22"/>
        </w:rPr>
      </w:pPr>
      <w:bookmarkStart w:id="0" w:name="_Hlk27646492"/>
      <w:bookmarkStart w:id="1" w:name="TOChere"/>
      <w:r w:rsidRPr="00865B7A">
        <w:rPr>
          <w:b/>
          <w:sz w:val="24"/>
          <w:szCs w:val="22"/>
        </w:rPr>
        <w:t>WIRELINE COMPETITION BUREAU RELEASES</w:t>
      </w:r>
      <w:r w:rsidR="00452DE6">
        <w:rPr>
          <w:b/>
          <w:sz w:val="24"/>
          <w:szCs w:val="22"/>
        </w:rPr>
        <w:t xml:space="preserve"> UPDATED</w:t>
      </w:r>
      <w:r w:rsidRPr="00865B7A">
        <w:rPr>
          <w:b/>
          <w:sz w:val="24"/>
          <w:szCs w:val="22"/>
        </w:rPr>
        <w:t xml:space="preserve"> LIST OF RESERVE PRICES AND LOCATION COUNTS FOR THE </w:t>
      </w:r>
      <w:r w:rsidRPr="00865B7A">
        <w:rPr>
          <w:b/>
          <w:sz w:val="24"/>
          <w:szCs w:val="22"/>
        </w:rPr>
        <w:t>UNIENDO</w:t>
      </w:r>
      <w:r w:rsidRPr="00865B7A">
        <w:rPr>
          <w:b/>
          <w:sz w:val="24"/>
          <w:szCs w:val="22"/>
        </w:rPr>
        <w:t xml:space="preserve"> A PUERTO RICO FUND AND CONNECT USVI FUND STAGE 2 FIXED SUPPORT COMPETITIVE PROPOSAL PROCESS</w:t>
      </w:r>
    </w:p>
    <w:bookmarkEnd w:id="0"/>
    <w:p w:rsidR="005E3BC8" w:rsidRPr="00865B7A" w:rsidP="005E3BC8" w14:paraId="12E2F55C" w14:textId="77777777">
      <w:pPr>
        <w:jc w:val="center"/>
        <w:rPr>
          <w:b/>
          <w:sz w:val="24"/>
          <w:szCs w:val="22"/>
        </w:rPr>
      </w:pPr>
    </w:p>
    <w:p w:rsidR="005E3BC8" w:rsidRPr="00865B7A" w:rsidP="005E3BC8" w14:paraId="12E2F55D" w14:textId="77777777">
      <w:pPr>
        <w:jc w:val="center"/>
        <w:rPr>
          <w:b/>
          <w:sz w:val="24"/>
          <w:szCs w:val="22"/>
        </w:rPr>
      </w:pPr>
      <w:r w:rsidRPr="00865B7A">
        <w:rPr>
          <w:b/>
          <w:sz w:val="24"/>
          <w:szCs w:val="22"/>
        </w:rPr>
        <w:t>WC Docket Nos. 18-143, 10-90</w:t>
      </w:r>
    </w:p>
    <w:p w:rsidR="00F96F63" w:rsidRPr="00930ECF" w:rsidP="00F96F63" w14:paraId="12E2F55E" w14:textId="77777777">
      <w:pPr>
        <w:rPr>
          <w:sz w:val="24"/>
        </w:rPr>
      </w:pPr>
    </w:p>
    <w:bookmarkEnd w:id="1"/>
    <w:p w:rsidR="00A71930" w:rsidP="00A71930" w14:paraId="03F16B06" w14:textId="0C674CC6">
      <w:pPr>
        <w:spacing w:after="120"/>
        <w:ind w:firstLine="720"/>
        <w:rPr>
          <w:szCs w:val="22"/>
        </w:rPr>
      </w:pPr>
      <w:r>
        <w:rPr>
          <w:szCs w:val="22"/>
        </w:rPr>
        <w:t xml:space="preserve">Today, as directed by the Commission and concurrent with the </w:t>
      </w:r>
      <w:r w:rsidRPr="00491838">
        <w:rPr>
          <w:i/>
          <w:iCs/>
          <w:szCs w:val="22"/>
        </w:rPr>
        <w:t xml:space="preserve">Order on Reconsideration and Order </w:t>
      </w:r>
      <w:r>
        <w:rPr>
          <w:szCs w:val="22"/>
        </w:rPr>
        <w:t xml:space="preserve">released by the </w:t>
      </w:r>
      <w:r w:rsidRPr="000348A0">
        <w:rPr>
          <w:szCs w:val="22"/>
        </w:rPr>
        <w:t>Wireline Competition Bureau (Bureau)</w:t>
      </w:r>
      <w:r>
        <w:rPr>
          <w:szCs w:val="22"/>
        </w:rPr>
        <w:t xml:space="preserve">, we </w:t>
      </w:r>
      <w:bookmarkStart w:id="2" w:name="_Hlk47609417"/>
      <w:r w:rsidRPr="000348A0">
        <w:rPr>
          <w:szCs w:val="22"/>
        </w:rPr>
        <w:t xml:space="preserve">release </w:t>
      </w:r>
      <w:r>
        <w:rPr>
          <w:szCs w:val="22"/>
        </w:rPr>
        <w:t>an updated</w:t>
      </w:r>
      <w:r w:rsidRPr="000348A0">
        <w:rPr>
          <w:szCs w:val="22"/>
        </w:rPr>
        <w:t xml:space="preserve"> list of the </w:t>
      </w:r>
      <w:r>
        <w:rPr>
          <w:szCs w:val="22"/>
        </w:rPr>
        <w:t>eligible minimum geographic areas</w:t>
      </w:r>
      <w:r w:rsidRPr="000348A0">
        <w:rPr>
          <w:szCs w:val="22"/>
        </w:rPr>
        <w:t xml:space="preserve"> and associated </w:t>
      </w:r>
      <w:r>
        <w:rPr>
          <w:szCs w:val="22"/>
        </w:rPr>
        <w:t xml:space="preserve">annual </w:t>
      </w:r>
      <w:r w:rsidRPr="000348A0">
        <w:rPr>
          <w:szCs w:val="22"/>
        </w:rPr>
        <w:t>reserve prices</w:t>
      </w:r>
      <w:r>
        <w:rPr>
          <w:szCs w:val="22"/>
        </w:rPr>
        <w:t>, and location counts for Puerto Rico and the U.S. Virgin Islands for Stage 2 fixed support</w:t>
      </w:r>
      <w:bookmarkEnd w:id="2"/>
      <w:r w:rsidRPr="000348A0">
        <w:rPr>
          <w:szCs w:val="22"/>
        </w:rPr>
        <w:t>.</w:t>
      </w:r>
      <w:r>
        <w:rPr>
          <w:rStyle w:val="FootnoteReference"/>
          <w:szCs w:val="22"/>
        </w:rPr>
        <w:footnoteReference w:id="3"/>
      </w:r>
      <w:r w:rsidRPr="000348A0">
        <w:rPr>
          <w:szCs w:val="22"/>
        </w:rPr>
        <w:t xml:space="preserve">  The list can be found </w:t>
      </w:r>
      <w:r w:rsidRPr="00931AB4">
        <w:rPr>
          <w:szCs w:val="22"/>
        </w:rPr>
        <w:t>at</w:t>
      </w:r>
      <w:r>
        <w:t xml:space="preserve"> </w:t>
      </w:r>
      <w:hyperlink r:id="rId5" w:history="1">
        <w:r w:rsidRPr="00561C38" w:rsidR="00325A9F">
          <w:rPr>
            <w:rStyle w:val="Hyperlink"/>
          </w:rPr>
          <w:t>https://docs.fcc.gov/public/attachments/DA-20-839A2.xlsx</w:t>
        </w:r>
      </w:hyperlink>
      <w:bookmarkStart w:id="3" w:name="_GoBack"/>
      <w:bookmarkEnd w:id="3"/>
      <w:r w:rsidRPr="00931AB4">
        <w:rPr>
          <w:szCs w:val="22"/>
        </w:rPr>
        <w:t>.</w:t>
      </w:r>
      <w:r>
        <w:rPr>
          <w:szCs w:val="22"/>
        </w:rPr>
        <w:t xml:space="preserve">  We provide this updated list based on 2018 housing data for the Territories and to give applicants an opportunity to conduct due diligence in advance of preparing applications.</w:t>
      </w:r>
      <w:r>
        <w:rPr>
          <w:rStyle w:val="FootnoteReference"/>
          <w:szCs w:val="22"/>
        </w:rPr>
        <w:footnoteReference w:id="4"/>
      </w:r>
    </w:p>
    <w:p w:rsidR="005E3BC8" w:rsidP="005E3BC8" w14:paraId="12E2F55F" w14:textId="1D96C2E3">
      <w:pPr>
        <w:spacing w:after="120"/>
        <w:ind w:firstLine="720"/>
        <w:rPr>
          <w:szCs w:val="22"/>
        </w:rPr>
      </w:pPr>
      <w:r>
        <w:rPr>
          <w:szCs w:val="22"/>
        </w:rPr>
        <w:t xml:space="preserve">In the </w:t>
      </w:r>
      <w:r w:rsidRPr="00CB589A">
        <w:rPr>
          <w:i/>
          <w:szCs w:val="22"/>
        </w:rPr>
        <w:t>PR-USVI Stage</w:t>
      </w:r>
      <w:r>
        <w:rPr>
          <w:i/>
          <w:szCs w:val="22"/>
        </w:rPr>
        <w:t xml:space="preserve"> 2</w:t>
      </w:r>
      <w:r w:rsidRPr="00CB589A">
        <w:rPr>
          <w:i/>
          <w:szCs w:val="22"/>
        </w:rPr>
        <w:t xml:space="preserve"> Order</w:t>
      </w:r>
      <w:r>
        <w:rPr>
          <w:szCs w:val="22"/>
        </w:rPr>
        <w:t>, the Commission allocated budgets of $504.7 million in Stage 2 fixed support to the Commonwealth of Puerto Rico and $186.5 million in Stage 2 fixed support to the U.S. Virgin Islands over a 10-year period.</w:t>
      </w:r>
      <w:r>
        <w:rPr>
          <w:rStyle w:val="FootnoteReference"/>
          <w:szCs w:val="22"/>
        </w:rPr>
        <w:footnoteReference w:id="5"/>
      </w:r>
      <w:r>
        <w:rPr>
          <w:szCs w:val="22"/>
        </w:rPr>
        <w:t xml:space="preserve">  </w:t>
      </w:r>
    </w:p>
    <w:p w:rsidR="005E3BC8" w:rsidRPr="00726B44" w:rsidP="005E3BC8" w14:paraId="12E2F561" w14:textId="052954F2">
      <w:pPr>
        <w:widowControl/>
        <w:spacing w:after="120"/>
        <w:ind w:firstLine="720"/>
      </w:pPr>
      <w:r>
        <w:rPr>
          <w:szCs w:val="22"/>
        </w:rPr>
        <w:t xml:space="preserve">As directed by the Commission, </w:t>
      </w:r>
      <w:r w:rsidR="0086163D">
        <w:rPr>
          <w:szCs w:val="22"/>
        </w:rPr>
        <w:t>and consistent with</w:t>
      </w:r>
      <w:r w:rsidR="00DA6DD8">
        <w:rPr>
          <w:szCs w:val="22"/>
        </w:rPr>
        <w:t xml:space="preserve"> the </w:t>
      </w:r>
      <w:r w:rsidRPr="00394CDF" w:rsidR="00DA6DD8">
        <w:rPr>
          <w:i/>
          <w:iCs/>
          <w:szCs w:val="22"/>
        </w:rPr>
        <w:t>Order on Reconsideration</w:t>
      </w:r>
      <w:r w:rsidR="007211F3">
        <w:rPr>
          <w:szCs w:val="22"/>
        </w:rPr>
        <w:t xml:space="preserve">, </w:t>
      </w:r>
      <w:r>
        <w:rPr>
          <w:szCs w:val="22"/>
        </w:rPr>
        <w:t xml:space="preserve">the Bureau </w:t>
      </w:r>
      <w:r w:rsidR="00D20869">
        <w:rPr>
          <w:szCs w:val="22"/>
        </w:rPr>
        <w:t>re-</w:t>
      </w:r>
      <w:r>
        <w:rPr>
          <w:szCs w:val="22"/>
        </w:rPr>
        <w:t>calculate</w:t>
      </w:r>
      <w:r w:rsidR="00971701">
        <w:rPr>
          <w:szCs w:val="22"/>
        </w:rPr>
        <w:t>s</w:t>
      </w:r>
      <w:r>
        <w:rPr>
          <w:szCs w:val="22"/>
        </w:rPr>
        <w:t xml:space="preserve"> the reserve prices based on the three-step process explained in the </w:t>
      </w:r>
      <w:r w:rsidRPr="003228CF">
        <w:rPr>
          <w:i/>
          <w:szCs w:val="22"/>
        </w:rPr>
        <w:t>PR-USVI Stage 2 Order</w:t>
      </w:r>
      <w:r>
        <w:rPr>
          <w:szCs w:val="22"/>
        </w:rPr>
        <w:t>.</w:t>
      </w:r>
      <w:r>
        <w:rPr>
          <w:rStyle w:val="FootnoteReference"/>
          <w:szCs w:val="22"/>
        </w:rPr>
        <w:footnoteReference w:id="6"/>
      </w:r>
      <w:r>
        <w:rPr>
          <w:szCs w:val="22"/>
        </w:rPr>
        <w:t xml:space="preserve">  </w:t>
      </w:r>
      <w:r>
        <w:t>Specifically, f</w:t>
      </w:r>
      <w:r w:rsidRPr="0025577E">
        <w:t xml:space="preserve">irst, </w:t>
      </w:r>
      <w:r>
        <w:t>we employ</w:t>
      </w:r>
      <w:r w:rsidRPr="0025577E">
        <w:t xml:space="preserve"> the </w:t>
      </w:r>
      <w:r>
        <w:t xml:space="preserve">Connect America Model </w:t>
      </w:r>
      <w:r w:rsidRPr="0025577E">
        <w:t xml:space="preserve">to calculate the average cost per location </w:t>
      </w:r>
      <w:r>
        <w:t>for</w:t>
      </w:r>
      <w:r w:rsidRPr="0025577E">
        <w:t xml:space="preserve"> all locations in a census block.</w:t>
      </w:r>
      <w:r>
        <w:t xml:space="preserve">  Second, we apply the full budgets for Puerto Rico and for the U.S. Virgin Islands, creating territory-specific high-cost thresholds to ensure the full amount of the budget </w:t>
      </w:r>
      <w:r w:rsidR="00376791">
        <w:t xml:space="preserve">for </w:t>
      </w:r>
      <w:r>
        <w:t xml:space="preserve">each territory over the 10-year period is available for disbursement.  Accordingly, today we establish a high-cost threshold of </w:t>
      </w:r>
      <w:r w:rsidRPr="00F510BB">
        <w:t>$</w:t>
      </w:r>
      <w:r w:rsidR="00C50CE7">
        <w:t>28.58</w:t>
      </w:r>
      <w:r>
        <w:t xml:space="preserve"> per-location per</w:t>
      </w:r>
      <w:r w:rsidR="00376791">
        <w:t>-</w:t>
      </w:r>
      <w:r>
        <w:t xml:space="preserve">month for Puerto Rico and </w:t>
      </w:r>
      <w:r w:rsidRPr="00F510BB">
        <w:t>$</w:t>
      </w:r>
      <w:r w:rsidR="00C50CE7">
        <w:t>23.34</w:t>
      </w:r>
      <w:r>
        <w:t xml:space="preserve"> per-location per-month for the U.S. Virgin Islands.  Third, we </w:t>
      </w:r>
      <w:r w:rsidRPr="0025577E">
        <w:t xml:space="preserve">establish a reserve price for each </w:t>
      </w:r>
      <w:r>
        <w:t>geographic area</w:t>
      </w:r>
      <w:r w:rsidRPr="0025577E">
        <w:t xml:space="preserve"> </w:t>
      </w:r>
      <w:r>
        <w:t>in proportion to</w:t>
      </w:r>
      <w:r w:rsidRPr="0025577E">
        <w:t xml:space="preserve"> the</w:t>
      </w:r>
      <w:r>
        <w:t xml:space="preserve"> support</w:t>
      </w:r>
      <w:r w:rsidRPr="0025577E">
        <w:t xml:space="preserve"> amounts calculated for each census block </w:t>
      </w:r>
      <w:r>
        <w:t>with</w:t>
      </w:r>
      <w:r w:rsidRPr="0025577E">
        <w:t xml:space="preserve">in that </w:t>
      </w:r>
      <w:r>
        <w:t>area</w:t>
      </w:r>
      <w:r w:rsidRPr="6D69B3D8">
        <w:t>.</w:t>
      </w:r>
      <w:r>
        <w:t xml:space="preserve">  The location counts within each minimum geographic area have been revised based on the </w:t>
      </w:r>
      <w:r w:rsidRPr="00DC0AB0">
        <w:rPr>
          <w:color w:val="000000"/>
          <w:szCs w:val="22"/>
        </w:rPr>
        <w:t>most recent publicly available Census Bureau data for the Territories</w:t>
      </w:r>
      <w:r>
        <w:rPr>
          <w:color w:val="000000"/>
          <w:szCs w:val="22"/>
        </w:rPr>
        <w:t>.</w:t>
      </w:r>
      <w:r>
        <w:rPr>
          <w:rStyle w:val="FootnoteReference"/>
          <w:color w:val="000000"/>
          <w:szCs w:val="22"/>
        </w:rPr>
        <w:footnoteReference w:id="7"/>
      </w:r>
    </w:p>
    <w:p w:rsidR="005E3BC8" w:rsidP="00C96D75" w14:paraId="12E2F562" w14:textId="64D9677F">
      <w:pPr>
        <w:widowControl/>
        <w:spacing w:after="120"/>
        <w:rPr>
          <w:szCs w:val="22"/>
        </w:rPr>
      </w:pPr>
      <w:r>
        <w:rPr>
          <w:szCs w:val="22"/>
        </w:rPr>
        <w:tab/>
        <w:t>For additional information on this proceeding, contact Dangkhoa Nguyen (</w:t>
      </w:r>
      <w:hyperlink r:id="rId6" w:history="1">
        <w:r w:rsidRPr="001218F4">
          <w:rPr>
            <w:rStyle w:val="Hyperlink"/>
            <w:szCs w:val="22"/>
          </w:rPr>
          <w:t>Dangkhoa.Nguyen@fcc.gov</w:t>
        </w:r>
      </w:hyperlink>
      <w:r>
        <w:rPr>
          <w:szCs w:val="22"/>
        </w:rPr>
        <w:t>) of the Wireline Competition Bureau, Telecommunications Access Policy Division.</w:t>
      </w:r>
    </w:p>
    <w:p w:rsidR="005E3BC8" w:rsidP="005E3BC8" w14:paraId="12E2F563" w14:textId="77777777">
      <w:pPr>
        <w:spacing w:before="120" w:after="240"/>
        <w:jc w:val="center"/>
        <w:rPr>
          <w:sz w:val="24"/>
        </w:rPr>
      </w:pPr>
      <w:r>
        <w:rPr>
          <w:b/>
          <w:szCs w:val="22"/>
        </w:rPr>
        <w:t>– FCC –</w:t>
      </w:r>
    </w:p>
    <w:p w:rsidR="00F96F63" w:rsidP="005E3BC8" w14:paraId="12E2F564" w14:textId="77777777">
      <w:pPr>
        <w:rPr>
          <w:sz w:val="24"/>
        </w:rPr>
      </w:pPr>
    </w:p>
    <w:p w:rsidR="00930ECF" w:rsidRPr="00930ECF" w:rsidP="00F96F63" w14:paraId="12E2F565"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2E2F5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E2F5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2E2F5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2E2F57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5C1E" w14:paraId="2EB50DEA" w14:textId="77777777">
      <w:r>
        <w:separator/>
      </w:r>
    </w:p>
  </w:footnote>
  <w:footnote w:type="continuationSeparator" w:id="1">
    <w:p w:rsidR="00245C1E" w14:paraId="20E0DB37" w14:textId="77777777">
      <w:pPr>
        <w:rPr>
          <w:sz w:val="20"/>
        </w:rPr>
      </w:pPr>
      <w:r>
        <w:rPr>
          <w:sz w:val="20"/>
        </w:rPr>
        <w:t xml:space="preserve">(Continued from previous page)  </w:t>
      </w:r>
      <w:r>
        <w:rPr>
          <w:sz w:val="20"/>
        </w:rPr>
        <w:separator/>
      </w:r>
    </w:p>
  </w:footnote>
  <w:footnote w:type="continuationNotice" w:id="2">
    <w:p w:rsidR="00245C1E" w:rsidP="00910F12" w14:paraId="46E2C158" w14:textId="77777777">
      <w:pPr>
        <w:jc w:val="right"/>
        <w:rPr>
          <w:sz w:val="20"/>
        </w:rPr>
      </w:pPr>
      <w:r>
        <w:rPr>
          <w:sz w:val="20"/>
        </w:rPr>
        <w:t>(continued….)</w:t>
      </w:r>
    </w:p>
  </w:footnote>
  <w:footnote w:id="3">
    <w:p w:rsidR="00A71930" w:rsidP="00A71930" w14:paraId="5FA3677F" w14:textId="5E70990E">
      <w:pPr>
        <w:pStyle w:val="FootnoteText"/>
      </w:pPr>
      <w:r>
        <w:rPr>
          <w:rStyle w:val="FootnoteReference"/>
        </w:rPr>
        <w:footnoteRef/>
      </w:r>
      <w:r>
        <w:t xml:space="preserve"> </w:t>
      </w:r>
      <w:r w:rsidRPr="00D33353" w:rsidR="007211F3">
        <w:rPr>
          <w:i/>
        </w:rPr>
        <w:t xml:space="preserve">The </w:t>
      </w:r>
      <w:r w:rsidRPr="00D33353" w:rsidR="007211F3">
        <w:rPr>
          <w:i/>
        </w:rPr>
        <w:t>Uniendo</w:t>
      </w:r>
      <w:r w:rsidRPr="00D33353" w:rsidR="007211F3">
        <w:rPr>
          <w:i/>
        </w:rPr>
        <w:t xml:space="preserve"> a Puerto Rico Fund and the Connect USVI Fund</w:t>
      </w:r>
      <w:r w:rsidRPr="00D33353" w:rsidR="007211F3">
        <w:t xml:space="preserve">,  WC Docket Nos. 18-143, 10-90, 14-58, </w:t>
      </w:r>
      <w:r w:rsidR="004F375B">
        <w:t>Order on Reconsideration</w:t>
      </w:r>
      <w:r w:rsidR="00E809CB">
        <w:t xml:space="preserve"> and Order</w:t>
      </w:r>
      <w:r w:rsidRPr="00C96D75" w:rsidR="004F375B">
        <w:t>, DA 20-</w:t>
      </w:r>
      <w:r w:rsidRPr="00C96D75" w:rsidR="00C96D75">
        <w:t>838</w:t>
      </w:r>
      <w:r w:rsidR="004F375B">
        <w:t xml:space="preserve"> (WCB rel. Aug. </w:t>
      </w:r>
      <w:r w:rsidR="00C96D75">
        <w:t>6</w:t>
      </w:r>
      <w:r w:rsidR="004F375B">
        <w:t>, 2020)</w:t>
      </w:r>
      <w:r w:rsidR="00315D40">
        <w:t xml:space="preserve"> (</w:t>
      </w:r>
      <w:r w:rsidRPr="00654520" w:rsidR="00654520">
        <w:rPr>
          <w:i/>
          <w:iCs/>
        </w:rPr>
        <w:t>PR-USVI Reconsideration Order</w:t>
      </w:r>
      <w:r w:rsidR="00654520">
        <w:t>)</w:t>
      </w:r>
      <w:r w:rsidR="004F375B">
        <w:t xml:space="preserve">; </w:t>
      </w:r>
      <w:r w:rsidR="004F375B">
        <w:rPr>
          <w:i/>
        </w:rPr>
        <w:t>see also T</w:t>
      </w:r>
      <w:r w:rsidRPr="00D33353" w:rsidR="004F375B">
        <w:rPr>
          <w:i/>
        </w:rPr>
        <w:t xml:space="preserve">he </w:t>
      </w:r>
      <w:r w:rsidRPr="00D33353" w:rsidR="004F375B">
        <w:rPr>
          <w:i/>
        </w:rPr>
        <w:t>Uniendo</w:t>
      </w:r>
      <w:r w:rsidRPr="00D33353" w:rsidR="004F375B">
        <w:rPr>
          <w:i/>
        </w:rPr>
        <w:t xml:space="preserve"> a Puerto Rico Fund and the Connect USVI Fund</w:t>
      </w:r>
      <w:r w:rsidRPr="00D33353" w:rsidR="004F375B">
        <w:t xml:space="preserve">, Order, </w:t>
      </w:r>
      <w:r w:rsidR="00FD6387">
        <w:t>34 FCC Rcd 9109,</w:t>
      </w:r>
      <w:r w:rsidR="00AA28BA">
        <w:t xml:space="preserve"> 9119, </w:t>
      </w:r>
      <w:r w:rsidR="007B638A">
        <w:t>9143</w:t>
      </w:r>
      <w:r w:rsidR="00F21DFC">
        <w:t xml:space="preserve">, </w:t>
      </w:r>
      <w:r w:rsidRPr="00D33353" w:rsidR="004F375B">
        <w:t xml:space="preserve">paras. </w:t>
      </w:r>
      <w:r w:rsidR="004F375B">
        <w:t>18, 61</w:t>
      </w:r>
      <w:r w:rsidR="00142DFB">
        <w:t xml:space="preserve"> </w:t>
      </w:r>
      <w:r w:rsidRPr="00D33353" w:rsidR="00142DFB">
        <w:t>(2019) (</w:t>
      </w:r>
      <w:r w:rsidRPr="00D33353" w:rsidR="00142DFB">
        <w:rPr>
          <w:i/>
        </w:rPr>
        <w:t>PR-USVI Stage 2 Order</w:t>
      </w:r>
      <w:r w:rsidRPr="00D33353" w:rsidR="00142DFB">
        <w:t>)</w:t>
      </w:r>
      <w:r w:rsidRPr="00D33353">
        <w:t>.</w:t>
      </w:r>
    </w:p>
  </w:footnote>
  <w:footnote w:id="4">
    <w:p w:rsidR="00A71930" w:rsidRPr="00955505" w:rsidP="00A71930" w14:paraId="1AC65452" w14:textId="3590514F">
      <w:pPr>
        <w:pStyle w:val="FootnoteText"/>
      </w:pPr>
      <w:r>
        <w:rPr>
          <w:rStyle w:val="FootnoteReference"/>
        </w:rPr>
        <w:footnoteRef/>
      </w:r>
      <w:r>
        <w:t xml:space="preserve"> </w:t>
      </w:r>
      <w:r w:rsidRPr="00D33353" w:rsidR="005C6E0C">
        <w:rPr>
          <w:i/>
        </w:rPr>
        <w:t>PR-USVI Stage 2 Order</w:t>
      </w:r>
      <w:r w:rsidR="00AB5D65">
        <w:rPr>
          <w:i/>
        </w:rPr>
        <w:t xml:space="preserve">, </w:t>
      </w:r>
      <w:r w:rsidR="00AB5D65">
        <w:t xml:space="preserve">34 FCC Rcd at 9118, </w:t>
      </w:r>
      <w:r w:rsidR="00071958">
        <w:t xml:space="preserve">9145, 9153, </w:t>
      </w:r>
      <w:r>
        <w:t>para</w:t>
      </w:r>
      <w:r w:rsidR="00071958">
        <w:t>s</w:t>
      </w:r>
      <w:r>
        <w:t xml:space="preserve">. 17 &amp; </w:t>
      </w:r>
      <w:r>
        <w:t>n.51</w:t>
      </w:r>
      <w:r w:rsidR="00FF4A4D">
        <w:t>,</w:t>
      </w:r>
      <w:r w:rsidR="002B45F1">
        <w:t xml:space="preserve"> </w:t>
      </w:r>
      <w:r>
        <w:t>65</w:t>
      </w:r>
      <w:r w:rsidR="00FF4A4D">
        <w:t>,</w:t>
      </w:r>
      <w:r w:rsidR="002F0DDC">
        <w:t xml:space="preserve"> </w:t>
      </w:r>
      <w:r>
        <w:t>83.</w:t>
      </w:r>
    </w:p>
  </w:footnote>
  <w:footnote w:id="5">
    <w:p w:rsidR="005E3BC8" w:rsidRPr="00D33353" w:rsidP="005E3BC8" w14:paraId="12E2F578" w14:textId="2505B7F0">
      <w:pPr>
        <w:pStyle w:val="FootnoteText"/>
      </w:pPr>
      <w:r w:rsidRPr="00D33353">
        <w:rPr>
          <w:rStyle w:val="FootnoteReference"/>
        </w:rPr>
        <w:footnoteRef/>
      </w:r>
      <w:r w:rsidRPr="00D33353">
        <w:t xml:space="preserve"> </w:t>
      </w:r>
      <w:r w:rsidRPr="002A44D7" w:rsidR="00020667">
        <w:rPr>
          <w:i/>
          <w:iCs/>
        </w:rPr>
        <w:t>Id</w:t>
      </w:r>
      <w:r w:rsidR="00020667">
        <w:t>.</w:t>
      </w:r>
      <w:r w:rsidR="002A44D7">
        <w:t xml:space="preserve"> at </w:t>
      </w:r>
      <w:r w:rsidR="0068118D">
        <w:t xml:space="preserve">9146, </w:t>
      </w:r>
      <w:r w:rsidR="00FF4A4D">
        <w:t xml:space="preserve">9148, </w:t>
      </w:r>
      <w:r w:rsidRPr="00D33353">
        <w:t>para</w:t>
      </w:r>
      <w:r w:rsidR="00FF4A4D">
        <w:t>s</w:t>
      </w:r>
      <w:r w:rsidRPr="00D33353">
        <w:t>. 67</w:t>
      </w:r>
      <w:r w:rsidR="00FF4A4D">
        <w:t>,</w:t>
      </w:r>
      <w:r w:rsidRPr="00D33353">
        <w:t xml:space="preserve"> 70.</w:t>
      </w:r>
    </w:p>
  </w:footnote>
  <w:footnote w:id="6">
    <w:p w:rsidR="005E3BC8" w:rsidRPr="00CB589A" w:rsidP="005E3BC8" w14:paraId="12E2F57F" w14:textId="73045ACF">
      <w:pPr>
        <w:pStyle w:val="FootnoteText"/>
      </w:pPr>
      <w:r w:rsidRPr="00D33353">
        <w:rPr>
          <w:rStyle w:val="FootnoteReference"/>
        </w:rPr>
        <w:footnoteRef/>
      </w:r>
      <w:r w:rsidRPr="00D33353">
        <w:t xml:space="preserve"> </w:t>
      </w:r>
      <w:r w:rsidRPr="00FD3EA1">
        <w:rPr>
          <w:i/>
        </w:rPr>
        <w:t>Id</w:t>
      </w:r>
      <w:r>
        <w:t>. at</w:t>
      </w:r>
      <w:r w:rsidR="00C12C6D">
        <w:t xml:space="preserve"> </w:t>
      </w:r>
      <w:r w:rsidR="00F76D83">
        <w:t>9112</w:t>
      </w:r>
      <w:r w:rsidR="00C12C6D">
        <w:t>,</w:t>
      </w:r>
      <w:r>
        <w:t xml:space="preserve"> para. 18.</w:t>
      </w:r>
    </w:p>
  </w:footnote>
  <w:footnote w:id="7">
    <w:p w:rsidR="005E3BC8" w:rsidRPr="00FD3EA1" w:rsidP="005E3BC8" w14:paraId="12E2F580" w14:textId="40766573">
      <w:pPr>
        <w:pStyle w:val="FootnoteText"/>
      </w:pPr>
      <w:r w:rsidRPr="00FD3EA1">
        <w:rPr>
          <w:rStyle w:val="FootnoteReference"/>
        </w:rPr>
        <w:footnoteRef/>
      </w:r>
      <w:r w:rsidRPr="00FD3EA1">
        <w:t xml:space="preserve"> </w:t>
      </w:r>
      <w:r w:rsidRPr="00FD3EA1">
        <w:rPr>
          <w:i/>
        </w:rPr>
        <w:t>Id</w:t>
      </w:r>
      <w:r w:rsidRPr="00FD3EA1">
        <w:t xml:space="preserve">. at </w:t>
      </w:r>
      <w:r w:rsidR="00C12C6D">
        <w:t xml:space="preserve">9143, para. </w:t>
      </w:r>
      <w:r w:rsidRPr="00FD3EA1">
        <w:t>61</w:t>
      </w:r>
      <w:r w:rsidR="00654520">
        <w:t xml:space="preserve">; </w:t>
      </w:r>
      <w:r w:rsidRPr="00AD3221" w:rsidR="00AD3221">
        <w:rPr>
          <w:i/>
          <w:iCs/>
        </w:rPr>
        <w:t>PR-USVI</w:t>
      </w:r>
      <w:r w:rsidRPr="002C09D0" w:rsidR="00654520">
        <w:rPr>
          <w:i/>
          <w:iCs/>
        </w:rPr>
        <w:t xml:space="preserve"> Reconsideration Order</w:t>
      </w:r>
      <w:r w:rsidR="00A979AB">
        <w:t xml:space="preserve"> at para. </w:t>
      </w:r>
      <w:r w:rsidR="002C09D0">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2E2F569" w14:textId="736F6A51">
    <w:pPr>
      <w:tabs>
        <w:tab w:val="center" w:pos="4680"/>
        <w:tab w:val="right" w:pos="9360"/>
      </w:tabs>
    </w:pPr>
    <w:r w:rsidRPr="009838BC">
      <w:rPr>
        <w:b/>
      </w:rPr>
      <w:tab/>
      <w:t>Federal Communications Commission</w:t>
    </w:r>
    <w:r w:rsidRPr="009838BC">
      <w:rPr>
        <w:b/>
      </w:rPr>
      <w:tab/>
    </w:r>
    <w:r w:rsidR="00823952">
      <w:rPr>
        <w:b/>
      </w:rPr>
      <w:t xml:space="preserve">DA </w:t>
    </w:r>
    <w:r w:rsidR="00226B3A">
      <w:rPr>
        <w:b/>
      </w:rPr>
      <w:t>20-</w:t>
    </w:r>
    <w:r w:rsidR="00C96D75">
      <w:rPr>
        <w:b/>
      </w:rPr>
      <w:t>83</w:t>
    </w:r>
    <w:r w:rsidR="00E8159E">
      <w:rPr>
        <w:b/>
      </w:rPr>
      <w:t>9</w:t>
    </w:r>
  </w:p>
  <w:p w:rsidR="009838BC" w:rsidRPr="009838BC" w:rsidP="009838BC" w14:paraId="12E2F56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12E2F5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2E2F56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2E2F581" w14:textId="77777777">
                <w:pPr>
                  <w:rPr>
                    <w:rFonts w:ascii="Arial" w:hAnsi="Arial"/>
                    <w:b/>
                  </w:rPr>
                </w:pPr>
                <w:r>
                  <w:rPr>
                    <w:rFonts w:ascii="Arial" w:hAnsi="Arial"/>
                    <w:b/>
                  </w:rPr>
                  <w:t>Federal Communications Commission</w:t>
                </w:r>
              </w:p>
              <w:p w:rsidR="009838BC" w:rsidP="009838BC" w14:paraId="12E2F58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2E2F58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077BBB">
      <w:rPr>
        <w:rFonts w:ascii="Arial" w:hAnsi="Arial" w:cs="Arial"/>
        <w:b/>
        <w:sz w:val="96"/>
      </w:rPr>
      <w:t>PUBLIC NOTICE</w:t>
    </w:r>
  </w:p>
  <w:p w:rsidR="009838BC" w:rsidRPr="00357D50" w:rsidP="009838BC" w14:paraId="12E2F570"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7513.6pt,56.7pt" to="7981.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2E2F584" w14:textId="77777777">
                <w:pPr>
                  <w:spacing w:before="40"/>
                  <w:jc w:val="right"/>
                  <w:rPr>
                    <w:rFonts w:ascii="Arial" w:hAnsi="Arial"/>
                    <w:b/>
                    <w:sz w:val="16"/>
                  </w:rPr>
                </w:pPr>
                <w:r>
                  <w:rPr>
                    <w:rFonts w:ascii="Arial" w:hAnsi="Arial"/>
                    <w:b/>
                    <w:sz w:val="16"/>
                  </w:rPr>
                  <w:t>News Media Information 202 / 418-0500</w:t>
                </w:r>
              </w:p>
              <w:p w:rsidR="009838BC" w:rsidP="009838BC" w14:paraId="12E2F585"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12E2F586" w14:textId="77777777">
                <w:pPr>
                  <w:jc w:val="right"/>
                </w:pPr>
                <w:r>
                  <w:rPr>
                    <w:rFonts w:ascii="Arial" w:hAnsi="Arial"/>
                    <w:b/>
                    <w:sz w:val="16"/>
                  </w:rPr>
                  <w:t>TTY: 1-888-835-5322</w:t>
                </w:r>
              </w:p>
            </w:txbxContent>
          </v:textbox>
        </v:shape>
      </w:pict>
    </w:r>
  </w:p>
  <w:p w:rsidR="006F7393" w:rsidRPr="009838BC" w:rsidP="009838BC" w14:paraId="12E2F57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C8"/>
    <w:rsid w:val="000072CE"/>
    <w:rsid w:val="00013A8B"/>
    <w:rsid w:val="00020667"/>
    <w:rsid w:val="00021445"/>
    <w:rsid w:val="000348A0"/>
    <w:rsid w:val="00036039"/>
    <w:rsid w:val="00037F90"/>
    <w:rsid w:val="00071958"/>
    <w:rsid w:val="00077BBB"/>
    <w:rsid w:val="000875BF"/>
    <w:rsid w:val="00096D8C"/>
    <w:rsid w:val="000A5B88"/>
    <w:rsid w:val="000C0B65"/>
    <w:rsid w:val="000E3D42"/>
    <w:rsid w:val="000E5884"/>
    <w:rsid w:val="001218F4"/>
    <w:rsid w:val="00122BD5"/>
    <w:rsid w:val="00142DFB"/>
    <w:rsid w:val="00192DB6"/>
    <w:rsid w:val="001968AF"/>
    <w:rsid w:val="001979D9"/>
    <w:rsid w:val="001D1982"/>
    <w:rsid w:val="001D6BCF"/>
    <w:rsid w:val="001E01CA"/>
    <w:rsid w:val="001F0927"/>
    <w:rsid w:val="001F6DDD"/>
    <w:rsid w:val="002060D9"/>
    <w:rsid w:val="00226822"/>
    <w:rsid w:val="00226B3A"/>
    <w:rsid w:val="00233471"/>
    <w:rsid w:val="00245C1E"/>
    <w:rsid w:val="0025577E"/>
    <w:rsid w:val="00260594"/>
    <w:rsid w:val="00261374"/>
    <w:rsid w:val="00273F5C"/>
    <w:rsid w:val="00285017"/>
    <w:rsid w:val="002A2D2E"/>
    <w:rsid w:val="002A44D7"/>
    <w:rsid w:val="002A4705"/>
    <w:rsid w:val="002B1209"/>
    <w:rsid w:val="002B45F1"/>
    <w:rsid w:val="002C09D0"/>
    <w:rsid w:val="002E3AB9"/>
    <w:rsid w:val="002F0DDC"/>
    <w:rsid w:val="00315D40"/>
    <w:rsid w:val="003228CF"/>
    <w:rsid w:val="00325A9F"/>
    <w:rsid w:val="00343749"/>
    <w:rsid w:val="00357D50"/>
    <w:rsid w:val="00373AF6"/>
    <w:rsid w:val="00376791"/>
    <w:rsid w:val="003925DC"/>
    <w:rsid w:val="00394CDF"/>
    <w:rsid w:val="003B0550"/>
    <w:rsid w:val="003B694F"/>
    <w:rsid w:val="003C0703"/>
    <w:rsid w:val="003F171C"/>
    <w:rsid w:val="003F1E7E"/>
    <w:rsid w:val="00412FC5"/>
    <w:rsid w:val="00422276"/>
    <w:rsid w:val="004242F1"/>
    <w:rsid w:val="00445A00"/>
    <w:rsid w:val="004508C2"/>
    <w:rsid w:val="00451B0F"/>
    <w:rsid w:val="00452DE6"/>
    <w:rsid w:val="0046125F"/>
    <w:rsid w:val="00487524"/>
    <w:rsid w:val="00491838"/>
    <w:rsid w:val="00496106"/>
    <w:rsid w:val="004C12D0"/>
    <w:rsid w:val="004C2EE3"/>
    <w:rsid w:val="004E4A22"/>
    <w:rsid w:val="004F375B"/>
    <w:rsid w:val="00511968"/>
    <w:rsid w:val="0055614C"/>
    <w:rsid w:val="00561C38"/>
    <w:rsid w:val="00564A6C"/>
    <w:rsid w:val="00592EC5"/>
    <w:rsid w:val="005C6E0C"/>
    <w:rsid w:val="005E0671"/>
    <w:rsid w:val="005E3BC8"/>
    <w:rsid w:val="005E792E"/>
    <w:rsid w:val="00607BA5"/>
    <w:rsid w:val="006214BA"/>
    <w:rsid w:val="00626EB6"/>
    <w:rsid w:val="006353A3"/>
    <w:rsid w:val="00654520"/>
    <w:rsid w:val="00655D03"/>
    <w:rsid w:val="0068118D"/>
    <w:rsid w:val="00683F84"/>
    <w:rsid w:val="006A6A81"/>
    <w:rsid w:val="006C144A"/>
    <w:rsid w:val="006C63FE"/>
    <w:rsid w:val="006E26AF"/>
    <w:rsid w:val="006F7393"/>
    <w:rsid w:val="0070224F"/>
    <w:rsid w:val="00704EE2"/>
    <w:rsid w:val="007115F7"/>
    <w:rsid w:val="007211F3"/>
    <w:rsid w:val="00726B44"/>
    <w:rsid w:val="00754707"/>
    <w:rsid w:val="00785689"/>
    <w:rsid w:val="0079116B"/>
    <w:rsid w:val="0079754B"/>
    <w:rsid w:val="007A1E6D"/>
    <w:rsid w:val="007B638A"/>
    <w:rsid w:val="007B770F"/>
    <w:rsid w:val="007C5B90"/>
    <w:rsid w:val="007F64C5"/>
    <w:rsid w:val="00816092"/>
    <w:rsid w:val="00817F22"/>
    <w:rsid w:val="00822CE0"/>
    <w:rsid w:val="00823952"/>
    <w:rsid w:val="00837C62"/>
    <w:rsid w:val="00841AB1"/>
    <w:rsid w:val="0086163D"/>
    <w:rsid w:val="00865B7A"/>
    <w:rsid w:val="00893B8E"/>
    <w:rsid w:val="008C22FD"/>
    <w:rsid w:val="00910F12"/>
    <w:rsid w:val="00926503"/>
    <w:rsid w:val="00930ECF"/>
    <w:rsid w:val="00931AB4"/>
    <w:rsid w:val="00955505"/>
    <w:rsid w:val="009707E3"/>
    <w:rsid w:val="00971701"/>
    <w:rsid w:val="009838BC"/>
    <w:rsid w:val="009D5B5D"/>
    <w:rsid w:val="009E4C7C"/>
    <w:rsid w:val="00A06B8E"/>
    <w:rsid w:val="00A22A63"/>
    <w:rsid w:val="00A45F4F"/>
    <w:rsid w:val="00A47694"/>
    <w:rsid w:val="00A55832"/>
    <w:rsid w:val="00A600A9"/>
    <w:rsid w:val="00A71930"/>
    <w:rsid w:val="00A82940"/>
    <w:rsid w:val="00A866AC"/>
    <w:rsid w:val="00A979AB"/>
    <w:rsid w:val="00AA28BA"/>
    <w:rsid w:val="00AA55B7"/>
    <w:rsid w:val="00AA5B9E"/>
    <w:rsid w:val="00AB2407"/>
    <w:rsid w:val="00AB53DF"/>
    <w:rsid w:val="00AB5D65"/>
    <w:rsid w:val="00AD3221"/>
    <w:rsid w:val="00AE0265"/>
    <w:rsid w:val="00AE66F6"/>
    <w:rsid w:val="00B07E5C"/>
    <w:rsid w:val="00B20363"/>
    <w:rsid w:val="00B26F7E"/>
    <w:rsid w:val="00B326E3"/>
    <w:rsid w:val="00B811F7"/>
    <w:rsid w:val="00B8223E"/>
    <w:rsid w:val="00B84D20"/>
    <w:rsid w:val="00BA5DC6"/>
    <w:rsid w:val="00BA6196"/>
    <w:rsid w:val="00BC6D8C"/>
    <w:rsid w:val="00BD6B8F"/>
    <w:rsid w:val="00C022A1"/>
    <w:rsid w:val="00C06D85"/>
    <w:rsid w:val="00C12C6D"/>
    <w:rsid w:val="00C16AF2"/>
    <w:rsid w:val="00C34006"/>
    <w:rsid w:val="00C426B1"/>
    <w:rsid w:val="00C50CE7"/>
    <w:rsid w:val="00C82B6B"/>
    <w:rsid w:val="00C90D6A"/>
    <w:rsid w:val="00C96D75"/>
    <w:rsid w:val="00CB589A"/>
    <w:rsid w:val="00CC72B6"/>
    <w:rsid w:val="00CE03DD"/>
    <w:rsid w:val="00CF083B"/>
    <w:rsid w:val="00D0218D"/>
    <w:rsid w:val="00D20869"/>
    <w:rsid w:val="00D216CD"/>
    <w:rsid w:val="00D2208F"/>
    <w:rsid w:val="00D33353"/>
    <w:rsid w:val="00DA2529"/>
    <w:rsid w:val="00DA6DD8"/>
    <w:rsid w:val="00DB130A"/>
    <w:rsid w:val="00DB6D2B"/>
    <w:rsid w:val="00DC0AB0"/>
    <w:rsid w:val="00DC0FB0"/>
    <w:rsid w:val="00DC10A1"/>
    <w:rsid w:val="00DC655F"/>
    <w:rsid w:val="00DD7EBD"/>
    <w:rsid w:val="00DF62B6"/>
    <w:rsid w:val="00E07225"/>
    <w:rsid w:val="00E155B7"/>
    <w:rsid w:val="00E414B9"/>
    <w:rsid w:val="00E5409F"/>
    <w:rsid w:val="00E809CB"/>
    <w:rsid w:val="00E8159E"/>
    <w:rsid w:val="00EA6633"/>
    <w:rsid w:val="00EC0185"/>
    <w:rsid w:val="00ED2DE6"/>
    <w:rsid w:val="00EE7944"/>
    <w:rsid w:val="00F021FA"/>
    <w:rsid w:val="00F06D0D"/>
    <w:rsid w:val="00F21DFC"/>
    <w:rsid w:val="00F510BB"/>
    <w:rsid w:val="00F57ACA"/>
    <w:rsid w:val="00F62E97"/>
    <w:rsid w:val="00F64209"/>
    <w:rsid w:val="00F76D83"/>
    <w:rsid w:val="00F93BF5"/>
    <w:rsid w:val="00F96F63"/>
    <w:rsid w:val="00FA7813"/>
    <w:rsid w:val="00FD3EA1"/>
    <w:rsid w:val="00FD6387"/>
    <w:rsid w:val="00FF4A4D"/>
    <w:rsid w:val="6D69B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EBDA135-3760-44BC-9F9C-8840FE6A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A9F"/>
    <w:pPr>
      <w:widowControl w:val="0"/>
    </w:pPr>
    <w:rPr>
      <w:snapToGrid w:val="0"/>
      <w:kern w:val="28"/>
      <w:sz w:val="22"/>
    </w:rPr>
  </w:style>
  <w:style w:type="paragraph" w:styleId="Heading1">
    <w:name w:val="heading 1"/>
    <w:basedOn w:val="Normal"/>
    <w:next w:val="ParaNum"/>
    <w:qFormat/>
    <w:rsid w:val="00325A9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25A9F"/>
    <w:pPr>
      <w:keepNext/>
      <w:numPr>
        <w:ilvl w:val="1"/>
        <w:numId w:val="3"/>
      </w:numPr>
      <w:spacing w:after="120"/>
      <w:outlineLvl w:val="1"/>
    </w:pPr>
    <w:rPr>
      <w:b/>
    </w:rPr>
  </w:style>
  <w:style w:type="paragraph" w:styleId="Heading3">
    <w:name w:val="heading 3"/>
    <w:basedOn w:val="Normal"/>
    <w:next w:val="ParaNum"/>
    <w:qFormat/>
    <w:rsid w:val="00325A9F"/>
    <w:pPr>
      <w:keepNext/>
      <w:numPr>
        <w:ilvl w:val="2"/>
        <w:numId w:val="3"/>
      </w:numPr>
      <w:tabs>
        <w:tab w:val="left" w:pos="2160"/>
      </w:tabs>
      <w:spacing w:after="120"/>
      <w:outlineLvl w:val="2"/>
    </w:pPr>
    <w:rPr>
      <w:b/>
    </w:rPr>
  </w:style>
  <w:style w:type="paragraph" w:styleId="Heading4">
    <w:name w:val="heading 4"/>
    <w:basedOn w:val="Normal"/>
    <w:next w:val="ParaNum"/>
    <w:qFormat/>
    <w:rsid w:val="00325A9F"/>
    <w:pPr>
      <w:keepNext/>
      <w:numPr>
        <w:ilvl w:val="3"/>
        <w:numId w:val="3"/>
      </w:numPr>
      <w:tabs>
        <w:tab w:val="left" w:pos="2880"/>
      </w:tabs>
      <w:spacing w:after="120"/>
      <w:outlineLvl w:val="3"/>
    </w:pPr>
    <w:rPr>
      <w:b/>
    </w:rPr>
  </w:style>
  <w:style w:type="paragraph" w:styleId="Heading5">
    <w:name w:val="heading 5"/>
    <w:basedOn w:val="Normal"/>
    <w:next w:val="ParaNum"/>
    <w:qFormat/>
    <w:rsid w:val="00325A9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25A9F"/>
    <w:pPr>
      <w:numPr>
        <w:ilvl w:val="5"/>
        <w:numId w:val="3"/>
      </w:numPr>
      <w:tabs>
        <w:tab w:val="left" w:pos="4320"/>
      </w:tabs>
      <w:spacing w:after="120"/>
      <w:outlineLvl w:val="5"/>
    </w:pPr>
    <w:rPr>
      <w:b/>
    </w:rPr>
  </w:style>
  <w:style w:type="paragraph" w:styleId="Heading7">
    <w:name w:val="heading 7"/>
    <w:basedOn w:val="Normal"/>
    <w:next w:val="ParaNum"/>
    <w:qFormat/>
    <w:rsid w:val="00325A9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25A9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25A9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25A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25A9F"/>
  </w:style>
  <w:style w:type="paragraph" w:customStyle="1" w:styleId="ParaNum">
    <w:name w:val="ParaNum"/>
    <w:basedOn w:val="Normal"/>
    <w:rsid w:val="00325A9F"/>
    <w:pPr>
      <w:numPr>
        <w:numId w:val="2"/>
      </w:numPr>
      <w:tabs>
        <w:tab w:val="clear" w:pos="1080"/>
        <w:tab w:val="num" w:pos="1440"/>
      </w:tabs>
      <w:spacing w:after="120"/>
    </w:pPr>
  </w:style>
  <w:style w:type="paragraph" w:styleId="EndnoteText">
    <w:name w:val="endnote text"/>
    <w:basedOn w:val="Normal"/>
    <w:semiHidden/>
    <w:rsid w:val="00325A9F"/>
    <w:rPr>
      <w:sz w:val="20"/>
    </w:rPr>
  </w:style>
  <w:style w:type="character" w:styleId="EndnoteReference">
    <w:name w:val="endnote reference"/>
    <w:semiHidden/>
    <w:rsid w:val="00325A9F"/>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325A9F"/>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25A9F"/>
    <w:rPr>
      <w:rFonts w:ascii="Times New Roman" w:hAnsi="Times New Roman"/>
      <w:dstrike w:val="0"/>
      <w:color w:val="auto"/>
      <w:sz w:val="22"/>
      <w:vertAlign w:val="superscript"/>
    </w:rPr>
  </w:style>
  <w:style w:type="paragraph" w:styleId="TOC1">
    <w:name w:val="toc 1"/>
    <w:basedOn w:val="Normal"/>
    <w:next w:val="Normal"/>
    <w:uiPriority w:val="39"/>
    <w:rsid w:val="00325A9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5A9F"/>
    <w:pPr>
      <w:tabs>
        <w:tab w:val="left" w:pos="720"/>
        <w:tab w:val="right" w:leader="dot" w:pos="9360"/>
      </w:tabs>
      <w:suppressAutoHyphens/>
      <w:ind w:left="720" w:right="720" w:hanging="360"/>
    </w:pPr>
    <w:rPr>
      <w:noProof/>
    </w:rPr>
  </w:style>
  <w:style w:type="paragraph" w:styleId="TOC3">
    <w:name w:val="toc 3"/>
    <w:basedOn w:val="Normal"/>
    <w:next w:val="Normal"/>
    <w:semiHidden/>
    <w:rsid w:val="00325A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5A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5A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5A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5A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5A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5A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5A9F"/>
    <w:pPr>
      <w:tabs>
        <w:tab w:val="right" w:pos="9360"/>
      </w:tabs>
      <w:suppressAutoHyphens/>
    </w:pPr>
  </w:style>
  <w:style w:type="character" w:customStyle="1" w:styleId="EquationCaption">
    <w:name w:val="_Equation Caption"/>
    <w:rsid w:val="00325A9F"/>
  </w:style>
  <w:style w:type="paragraph" w:styleId="Header">
    <w:name w:val="header"/>
    <w:basedOn w:val="Normal"/>
    <w:autoRedefine/>
    <w:rsid w:val="00325A9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25A9F"/>
    <w:pPr>
      <w:tabs>
        <w:tab w:val="center" w:pos="4320"/>
        <w:tab w:val="right" w:pos="8640"/>
      </w:tabs>
    </w:pPr>
  </w:style>
  <w:style w:type="character" w:styleId="PageNumber">
    <w:name w:val="page number"/>
    <w:basedOn w:val="DefaultParagraphFont"/>
    <w:rsid w:val="00325A9F"/>
  </w:style>
  <w:style w:type="paragraph" w:styleId="BlockText">
    <w:name w:val="Block Text"/>
    <w:basedOn w:val="Normal"/>
    <w:rsid w:val="00325A9F"/>
    <w:pPr>
      <w:spacing w:after="240"/>
      <w:ind w:left="1440" w:right="1440"/>
    </w:pPr>
  </w:style>
  <w:style w:type="paragraph" w:customStyle="1" w:styleId="Paratitle">
    <w:name w:val="Para title"/>
    <w:basedOn w:val="Normal"/>
    <w:rsid w:val="00325A9F"/>
    <w:pPr>
      <w:tabs>
        <w:tab w:val="center" w:pos="9270"/>
      </w:tabs>
      <w:spacing w:after="240"/>
    </w:pPr>
    <w:rPr>
      <w:spacing w:val="-2"/>
    </w:rPr>
  </w:style>
  <w:style w:type="paragraph" w:customStyle="1" w:styleId="Bullet">
    <w:name w:val="Bullet"/>
    <w:basedOn w:val="Normal"/>
    <w:rsid w:val="00325A9F"/>
    <w:pPr>
      <w:numPr>
        <w:numId w:val="1"/>
      </w:numPr>
      <w:tabs>
        <w:tab w:val="clear" w:pos="360"/>
        <w:tab w:val="left" w:pos="2160"/>
      </w:tabs>
      <w:spacing w:after="220"/>
      <w:ind w:left="2160" w:hanging="720"/>
    </w:pPr>
  </w:style>
  <w:style w:type="paragraph" w:customStyle="1" w:styleId="TableFormat">
    <w:name w:val="TableFormat"/>
    <w:basedOn w:val="Bullet"/>
    <w:rsid w:val="00325A9F"/>
    <w:pPr>
      <w:numPr>
        <w:numId w:val="0"/>
      </w:numPr>
      <w:tabs>
        <w:tab w:val="clear" w:pos="2160"/>
        <w:tab w:val="left" w:pos="5040"/>
      </w:tabs>
      <w:ind w:left="5040" w:hanging="3600"/>
    </w:pPr>
  </w:style>
  <w:style w:type="paragraph" w:customStyle="1" w:styleId="TOCTitle">
    <w:name w:val="TOC Title"/>
    <w:basedOn w:val="Normal"/>
    <w:rsid w:val="00325A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5A9F"/>
    <w:pPr>
      <w:jc w:val="center"/>
    </w:pPr>
    <w:rPr>
      <w:rFonts w:ascii="Times New Roman Bold" w:hAnsi="Times New Roman Bold"/>
      <w:b/>
      <w:bCs/>
      <w:caps/>
      <w:szCs w:val="22"/>
    </w:rPr>
  </w:style>
  <w:style w:type="character" w:styleId="Hyperlink">
    <w:name w:val="Hyperlink"/>
    <w:rsid w:val="00325A9F"/>
    <w:rPr>
      <w:color w:val="0000FF"/>
      <w:u w:val="single"/>
    </w:rPr>
  </w:style>
  <w:style w:type="character" w:customStyle="1" w:styleId="FooterChar">
    <w:name w:val="Footer Char"/>
    <w:link w:val="Footer"/>
    <w:uiPriority w:val="99"/>
    <w:rsid w:val="00325A9F"/>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5E3BC8"/>
  </w:style>
  <w:style w:type="character" w:customStyle="1" w:styleId="UnresolvedMention1">
    <w:name w:val="Unresolved Mention1"/>
    <w:uiPriority w:val="99"/>
    <w:semiHidden/>
    <w:unhideWhenUsed/>
    <w:rsid w:val="009E4C7C"/>
    <w:rPr>
      <w:color w:val="605E5C"/>
      <w:shd w:val="clear" w:color="auto" w:fill="E1DFDD"/>
    </w:rPr>
  </w:style>
  <w:style w:type="paragraph" w:styleId="BalloonText">
    <w:name w:val="Balloon Text"/>
    <w:basedOn w:val="Normal"/>
    <w:link w:val="BalloonTextChar"/>
    <w:uiPriority w:val="99"/>
    <w:semiHidden/>
    <w:unhideWhenUsed/>
    <w:rsid w:val="00E414B9"/>
    <w:rPr>
      <w:rFonts w:ascii="Segoe UI" w:hAnsi="Segoe UI" w:cs="Segoe UI"/>
      <w:sz w:val="18"/>
      <w:szCs w:val="18"/>
    </w:rPr>
  </w:style>
  <w:style w:type="character" w:customStyle="1" w:styleId="BalloonTextChar">
    <w:name w:val="Balloon Text Char"/>
    <w:link w:val="BalloonText"/>
    <w:uiPriority w:val="99"/>
    <w:semiHidden/>
    <w:rsid w:val="00E414B9"/>
    <w:rPr>
      <w:rFonts w:ascii="Segoe UI" w:hAnsi="Segoe UI" w:cs="Segoe UI"/>
      <w:snapToGrid w:val="0"/>
      <w:kern w:val="28"/>
      <w:sz w:val="18"/>
      <w:szCs w:val="18"/>
    </w:rPr>
  </w:style>
  <w:style w:type="character" w:styleId="CommentReference">
    <w:name w:val="annotation reference"/>
    <w:uiPriority w:val="99"/>
    <w:semiHidden/>
    <w:unhideWhenUsed/>
    <w:rsid w:val="00D20869"/>
    <w:rPr>
      <w:sz w:val="16"/>
      <w:szCs w:val="16"/>
    </w:rPr>
  </w:style>
  <w:style w:type="paragraph" w:styleId="CommentText">
    <w:name w:val="annotation text"/>
    <w:basedOn w:val="Normal"/>
    <w:link w:val="CommentTextChar"/>
    <w:uiPriority w:val="99"/>
    <w:semiHidden/>
    <w:unhideWhenUsed/>
    <w:rsid w:val="00D20869"/>
    <w:rPr>
      <w:sz w:val="20"/>
    </w:rPr>
  </w:style>
  <w:style w:type="character" w:customStyle="1" w:styleId="CommentTextChar">
    <w:name w:val="Comment Text Char"/>
    <w:link w:val="CommentText"/>
    <w:uiPriority w:val="99"/>
    <w:semiHidden/>
    <w:rsid w:val="00D20869"/>
    <w:rPr>
      <w:snapToGrid w:val="0"/>
      <w:kern w:val="28"/>
    </w:rPr>
  </w:style>
  <w:style w:type="paragraph" w:styleId="CommentSubject">
    <w:name w:val="annotation subject"/>
    <w:basedOn w:val="CommentText"/>
    <w:next w:val="CommentText"/>
    <w:link w:val="CommentSubjectChar"/>
    <w:uiPriority w:val="99"/>
    <w:semiHidden/>
    <w:unhideWhenUsed/>
    <w:rsid w:val="00D20869"/>
    <w:rPr>
      <w:b/>
      <w:bCs/>
    </w:rPr>
  </w:style>
  <w:style w:type="character" w:customStyle="1" w:styleId="CommentSubjectChar">
    <w:name w:val="Comment Subject Char"/>
    <w:link w:val="CommentSubject"/>
    <w:uiPriority w:val="99"/>
    <w:semiHidden/>
    <w:rsid w:val="00D20869"/>
    <w:rPr>
      <w:b/>
      <w:bCs/>
      <w:snapToGrid w:val="0"/>
      <w:kern w:val="28"/>
    </w:rPr>
  </w:style>
  <w:style w:type="character" w:customStyle="1" w:styleId="UnresolvedMention">
    <w:name w:val="Unresolved Mention"/>
    <w:basedOn w:val="DefaultParagraphFont"/>
    <w:uiPriority w:val="99"/>
    <w:rsid w:val="00325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A-20-839A2.xlsx" TargetMode="External" /><Relationship Id="rId6" Type="http://schemas.openxmlformats.org/officeDocument/2006/relationships/hyperlink" Target="mailto:Dangkhoa.Nguy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