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E7DAE" w:rsidRPr="00B20363" w:rsidP="003E7DAE" w14:paraId="419188C2" w14:textId="77777777">
      <w:pPr>
        <w:jc w:val="right"/>
        <w:rPr>
          <w:b/>
          <w:sz w:val="24"/>
        </w:rPr>
      </w:pPr>
      <w:bookmarkStart w:id="0" w:name="TOChere"/>
      <w:r>
        <w:rPr>
          <w:b/>
          <w:sz w:val="24"/>
        </w:rPr>
        <w:t>DA 20-844</w:t>
      </w:r>
    </w:p>
    <w:p w:rsidR="003E7DAE" w:rsidRPr="00B20363" w:rsidP="003E7DAE" w14:paraId="0738634E" w14:textId="77777777">
      <w:pPr>
        <w:spacing w:before="60"/>
        <w:jc w:val="right"/>
        <w:rPr>
          <w:b/>
          <w:sz w:val="24"/>
        </w:rPr>
      </w:pPr>
      <w:r>
        <w:rPr>
          <w:b/>
          <w:sz w:val="24"/>
        </w:rPr>
        <w:t>Released:  August 6, 2020</w:t>
      </w:r>
    </w:p>
    <w:p w:rsidR="003E7DAE" w:rsidP="003E7DAE" w14:paraId="19465F3C" w14:textId="77777777">
      <w:pPr>
        <w:jc w:val="right"/>
        <w:rPr>
          <w:sz w:val="24"/>
        </w:rPr>
      </w:pPr>
    </w:p>
    <w:p w:rsidR="003E7DAE" w:rsidRPr="00B20363" w:rsidP="003E7DAE" w14:paraId="3BC0479B" w14:textId="77777777">
      <w:pPr>
        <w:spacing w:after="240"/>
        <w:jc w:val="center"/>
        <w:rPr>
          <w:rFonts w:ascii="Times New Roman Bold" w:hAnsi="Times New Roman Bold"/>
          <w:b/>
          <w:caps/>
          <w:sz w:val="24"/>
        </w:rPr>
      </w:pPr>
      <w:r>
        <w:rPr>
          <w:rFonts w:ascii="Times New Roman Bold" w:hAnsi="Times New Roman Bold"/>
          <w:b/>
          <w:caps/>
          <w:sz w:val="24"/>
        </w:rPr>
        <w:t xml:space="preserve">Wireline Competition Bureau Announces Application Window for STAGE 2 OF The </w:t>
      </w:r>
      <w:r w:rsidRPr="00815683">
        <w:rPr>
          <w:b/>
          <w:caps/>
          <w:sz w:val="24"/>
          <w:szCs w:val="24"/>
        </w:rPr>
        <w:t>uniendo</w:t>
      </w:r>
      <w:r w:rsidRPr="00815683">
        <w:rPr>
          <w:b/>
          <w:caps/>
          <w:sz w:val="24"/>
          <w:szCs w:val="24"/>
        </w:rPr>
        <w:t xml:space="preserve"> a puerto rico fund and the connect usvi fund</w:t>
      </w:r>
    </w:p>
    <w:p w:rsidR="003E7DAE" w:rsidP="003E7DAE" w14:paraId="5A87D1BC" w14:textId="77777777">
      <w:pPr>
        <w:jc w:val="center"/>
        <w:rPr>
          <w:b/>
          <w:sz w:val="24"/>
        </w:rPr>
      </w:pPr>
      <w:r>
        <w:rPr>
          <w:b/>
          <w:sz w:val="24"/>
        </w:rPr>
        <w:t>WC Docket Nos. 18-143, 10-90</w:t>
      </w:r>
    </w:p>
    <w:p w:rsidR="003E7DAE" w:rsidRPr="00930ECF" w:rsidP="003E7DAE" w14:paraId="2785FDA1" w14:textId="77777777">
      <w:pPr>
        <w:rPr>
          <w:sz w:val="24"/>
        </w:rPr>
      </w:pPr>
    </w:p>
    <w:p w:rsidR="003E7DAE" w:rsidP="003E7DAE" w14:paraId="5A5FC548" w14:textId="77777777">
      <w:pPr>
        <w:spacing w:after="120"/>
        <w:rPr>
          <w:szCs w:val="22"/>
        </w:rPr>
      </w:pPr>
      <w:r>
        <w:rPr>
          <w:sz w:val="24"/>
        </w:rPr>
        <w:tab/>
      </w:r>
      <w:r w:rsidRPr="000B1885">
        <w:rPr>
          <w:szCs w:val="22"/>
        </w:rPr>
        <w:t>By this Public Notice,</w:t>
      </w:r>
      <w:r>
        <w:rPr>
          <w:sz w:val="24"/>
        </w:rPr>
        <w:t xml:space="preserve"> </w:t>
      </w:r>
      <w:r w:rsidRPr="000E233F">
        <w:rPr>
          <w:szCs w:val="22"/>
        </w:rPr>
        <w:t>the Wireline Competition Bureau (Bureau)</w:t>
      </w:r>
      <w:r>
        <w:rPr>
          <w:szCs w:val="22"/>
        </w:rPr>
        <w:t xml:space="preserve"> announces that the application window for the Stage 2 competitive process of the </w:t>
      </w:r>
      <w:r w:rsidRPr="000E233F">
        <w:rPr>
          <w:szCs w:val="22"/>
        </w:rPr>
        <w:t>Uniendo</w:t>
      </w:r>
      <w:r w:rsidRPr="000E233F">
        <w:rPr>
          <w:szCs w:val="22"/>
        </w:rPr>
        <w:t xml:space="preserve"> a Puerto Rico Fund and the Connect USVI Fund</w:t>
      </w:r>
      <w:r>
        <w:rPr>
          <w:szCs w:val="22"/>
        </w:rPr>
        <w:t xml:space="preserve"> will </w:t>
      </w:r>
      <w:r w:rsidRPr="0026410D">
        <w:rPr>
          <w:b/>
          <w:bCs/>
          <w:szCs w:val="22"/>
        </w:rPr>
        <w:t xml:space="preserve">open on </w:t>
      </w:r>
      <w:r>
        <w:rPr>
          <w:b/>
          <w:bCs/>
          <w:szCs w:val="22"/>
        </w:rPr>
        <w:t xml:space="preserve">Thursday, </w:t>
      </w:r>
      <w:r w:rsidRPr="0026410D">
        <w:rPr>
          <w:b/>
          <w:bCs/>
          <w:szCs w:val="22"/>
        </w:rPr>
        <w:t xml:space="preserve">August </w:t>
      </w:r>
      <w:r>
        <w:rPr>
          <w:b/>
          <w:bCs/>
          <w:szCs w:val="22"/>
        </w:rPr>
        <w:t>6</w:t>
      </w:r>
      <w:r w:rsidRPr="0026410D">
        <w:rPr>
          <w:b/>
          <w:bCs/>
          <w:szCs w:val="22"/>
        </w:rPr>
        <w:t>, 2020</w:t>
      </w:r>
      <w:r>
        <w:rPr>
          <w:szCs w:val="22"/>
        </w:rPr>
        <w:t xml:space="preserve"> and </w:t>
      </w:r>
      <w:r w:rsidRPr="0026410D">
        <w:rPr>
          <w:b/>
          <w:bCs/>
          <w:szCs w:val="22"/>
        </w:rPr>
        <w:t xml:space="preserve">close on </w:t>
      </w:r>
      <w:r>
        <w:rPr>
          <w:b/>
          <w:bCs/>
          <w:szCs w:val="22"/>
        </w:rPr>
        <w:t xml:space="preserve">Thursday, </w:t>
      </w:r>
      <w:r w:rsidRPr="0026410D">
        <w:rPr>
          <w:b/>
          <w:bCs/>
          <w:szCs w:val="22"/>
        </w:rPr>
        <w:t xml:space="preserve">September </w:t>
      </w:r>
      <w:r>
        <w:rPr>
          <w:b/>
          <w:bCs/>
          <w:szCs w:val="22"/>
        </w:rPr>
        <w:t>3</w:t>
      </w:r>
      <w:r w:rsidRPr="0026410D">
        <w:rPr>
          <w:b/>
          <w:bCs/>
          <w:szCs w:val="22"/>
        </w:rPr>
        <w:t>, 2020 at 6:00 PM ET</w:t>
      </w:r>
      <w:r>
        <w:rPr>
          <w:szCs w:val="22"/>
        </w:rPr>
        <w:t xml:space="preserve">.  </w:t>
      </w:r>
    </w:p>
    <w:p w:rsidR="003E7DAE" w:rsidP="003E7DAE" w14:paraId="2720330D" w14:textId="77777777">
      <w:pPr>
        <w:spacing w:after="120"/>
        <w:rPr>
          <w:szCs w:val="22"/>
        </w:rPr>
      </w:pPr>
      <w:r>
        <w:rPr>
          <w:szCs w:val="22"/>
        </w:rPr>
        <w:tab/>
      </w:r>
      <w:r w:rsidRPr="000E233F">
        <w:rPr>
          <w:szCs w:val="22"/>
        </w:rPr>
        <w:t xml:space="preserve">In the </w:t>
      </w:r>
      <w:r w:rsidRPr="000E233F">
        <w:rPr>
          <w:i/>
          <w:szCs w:val="22"/>
        </w:rPr>
        <w:t>PR-USVI Stage 2 Order</w:t>
      </w:r>
      <w:r w:rsidRPr="000E233F">
        <w:rPr>
          <w:szCs w:val="22"/>
        </w:rPr>
        <w:t>,</w:t>
      </w:r>
      <w:r>
        <w:rPr>
          <w:rStyle w:val="FootnoteReference"/>
        </w:rPr>
        <w:footnoteReference w:id="3"/>
      </w:r>
      <w:r w:rsidRPr="000E233F">
        <w:rPr>
          <w:szCs w:val="22"/>
        </w:rPr>
        <w:t xml:space="preserve"> the Commission allocated budgets of $504.7 million in Stage 2 fixed support to the Commonwealth of Puerto Rico and $186.5 million in Stage 2 fixed support to the U.S. Virgin Islands over a 10-year period.  The Stage 2 competitive proposal process will award support based on the weighting of three criteria: (1) price per location; (2) network performance, including speed, latency, and usage allowance; and (3) network resilience and redundancy.  An applicant must timely and properly file </w:t>
      </w:r>
      <w:r>
        <w:rPr>
          <w:szCs w:val="22"/>
        </w:rPr>
        <w:t>the</w:t>
      </w:r>
      <w:r w:rsidRPr="000E233F">
        <w:rPr>
          <w:szCs w:val="22"/>
        </w:rPr>
        <w:t xml:space="preserve"> </w:t>
      </w:r>
      <w:r>
        <w:rPr>
          <w:szCs w:val="22"/>
        </w:rPr>
        <w:t xml:space="preserve">FCC </w:t>
      </w:r>
      <w:r w:rsidRPr="000E233F">
        <w:rPr>
          <w:szCs w:val="22"/>
        </w:rPr>
        <w:t xml:space="preserve">Form 5634 </w:t>
      </w:r>
      <w:r>
        <w:rPr>
          <w:szCs w:val="22"/>
        </w:rPr>
        <w:t xml:space="preserve">application form and all required materials </w:t>
      </w:r>
      <w:r w:rsidRPr="000E233F">
        <w:rPr>
          <w:szCs w:val="22"/>
        </w:rPr>
        <w:t>to be considered a participant in the Stage 2 competitive process for support in the Territories.</w:t>
      </w:r>
      <w:r>
        <w:rPr>
          <w:rStyle w:val="FootnoteReference"/>
          <w:szCs w:val="22"/>
        </w:rPr>
        <w:footnoteReference w:id="4"/>
      </w:r>
      <w:r w:rsidRPr="000E233F">
        <w:rPr>
          <w:szCs w:val="22"/>
        </w:rPr>
        <w:t xml:space="preserve">  An application to participate in the Stage 2 competitive process will provide </w:t>
      </w:r>
      <w:r>
        <w:rPr>
          <w:szCs w:val="22"/>
        </w:rPr>
        <w:t xml:space="preserve">to the Bureau </w:t>
      </w:r>
      <w:r w:rsidRPr="000E233F">
        <w:rPr>
          <w:szCs w:val="22"/>
        </w:rPr>
        <w:t>information used to determine whether the applicant has the legal, technical, and financial qualifications to participate in a Commission competition for universal service support.</w:t>
      </w:r>
      <w:r>
        <w:rPr>
          <w:szCs w:val="22"/>
          <w:vertAlign w:val="superscript"/>
        </w:rPr>
        <w:footnoteReference w:id="5"/>
      </w:r>
      <w:r>
        <w:rPr>
          <w:szCs w:val="22"/>
        </w:rPr>
        <w:t xml:space="preserve"> </w:t>
      </w:r>
    </w:p>
    <w:p w:rsidR="003E7DAE" w:rsidP="003E7DAE" w14:paraId="19532FAC" w14:textId="77777777">
      <w:pPr>
        <w:spacing w:after="120"/>
        <w:ind w:firstLine="720"/>
        <w:rPr>
          <w:sz w:val="24"/>
        </w:rPr>
      </w:pPr>
      <w:r>
        <w:rPr>
          <w:i/>
          <w:iCs/>
          <w:szCs w:val="22"/>
        </w:rPr>
        <w:t>Additional Information</w:t>
      </w:r>
      <w:r>
        <w:rPr>
          <w:szCs w:val="22"/>
        </w:rPr>
        <w:t xml:space="preserve">. </w:t>
      </w:r>
      <w:r w:rsidRPr="0026410D">
        <w:rPr>
          <w:szCs w:val="22"/>
        </w:rPr>
        <w:t xml:space="preserve">The Bureau encourages all potential applicants </w:t>
      </w:r>
      <w:r>
        <w:rPr>
          <w:szCs w:val="22"/>
        </w:rPr>
        <w:t xml:space="preserve">to </w:t>
      </w:r>
      <w:r w:rsidRPr="0026410D">
        <w:rPr>
          <w:szCs w:val="22"/>
        </w:rPr>
        <w:t xml:space="preserve">review all applicable program requirements and procedures as set forth in the Commission’s </w:t>
      </w:r>
      <w:r w:rsidRPr="000E233F">
        <w:rPr>
          <w:i/>
          <w:szCs w:val="22"/>
        </w:rPr>
        <w:t>PR-USVI Stage 2 Order</w:t>
      </w:r>
      <w:r w:rsidRPr="0026410D">
        <w:rPr>
          <w:szCs w:val="22"/>
        </w:rPr>
        <w:t xml:space="preserve"> and the Bureau’s subsequent Public Notices</w:t>
      </w:r>
      <w:r>
        <w:rPr>
          <w:szCs w:val="22"/>
        </w:rPr>
        <w:t xml:space="preserve">, </w:t>
      </w:r>
      <w:r w:rsidRPr="0026410D">
        <w:rPr>
          <w:szCs w:val="22"/>
        </w:rPr>
        <w:t>including</w:t>
      </w:r>
      <w:r>
        <w:rPr>
          <w:szCs w:val="22"/>
        </w:rPr>
        <w:t xml:space="preserve"> the application filing procedures released on February 5, 2020,</w:t>
      </w:r>
      <w:r>
        <w:rPr>
          <w:rStyle w:val="FootnoteReference"/>
          <w:szCs w:val="22"/>
        </w:rPr>
        <w:footnoteReference w:id="6"/>
      </w:r>
      <w:r>
        <w:rPr>
          <w:szCs w:val="22"/>
        </w:rPr>
        <w:t xml:space="preserve"> </w:t>
      </w:r>
      <w:r w:rsidRPr="0026410D">
        <w:rPr>
          <w:szCs w:val="22"/>
        </w:rPr>
        <w:t xml:space="preserve">for compliance with the program’s requirements. </w:t>
      </w:r>
      <w:r>
        <w:rPr>
          <w:szCs w:val="22"/>
        </w:rPr>
        <w:t xml:space="preserve"> In addition, the Bureau has made available information on the </w:t>
      </w:r>
      <w:r w:rsidRPr="00494A82">
        <w:rPr>
          <w:szCs w:val="22"/>
        </w:rPr>
        <w:t>Uniendo</w:t>
      </w:r>
      <w:r w:rsidRPr="00494A82">
        <w:rPr>
          <w:szCs w:val="22"/>
        </w:rPr>
        <w:t xml:space="preserve"> a Puerto Rico and Connect USVI Fund Stage 2</w:t>
      </w:r>
      <w:r>
        <w:rPr>
          <w:szCs w:val="22"/>
        </w:rPr>
        <w:t xml:space="preserve"> webpage</w:t>
      </w:r>
      <w:r w:rsidRPr="00C62A11">
        <w:rPr>
          <w:szCs w:val="22"/>
        </w:rPr>
        <w:t xml:space="preserve"> </w:t>
      </w:r>
      <w:r>
        <w:rPr>
          <w:szCs w:val="22"/>
        </w:rPr>
        <w:t xml:space="preserve">to assist interested parties in preparing and submitting timely and properly filed applications: </w:t>
      </w:r>
      <w:hyperlink r:id="rId5" w:history="1">
        <w:r>
          <w:rPr>
            <w:rStyle w:val="Hyperlink"/>
          </w:rPr>
          <w:t>https://www.fcc.gov/uniendo-puerto-rico-and-connect-usvi-fund-stage-2</w:t>
        </w:r>
      </w:hyperlink>
      <w:r>
        <w:rPr>
          <w:szCs w:val="22"/>
        </w:rPr>
        <w:t xml:space="preserve">. </w:t>
      </w:r>
    </w:p>
    <w:p w:rsidR="003E7DAE" w:rsidP="003E7DAE" w14:paraId="2758AAEF" w14:textId="77777777">
      <w:pPr>
        <w:keepNext/>
        <w:keepLines/>
        <w:widowControl/>
        <w:spacing w:after="120"/>
        <w:ind w:firstLine="720"/>
        <w:rPr>
          <w:szCs w:val="22"/>
        </w:rPr>
      </w:pPr>
      <w:r>
        <w:rPr>
          <w:szCs w:val="22"/>
        </w:rPr>
        <w:t>For additional information, contact Dangkhoa Nguyen (</w:t>
      </w:r>
      <w:hyperlink r:id="rId6" w:history="1">
        <w:r w:rsidRPr="001218F4">
          <w:rPr>
            <w:rStyle w:val="Hyperlink"/>
            <w:szCs w:val="22"/>
          </w:rPr>
          <w:t>Dangkhoa.Nguyen@fcc.gov</w:t>
        </w:r>
      </w:hyperlink>
      <w:r>
        <w:rPr>
          <w:szCs w:val="22"/>
        </w:rPr>
        <w:t>) an</w:t>
      </w:r>
      <w:bookmarkStart w:id="1" w:name="_GoBack"/>
      <w:bookmarkEnd w:id="1"/>
      <w:r>
        <w:rPr>
          <w:szCs w:val="22"/>
        </w:rPr>
        <w:t>d/or Christian Hoefly (</w:t>
      </w:r>
      <w:hyperlink r:id="rId7" w:history="1">
        <w:r w:rsidRPr="00AA1663">
          <w:rPr>
            <w:rStyle w:val="Hyperlink"/>
            <w:szCs w:val="22"/>
          </w:rPr>
          <w:t>Christian.Hoefly@fcc.gov</w:t>
        </w:r>
      </w:hyperlink>
      <w:r>
        <w:rPr>
          <w:szCs w:val="22"/>
        </w:rPr>
        <w:t>) of the Wireline Competition Bureau, Telecommunications Access Policy Division.</w:t>
      </w:r>
    </w:p>
    <w:p w:rsidR="003E7DAE" w:rsidRPr="00CD1F16" w:rsidP="003E7DAE" w14:paraId="0FA25750" w14:textId="77777777">
      <w:pPr>
        <w:keepNext/>
        <w:keepLines/>
        <w:widowControl/>
        <w:spacing w:after="120"/>
        <w:jc w:val="center"/>
        <w:rPr>
          <w:b/>
          <w:szCs w:val="22"/>
        </w:rPr>
      </w:pPr>
      <w:r>
        <w:rPr>
          <w:b/>
          <w:szCs w:val="22"/>
        </w:rPr>
        <w:t>– FCC –</w:t>
      </w:r>
    </w:p>
    <w:p w:rsidR="00F96F63" w:rsidRPr="00930ECF" w:rsidP="00F96F63" w14:paraId="2941BB64" w14:textId="77777777">
      <w:pPr>
        <w:rPr>
          <w:sz w:val="24"/>
        </w:rPr>
      </w:pPr>
    </w:p>
    <w:bookmarkEnd w:id="0"/>
    <w:p w:rsidR="00F96F63" w:rsidP="00F96F63" w14:paraId="59BEBB6D" w14:textId="77777777">
      <w:pPr>
        <w:rPr>
          <w:sz w:val="24"/>
        </w:rPr>
      </w:pPr>
    </w:p>
    <w:p w:rsidR="00930ECF" w:rsidRPr="00930ECF" w:rsidP="00F96F63" w14:paraId="0529251C" w14:textId="77777777">
      <w:pPr>
        <w:rPr>
          <w:sz w:val="24"/>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440A7DD"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F746B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5B370E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692765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E7DAE" w14:paraId="168154DA" w14:textId="77777777">
      <w:r>
        <w:separator/>
      </w:r>
    </w:p>
  </w:footnote>
  <w:footnote w:type="continuationSeparator" w:id="1">
    <w:p w:rsidR="003E7DAE" w14:paraId="0B9A35D6" w14:textId="77777777">
      <w:pPr>
        <w:rPr>
          <w:sz w:val="20"/>
        </w:rPr>
      </w:pPr>
      <w:r>
        <w:rPr>
          <w:sz w:val="20"/>
        </w:rPr>
        <w:t xml:space="preserve">(Continued from previous page)  </w:t>
      </w:r>
      <w:r>
        <w:rPr>
          <w:sz w:val="20"/>
        </w:rPr>
        <w:separator/>
      </w:r>
    </w:p>
  </w:footnote>
  <w:footnote w:type="continuationNotice" w:id="2">
    <w:p w:rsidR="003E7DAE" w:rsidP="00910F12" w14:paraId="2277853D" w14:textId="77777777">
      <w:pPr>
        <w:jc w:val="right"/>
        <w:rPr>
          <w:sz w:val="20"/>
        </w:rPr>
      </w:pPr>
      <w:r>
        <w:rPr>
          <w:sz w:val="20"/>
        </w:rPr>
        <w:t>(continued….)</w:t>
      </w:r>
    </w:p>
  </w:footnote>
  <w:footnote w:id="3">
    <w:p w:rsidR="003E7DAE" w:rsidP="003E7DAE" w14:paraId="61FC4C49" w14:textId="77777777">
      <w:pPr>
        <w:pStyle w:val="FootnoteText"/>
      </w:pPr>
      <w:r>
        <w:rPr>
          <w:rStyle w:val="FootnoteReference"/>
        </w:rPr>
        <w:footnoteRef/>
      </w:r>
      <w:r>
        <w:t xml:space="preserve">  </w:t>
      </w:r>
      <w:r w:rsidRPr="008F7E38">
        <w:rPr>
          <w:i/>
          <w:iCs/>
        </w:rPr>
        <w:t xml:space="preserve">The </w:t>
      </w:r>
      <w:r w:rsidRPr="008F7E38">
        <w:rPr>
          <w:i/>
          <w:iCs/>
        </w:rPr>
        <w:t>Uniendo</w:t>
      </w:r>
      <w:r w:rsidRPr="008F7E38">
        <w:rPr>
          <w:i/>
          <w:iCs/>
        </w:rPr>
        <w:t xml:space="preserve"> a Puerto Rico Fund and the Connect USVI Fund</w:t>
      </w:r>
      <w:r>
        <w:t xml:space="preserve">, Order, WC Dockets Nos. 18-143 et al., 34 FCC Rcd 9109 (Sept. 30, 2019) </w:t>
      </w:r>
      <w:r>
        <w:rPr>
          <w:i/>
          <w:iCs/>
        </w:rPr>
        <w:t>available at</w:t>
      </w:r>
      <w:r>
        <w:t xml:space="preserve"> </w:t>
      </w:r>
      <w:hyperlink r:id="rId1" w:history="1">
        <w:r w:rsidRPr="00AA1663">
          <w:rPr>
            <w:rStyle w:val="Hyperlink"/>
          </w:rPr>
          <w:t>https://www.fcc.gov/document/fcc-invests-950-million-improve-broadband-puerto-rico-usvi-0</w:t>
        </w:r>
      </w:hyperlink>
      <w:r>
        <w:t xml:space="preserve"> (</w:t>
      </w:r>
      <w:r w:rsidRPr="000E233F">
        <w:rPr>
          <w:i/>
          <w:szCs w:val="22"/>
        </w:rPr>
        <w:t>PR-USVI Stage 2 Order</w:t>
      </w:r>
      <w:r>
        <w:rPr>
          <w:iCs/>
          <w:szCs w:val="22"/>
        </w:rPr>
        <w:t>)</w:t>
      </w:r>
      <w:r>
        <w:t>.</w:t>
      </w:r>
    </w:p>
  </w:footnote>
  <w:footnote w:id="4">
    <w:p w:rsidR="003E7DAE" w:rsidP="003E7DAE" w14:paraId="27077D83" w14:textId="77777777">
      <w:pPr>
        <w:pStyle w:val="FootnoteText"/>
      </w:pPr>
      <w:r>
        <w:rPr>
          <w:rStyle w:val="FootnoteReference"/>
        </w:rPr>
        <w:footnoteRef/>
      </w:r>
      <w:r>
        <w:t xml:space="preserve"> Included as attachments to this Public Notice are the FCC Form 5634 application form for the Stage 2 competitive process, FCC Form 5634 application instructions, and the FCC Form 5634 Schedule B Microsoft Excel Template.</w:t>
      </w:r>
    </w:p>
  </w:footnote>
  <w:footnote w:id="5">
    <w:p w:rsidR="003E7DAE" w:rsidP="003E7DAE" w14:paraId="6566E121" w14:textId="77777777">
      <w:pPr>
        <w:pStyle w:val="FootnoteText"/>
      </w:pPr>
      <w:r>
        <w:rPr>
          <w:rStyle w:val="FootnoteReference"/>
        </w:rPr>
        <w:footnoteRef/>
      </w:r>
      <w:r>
        <w:t xml:space="preserve"> 47 CFR §§ 1.21001, 54.1501-1515.</w:t>
      </w:r>
    </w:p>
  </w:footnote>
  <w:footnote w:id="6">
    <w:p w:rsidR="003E7DAE" w:rsidRPr="00494A82" w:rsidP="003E7DAE" w14:paraId="36D7A753" w14:textId="77777777">
      <w:pPr>
        <w:pStyle w:val="FootnoteText"/>
      </w:pPr>
      <w:r>
        <w:rPr>
          <w:rStyle w:val="FootnoteReference"/>
        </w:rPr>
        <w:footnoteRef/>
      </w:r>
      <w:r>
        <w:t xml:space="preserve"> </w:t>
      </w:r>
      <w:r w:rsidRPr="00FA362E">
        <w:rPr>
          <w:i/>
          <w:iCs/>
        </w:rPr>
        <w:t>Uniendo</w:t>
      </w:r>
      <w:r w:rsidRPr="00FA362E">
        <w:rPr>
          <w:i/>
          <w:iCs/>
        </w:rPr>
        <w:t xml:space="preserve"> A Puerto Rico Fund and Connect USVI Fund Notice and Filing Requirements and Other Procedures for Stage 2 Fixed Competitive Proposal Process</w:t>
      </w:r>
      <w:r>
        <w:t xml:space="preserve">, Public Notice, WC Dockets Nos. 18-143 et al., 35 FCC Rcd 218 (Feb. 5, 2020) </w:t>
      </w:r>
      <w:r>
        <w:rPr>
          <w:i/>
          <w:iCs/>
        </w:rPr>
        <w:t>available at</w:t>
      </w:r>
      <w:r>
        <w:t xml:space="preserve"> </w:t>
      </w:r>
      <w:hyperlink r:id="rId2" w:history="1">
        <w:r>
          <w:rPr>
            <w:rStyle w:val="Hyperlink"/>
          </w:rPr>
          <w:t>https://www.fcc.gov/document/uniendo-puerto-rico-fund-and-connect-usvi-fund-procedures-pn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2D3B39B" w14:textId="34B94786">
    <w:pPr>
      <w:tabs>
        <w:tab w:val="center" w:pos="4680"/>
        <w:tab w:val="right" w:pos="9360"/>
      </w:tabs>
    </w:pPr>
    <w:r w:rsidRPr="009838BC">
      <w:rPr>
        <w:b/>
      </w:rPr>
      <w:tab/>
      <w:t>Federal Communications Commission</w:t>
    </w:r>
    <w:r w:rsidRPr="009838BC">
      <w:rPr>
        <w:b/>
      </w:rPr>
      <w:tab/>
    </w:r>
    <w:r w:rsidR="003E7DAE">
      <w:rPr>
        <w:b/>
      </w:rPr>
      <w:t>DA 20-844</w:t>
    </w:r>
  </w:p>
  <w:p w:rsidR="009838BC" w:rsidRPr="009838BC" w:rsidP="009838BC" w14:paraId="5E9DED84"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BADC13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B993C8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D99C104" w14:textId="77777777">
                <w:pPr>
                  <w:rPr>
                    <w:rFonts w:ascii="Arial" w:hAnsi="Arial"/>
                    <w:b/>
                  </w:rPr>
                </w:pPr>
                <w:r>
                  <w:rPr>
                    <w:rFonts w:ascii="Arial" w:hAnsi="Arial"/>
                    <w:b/>
                  </w:rPr>
                  <w:t>Federal Communications Commission</w:t>
                </w:r>
              </w:p>
              <w:p w:rsidR="009838BC" w:rsidP="009838BC" w14:paraId="3E8EAD4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029ACD06"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70B398A6"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3A6BB752" w14:textId="77777777">
                <w:pPr>
                  <w:spacing w:before="40"/>
                  <w:jc w:val="right"/>
                  <w:rPr>
                    <w:rFonts w:ascii="Arial" w:hAnsi="Arial"/>
                    <w:b/>
                    <w:sz w:val="16"/>
                  </w:rPr>
                </w:pPr>
                <w:r>
                  <w:rPr>
                    <w:rFonts w:ascii="Arial" w:hAnsi="Arial"/>
                    <w:b/>
                    <w:sz w:val="16"/>
                  </w:rPr>
                  <w:t>News Media Information 202 / 418-0500</w:t>
                </w:r>
              </w:p>
              <w:p w:rsidR="009838BC" w:rsidP="009838BC" w14:paraId="5164942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1A938E42" w14:textId="77777777">
                <w:pPr>
                  <w:jc w:val="right"/>
                </w:pPr>
                <w:r>
                  <w:rPr>
                    <w:rFonts w:ascii="Arial" w:hAnsi="Arial"/>
                    <w:b/>
                    <w:sz w:val="16"/>
                  </w:rPr>
                  <w:t>TTY: 1-888-835-5322</w:t>
                </w:r>
              </w:p>
            </w:txbxContent>
          </v:textbox>
        </v:shape>
      </w:pict>
    </w:r>
  </w:p>
  <w:p w:rsidR="006F7393" w:rsidRPr="009838BC" w:rsidP="009838BC" w14:paraId="34F40C85"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AE"/>
    <w:rsid w:val="000072CE"/>
    <w:rsid w:val="00013A8B"/>
    <w:rsid w:val="00021445"/>
    <w:rsid w:val="00036039"/>
    <w:rsid w:val="00037F90"/>
    <w:rsid w:val="000875BF"/>
    <w:rsid w:val="00096D8C"/>
    <w:rsid w:val="000B1885"/>
    <w:rsid w:val="000C0B65"/>
    <w:rsid w:val="000E233F"/>
    <w:rsid w:val="000E3D42"/>
    <w:rsid w:val="000E5884"/>
    <w:rsid w:val="001218F4"/>
    <w:rsid w:val="00122BD5"/>
    <w:rsid w:val="001979D9"/>
    <w:rsid w:val="001D6BCF"/>
    <w:rsid w:val="001E01CA"/>
    <w:rsid w:val="002060D9"/>
    <w:rsid w:val="00226822"/>
    <w:rsid w:val="00260594"/>
    <w:rsid w:val="0026410D"/>
    <w:rsid w:val="00285017"/>
    <w:rsid w:val="002A2D2E"/>
    <w:rsid w:val="00343749"/>
    <w:rsid w:val="00357D50"/>
    <w:rsid w:val="003925DC"/>
    <w:rsid w:val="003B0550"/>
    <w:rsid w:val="003B694F"/>
    <w:rsid w:val="003E7DAE"/>
    <w:rsid w:val="003F171C"/>
    <w:rsid w:val="00412FC5"/>
    <w:rsid w:val="00422276"/>
    <w:rsid w:val="004242F1"/>
    <w:rsid w:val="00445A00"/>
    <w:rsid w:val="00451B0F"/>
    <w:rsid w:val="0046125F"/>
    <w:rsid w:val="00487524"/>
    <w:rsid w:val="00494A82"/>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815683"/>
    <w:rsid w:val="00822CE0"/>
    <w:rsid w:val="00837C62"/>
    <w:rsid w:val="00841AB1"/>
    <w:rsid w:val="008C22FD"/>
    <w:rsid w:val="008F7E38"/>
    <w:rsid w:val="00910F12"/>
    <w:rsid w:val="00926503"/>
    <w:rsid w:val="00930ECF"/>
    <w:rsid w:val="009838BC"/>
    <w:rsid w:val="00A45F4F"/>
    <w:rsid w:val="00A600A9"/>
    <w:rsid w:val="00A866AC"/>
    <w:rsid w:val="00AA1663"/>
    <w:rsid w:val="00AA55B7"/>
    <w:rsid w:val="00AA5B9E"/>
    <w:rsid w:val="00AB2407"/>
    <w:rsid w:val="00AB53DF"/>
    <w:rsid w:val="00B07E5C"/>
    <w:rsid w:val="00B20363"/>
    <w:rsid w:val="00B326E3"/>
    <w:rsid w:val="00B811F7"/>
    <w:rsid w:val="00BA5DC6"/>
    <w:rsid w:val="00BA6196"/>
    <w:rsid w:val="00BC6D8C"/>
    <w:rsid w:val="00C16AF2"/>
    <w:rsid w:val="00C34006"/>
    <w:rsid w:val="00C426B1"/>
    <w:rsid w:val="00C62A11"/>
    <w:rsid w:val="00C82B6B"/>
    <w:rsid w:val="00C90D6A"/>
    <w:rsid w:val="00CC72B6"/>
    <w:rsid w:val="00CD1F16"/>
    <w:rsid w:val="00D0218D"/>
    <w:rsid w:val="00D216CD"/>
    <w:rsid w:val="00DA2529"/>
    <w:rsid w:val="00DB130A"/>
    <w:rsid w:val="00DC10A1"/>
    <w:rsid w:val="00DC655F"/>
    <w:rsid w:val="00DD7EBD"/>
    <w:rsid w:val="00DF62B6"/>
    <w:rsid w:val="00E07225"/>
    <w:rsid w:val="00E155B7"/>
    <w:rsid w:val="00E5409F"/>
    <w:rsid w:val="00EC0185"/>
    <w:rsid w:val="00F021FA"/>
    <w:rsid w:val="00F57ACA"/>
    <w:rsid w:val="00F62E97"/>
    <w:rsid w:val="00F64209"/>
    <w:rsid w:val="00F93BF5"/>
    <w:rsid w:val="00F96F63"/>
    <w:rsid w:val="00FA36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D9B2210-EBAB-461C-B7CC-4461EA56A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AE"/>
    <w:pPr>
      <w:widowControl w:val="0"/>
    </w:pPr>
    <w:rPr>
      <w:snapToGrid w:val="0"/>
      <w:kern w:val="28"/>
      <w:sz w:val="22"/>
    </w:rPr>
  </w:style>
  <w:style w:type="paragraph" w:styleId="Heading1">
    <w:name w:val="heading 1"/>
    <w:basedOn w:val="Normal"/>
    <w:next w:val="ParaNum"/>
    <w:qFormat/>
    <w:rsid w:val="003E7DA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E7DAE"/>
    <w:pPr>
      <w:keepNext/>
      <w:numPr>
        <w:ilvl w:val="1"/>
        <w:numId w:val="3"/>
      </w:numPr>
      <w:spacing w:after="120"/>
      <w:outlineLvl w:val="1"/>
    </w:pPr>
    <w:rPr>
      <w:b/>
    </w:rPr>
  </w:style>
  <w:style w:type="paragraph" w:styleId="Heading3">
    <w:name w:val="heading 3"/>
    <w:basedOn w:val="Normal"/>
    <w:next w:val="ParaNum"/>
    <w:qFormat/>
    <w:rsid w:val="003E7DAE"/>
    <w:pPr>
      <w:keepNext/>
      <w:numPr>
        <w:ilvl w:val="2"/>
        <w:numId w:val="3"/>
      </w:numPr>
      <w:tabs>
        <w:tab w:val="left" w:pos="2160"/>
      </w:tabs>
      <w:spacing w:after="120"/>
      <w:outlineLvl w:val="2"/>
    </w:pPr>
    <w:rPr>
      <w:b/>
    </w:rPr>
  </w:style>
  <w:style w:type="paragraph" w:styleId="Heading4">
    <w:name w:val="heading 4"/>
    <w:basedOn w:val="Normal"/>
    <w:next w:val="ParaNum"/>
    <w:qFormat/>
    <w:rsid w:val="003E7DAE"/>
    <w:pPr>
      <w:keepNext/>
      <w:numPr>
        <w:ilvl w:val="3"/>
        <w:numId w:val="3"/>
      </w:numPr>
      <w:tabs>
        <w:tab w:val="left" w:pos="2880"/>
      </w:tabs>
      <w:spacing w:after="120"/>
      <w:outlineLvl w:val="3"/>
    </w:pPr>
    <w:rPr>
      <w:b/>
    </w:rPr>
  </w:style>
  <w:style w:type="paragraph" w:styleId="Heading5">
    <w:name w:val="heading 5"/>
    <w:basedOn w:val="Normal"/>
    <w:next w:val="ParaNum"/>
    <w:qFormat/>
    <w:rsid w:val="003E7DA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E7DAE"/>
    <w:pPr>
      <w:numPr>
        <w:ilvl w:val="5"/>
        <w:numId w:val="3"/>
      </w:numPr>
      <w:tabs>
        <w:tab w:val="left" w:pos="4320"/>
      </w:tabs>
      <w:spacing w:after="120"/>
      <w:outlineLvl w:val="5"/>
    </w:pPr>
    <w:rPr>
      <w:b/>
    </w:rPr>
  </w:style>
  <w:style w:type="paragraph" w:styleId="Heading7">
    <w:name w:val="heading 7"/>
    <w:basedOn w:val="Normal"/>
    <w:next w:val="ParaNum"/>
    <w:qFormat/>
    <w:rsid w:val="003E7DA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E7DA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E7DA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3E7DAE"/>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E7DAE"/>
  </w:style>
  <w:style w:type="paragraph" w:customStyle="1" w:styleId="ParaNum">
    <w:name w:val="ParaNum"/>
    <w:basedOn w:val="Normal"/>
    <w:rsid w:val="003E7DAE"/>
    <w:pPr>
      <w:numPr>
        <w:numId w:val="2"/>
      </w:numPr>
      <w:tabs>
        <w:tab w:val="clear" w:pos="1080"/>
        <w:tab w:val="num" w:pos="1440"/>
      </w:tabs>
      <w:spacing w:after="120"/>
    </w:pPr>
  </w:style>
  <w:style w:type="paragraph" w:styleId="EndnoteText">
    <w:name w:val="endnote text"/>
    <w:basedOn w:val="Normal"/>
    <w:semiHidden/>
    <w:rsid w:val="003E7DAE"/>
    <w:rPr>
      <w:sz w:val="20"/>
    </w:rPr>
  </w:style>
  <w:style w:type="character" w:styleId="EndnoteReference">
    <w:name w:val="endnote reference"/>
    <w:semiHidden/>
    <w:rsid w:val="003E7DAE"/>
    <w:rPr>
      <w:vertAlign w:val="superscript"/>
    </w:rPr>
  </w:style>
  <w:style w:type="paragraph" w:styleId="FootnoteText">
    <w:name w:val="footnote text"/>
    <w:aliases w:val="Footnote Text Char,Footnote Text Char Char,Footnote Text Char Char Char Char,Footnote Text Char1,Footnote Text Char2 Char Char2 Char2 Char Char,Footnote Text Char4 Char Char1 Char Char,Footnote Text Char5 Char,Footnote Text Char5 Char Char"/>
    <w:rsid w:val="003E7DAE"/>
    <w:pPr>
      <w:spacing w:after="120"/>
    </w:pPr>
  </w:style>
  <w:style w:type="character" w:styleId="FootnoteReference">
    <w:name w:val="footnote reference"/>
    <w:semiHidden/>
    <w:rsid w:val="003E7DAE"/>
    <w:rPr>
      <w:rFonts w:ascii="Times New Roman" w:hAnsi="Times New Roman"/>
      <w:dstrike w:val="0"/>
      <w:color w:val="auto"/>
      <w:sz w:val="22"/>
      <w:vertAlign w:val="superscript"/>
    </w:rPr>
  </w:style>
  <w:style w:type="paragraph" w:styleId="TOC1">
    <w:name w:val="toc 1"/>
    <w:basedOn w:val="Normal"/>
    <w:next w:val="Normal"/>
    <w:uiPriority w:val="39"/>
    <w:rsid w:val="003E7DA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E7DAE"/>
    <w:pPr>
      <w:tabs>
        <w:tab w:val="left" w:pos="720"/>
        <w:tab w:val="right" w:leader="dot" w:pos="9360"/>
      </w:tabs>
      <w:suppressAutoHyphens/>
      <w:ind w:left="720" w:right="720" w:hanging="360"/>
    </w:pPr>
    <w:rPr>
      <w:noProof/>
    </w:rPr>
  </w:style>
  <w:style w:type="paragraph" w:styleId="TOC3">
    <w:name w:val="toc 3"/>
    <w:basedOn w:val="Normal"/>
    <w:next w:val="Normal"/>
    <w:semiHidden/>
    <w:rsid w:val="003E7DA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E7DA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E7DA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E7DA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E7DA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E7DA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E7DA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E7DAE"/>
    <w:pPr>
      <w:tabs>
        <w:tab w:val="right" w:pos="9360"/>
      </w:tabs>
      <w:suppressAutoHyphens/>
    </w:pPr>
  </w:style>
  <w:style w:type="character" w:customStyle="1" w:styleId="EquationCaption">
    <w:name w:val="_Equation Caption"/>
    <w:rsid w:val="003E7DAE"/>
  </w:style>
  <w:style w:type="paragraph" w:styleId="Header">
    <w:name w:val="header"/>
    <w:basedOn w:val="Normal"/>
    <w:autoRedefine/>
    <w:rsid w:val="003E7DA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E7DAE"/>
    <w:pPr>
      <w:tabs>
        <w:tab w:val="center" w:pos="4320"/>
        <w:tab w:val="right" w:pos="8640"/>
      </w:tabs>
    </w:pPr>
  </w:style>
  <w:style w:type="character" w:styleId="PageNumber">
    <w:name w:val="page number"/>
    <w:basedOn w:val="DefaultParagraphFont"/>
    <w:rsid w:val="003E7DAE"/>
  </w:style>
  <w:style w:type="paragraph" w:styleId="BlockText">
    <w:name w:val="Block Text"/>
    <w:basedOn w:val="Normal"/>
    <w:rsid w:val="003E7DAE"/>
    <w:pPr>
      <w:spacing w:after="240"/>
      <w:ind w:left="1440" w:right="1440"/>
    </w:pPr>
  </w:style>
  <w:style w:type="paragraph" w:customStyle="1" w:styleId="Paratitle">
    <w:name w:val="Para title"/>
    <w:basedOn w:val="Normal"/>
    <w:rsid w:val="003E7DAE"/>
    <w:pPr>
      <w:tabs>
        <w:tab w:val="center" w:pos="9270"/>
      </w:tabs>
      <w:spacing w:after="240"/>
    </w:pPr>
    <w:rPr>
      <w:spacing w:val="-2"/>
    </w:rPr>
  </w:style>
  <w:style w:type="paragraph" w:customStyle="1" w:styleId="Bullet">
    <w:name w:val="Bullet"/>
    <w:basedOn w:val="Normal"/>
    <w:rsid w:val="003E7DAE"/>
    <w:pPr>
      <w:numPr>
        <w:numId w:val="1"/>
      </w:numPr>
      <w:tabs>
        <w:tab w:val="clear" w:pos="360"/>
        <w:tab w:val="left" w:pos="2160"/>
      </w:tabs>
      <w:spacing w:after="220"/>
      <w:ind w:left="2160" w:hanging="720"/>
    </w:pPr>
  </w:style>
  <w:style w:type="paragraph" w:customStyle="1" w:styleId="TableFormat">
    <w:name w:val="TableFormat"/>
    <w:basedOn w:val="Bullet"/>
    <w:rsid w:val="003E7DAE"/>
    <w:pPr>
      <w:numPr>
        <w:numId w:val="0"/>
      </w:numPr>
      <w:tabs>
        <w:tab w:val="clear" w:pos="2160"/>
        <w:tab w:val="left" w:pos="5040"/>
      </w:tabs>
      <w:ind w:left="5040" w:hanging="3600"/>
    </w:pPr>
  </w:style>
  <w:style w:type="paragraph" w:customStyle="1" w:styleId="TOCTitle">
    <w:name w:val="TOC Title"/>
    <w:basedOn w:val="Normal"/>
    <w:rsid w:val="003E7DA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E7DAE"/>
    <w:pPr>
      <w:jc w:val="center"/>
    </w:pPr>
    <w:rPr>
      <w:rFonts w:ascii="Times New Roman Bold" w:hAnsi="Times New Roman Bold"/>
      <w:b/>
      <w:bCs/>
      <w:caps/>
      <w:szCs w:val="22"/>
    </w:rPr>
  </w:style>
  <w:style w:type="character" w:styleId="Hyperlink">
    <w:name w:val="Hyperlink"/>
    <w:rsid w:val="003E7DAE"/>
    <w:rPr>
      <w:color w:val="0000FF"/>
      <w:u w:val="single"/>
    </w:rPr>
  </w:style>
  <w:style w:type="character" w:customStyle="1" w:styleId="FooterChar">
    <w:name w:val="Footer Char"/>
    <w:link w:val="Footer"/>
    <w:uiPriority w:val="99"/>
    <w:rsid w:val="003E7DA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uniendo-puerto-rico-and-connect-usvi-fund-stage-2" TargetMode="External" /><Relationship Id="rId6" Type="http://schemas.openxmlformats.org/officeDocument/2006/relationships/hyperlink" Target="mailto:Dangkhoa.Nguyen@fcc.gov" TargetMode="External" /><Relationship Id="rId7" Type="http://schemas.openxmlformats.org/officeDocument/2006/relationships/hyperlink" Target="mailto:Christian.Hoefly@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invests-950-million-improve-broadband-puerto-rico-usvi-0" TargetMode="External" /><Relationship Id="rId2" Type="http://schemas.openxmlformats.org/officeDocument/2006/relationships/hyperlink" Target="https://www.fcc.gov/document/uniendo-puerto-rico-fund-and-connect-usvi-fund-procedures-pn"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