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37FBA" w:rsidRPr="00137FBA" w:rsidP="00137FBA" w14:paraId="7A4E372D" w14:textId="77777777">
      <w:pPr>
        <w:jc w:val="center"/>
        <w:rPr>
          <w:b/>
        </w:rPr>
      </w:pPr>
      <w:r w:rsidRPr="00137FBA">
        <w:rPr>
          <w:rFonts w:ascii="Times New Roman Bold" w:hAnsi="Times New Roman Bold"/>
          <w:b/>
          <w:kern w:val="0"/>
          <w:szCs w:val="22"/>
        </w:rPr>
        <w:t>Before</w:t>
      </w:r>
      <w:r w:rsidRPr="00137FBA">
        <w:rPr>
          <w:b/>
        </w:rPr>
        <w:t xml:space="preserve"> the</w:t>
      </w:r>
    </w:p>
    <w:p w:rsidR="00137FBA" w:rsidRPr="00137FBA" w:rsidP="00137FBA" w14:paraId="25A7C23E" w14:textId="77777777">
      <w:pPr>
        <w:jc w:val="center"/>
        <w:rPr>
          <w:rFonts w:ascii="Times New Roman Bold" w:hAnsi="Times New Roman Bold"/>
          <w:b/>
          <w:bCs/>
          <w:caps/>
          <w:szCs w:val="22"/>
        </w:rPr>
      </w:pPr>
      <w:r w:rsidRPr="00137FBA">
        <w:rPr>
          <w:rFonts w:ascii="Times New Roman Bold" w:hAnsi="Times New Roman Bold"/>
          <w:b/>
          <w:bCs/>
          <w:caps/>
          <w:szCs w:val="22"/>
        </w:rPr>
        <w:t>F</w:t>
      </w:r>
      <w:r w:rsidRPr="00137FBA">
        <w:rPr>
          <w:rFonts w:ascii="Times New Roman Bold" w:hAnsi="Times New Roman Bold"/>
          <w:b/>
          <w:bCs/>
          <w:szCs w:val="22"/>
        </w:rPr>
        <w:t>ederal Communications Commission</w:t>
      </w:r>
    </w:p>
    <w:p w:rsidR="00137FBA" w:rsidRPr="00137FBA" w:rsidP="00137FBA" w14:paraId="2FD398F8" w14:textId="77777777">
      <w:pPr>
        <w:jc w:val="center"/>
        <w:rPr>
          <w:rFonts w:ascii="Times New Roman Bold" w:hAnsi="Times New Roman Bold"/>
          <w:b/>
          <w:bCs/>
          <w:caps/>
          <w:szCs w:val="22"/>
        </w:rPr>
      </w:pPr>
      <w:r w:rsidRPr="00137FBA">
        <w:rPr>
          <w:rFonts w:ascii="Times New Roman Bold" w:hAnsi="Times New Roman Bold"/>
          <w:b/>
          <w:bCs/>
          <w:szCs w:val="22"/>
        </w:rPr>
        <w:t>Washington, DC 20554</w:t>
      </w:r>
    </w:p>
    <w:p w:rsidR="00137FBA" w:rsidRPr="00137FBA" w:rsidP="00137FBA" w14:paraId="63A030C4" w14:textId="77777777"/>
    <w:tbl>
      <w:tblPr>
        <w:tblW w:w="0" w:type="auto"/>
        <w:tblLayout w:type="fixed"/>
        <w:tblLook w:val="04A0"/>
      </w:tblPr>
      <w:tblGrid>
        <w:gridCol w:w="4698"/>
        <w:gridCol w:w="630"/>
        <w:gridCol w:w="4248"/>
      </w:tblGrid>
      <w:tr w14:paraId="5E9767D1" w14:textId="77777777" w:rsidTr="0008392D">
        <w:tblPrEx>
          <w:tblW w:w="0" w:type="auto"/>
          <w:tblLayout w:type="fixed"/>
          <w:tblLook w:val="04A0"/>
        </w:tblPrEx>
        <w:tc>
          <w:tcPr>
            <w:tcW w:w="4698" w:type="dxa"/>
          </w:tcPr>
          <w:p w:rsidR="00137FBA" w:rsidRPr="00137FBA" w:rsidP="00137FBA" w14:paraId="137BC4C5" w14:textId="77777777">
            <w:pPr>
              <w:spacing w:line="256" w:lineRule="auto"/>
              <w:rPr>
                <w:bCs/>
              </w:rPr>
            </w:pPr>
            <w:r w:rsidRPr="00137FBA">
              <w:rPr>
                <w:bCs/>
              </w:rPr>
              <w:t>In the Matter of</w:t>
            </w:r>
          </w:p>
          <w:p w:rsidR="00137FBA" w:rsidRPr="00137FBA" w:rsidP="00137FBA" w14:paraId="0E386CD2" w14:textId="77777777">
            <w:pPr>
              <w:spacing w:line="256" w:lineRule="auto"/>
              <w:rPr>
                <w:bCs/>
              </w:rPr>
            </w:pPr>
          </w:p>
          <w:p w:rsidR="00137FBA" w:rsidRPr="00137FBA" w:rsidP="00137FBA" w14:paraId="25B3710F" w14:textId="77777777">
            <w:pPr>
              <w:spacing w:line="256" w:lineRule="auto"/>
              <w:rPr>
                <w:bCs/>
              </w:rPr>
            </w:pPr>
            <w:r w:rsidRPr="00137FBA">
              <w:rPr>
                <w:bCs/>
                <w:szCs w:val="22"/>
              </w:rPr>
              <w:t>Public Service Towers, Inc.</w:t>
            </w:r>
          </w:p>
        </w:tc>
        <w:tc>
          <w:tcPr>
            <w:tcW w:w="630" w:type="dxa"/>
          </w:tcPr>
          <w:p w:rsidR="00137FBA" w:rsidRPr="00137FBA" w:rsidP="00137FBA" w14:paraId="70050BD6" w14:textId="77777777">
            <w:pPr>
              <w:tabs>
                <w:tab w:val="center" w:pos="4680"/>
              </w:tabs>
              <w:suppressAutoHyphens/>
              <w:spacing w:line="256" w:lineRule="auto"/>
              <w:rPr>
                <w:b/>
                <w:spacing w:val="-2"/>
              </w:rPr>
            </w:pPr>
            <w:r w:rsidRPr="00137FBA">
              <w:rPr>
                <w:b/>
                <w:spacing w:val="-2"/>
              </w:rPr>
              <w:t>)</w:t>
            </w:r>
          </w:p>
          <w:p w:rsidR="00137FBA" w:rsidRPr="00137FBA" w:rsidP="00137FBA" w14:paraId="0CA40436" w14:textId="77777777">
            <w:pPr>
              <w:tabs>
                <w:tab w:val="center" w:pos="4680"/>
              </w:tabs>
              <w:suppressAutoHyphens/>
              <w:spacing w:line="256" w:lineRule="auto"/>
              <w:rPr>
                <w:b/>
                <w:spacing w:val="-2"/>
              </w:rPr>
            </w:pPr>
            <w:r w:rsidRPr="00137FBA">
              <w:rPr>
                <w:b/>
                <w:spacing w:val="-2"/>
              </w:rPr>
              <w:t>)</w:t>
            </w:r>
          </w:p>
          <w:p w:rsidR="00137FBA" w:rsidRPr="00137FBA" w:rsidP="00137FBA" w14:paraId="0B423BA6" w14:textId="77777777">
            <w:pPr>
              <w:tabs>
                <w:tab w:val="center" w:pos="4680"/>
              </w:tabs>
              <w:suppressAutoHyphens/>
              <w:spacing w:line="256" w:lineRule="auto"/>
              <w:rPr>
                <w:b/>
                <w:spacing w:val="-2"/>
              </w:rPr>
            </w:pPr>
            <w:r w:rsidRPr="00137FBA">
              <w:rPr>
                <w:b/>
                <w:spacing w:val="-2"/>
              </w:rPr>
              <w:t>)</w:t>
            </w:r>
          </w:p>
          <w:p w:rsidR="00137FBA" w:rsidRPr="00137FBA" w:rsidP="00137FBA" w14:paraId="06F71358" w14:textId="77777777">
            <w:pPr>
              <w:tabs>
                <w:tab w:val="center" w:pos="4680"/>
              </w:tabs>
              <w:suppressAutoHyphens/>
              <w:spacing w:line="256" w:lineRule="auto"/>
              <w:rPr>
                <w:b/>
                <w:spacing w:val="-2"/>
              </w:rPr>
            </w:pPr>
            <w:r w:rsidRPr="00137FBA">
              <w:rPr>
                <w:b/>
                <w:spacing w:val="-2"/>
              </w:rPr>
              <w:t>)</w:t>
            </w:r>
          </w:p>
          <w:p w:rsidR="00137FBA" w:rsidRPr="00137FBA" w:rsidP="00137FBA" w14:paraId="4FADC7BF" w14:textId="77777777">
            <w:pPr>
              <w:tabs>
                <w:tab w:val="center" w:pos="4680"/>
              </w:tabs>
              <w:suppressAutoHyphens/>
              <w:spacing w:line="256" w:lineRule="auto"/>
              <w:rPr>
                <w:b/>
                <w:spacing w:val="-2"/>
              </w:rPr>
            </w:pPr>
            <w:r w:rsidRPr="00137FBA">
              <w:rPr>
                <w:b/>
                <w:spacing w:val="-2"/>
              </w:rPr>
              <w:t>)</w:t>
            </w:r>
          </w:p>
          <w:p w:rsidR="00137FBA" w:rsidRPr="00137FBA" w:rsidP="00137FBA" w14:paraId="58D4CDBE" w14:textId="77777777">
            <w:pPr>
              <w:tabs>
                <w:tab w:val="center" w:pos="4680"/>
              </w:tabs>
              <w:suppressAutoHyphens/>
              <w:spacing w:line="256" w:lineRule="auto"/>
              <w:rPr>
                <w:b/>
                <w:spacing w:val="-2"/>
              </w:rPr>
            </w:pPr>
          </w:p>
        </w:tc>
        <w:tc>
          <w:tcPr>
            <w:tcW w:w="4248" w:type="dxa"/>
          </w:tcPr>
          <w:p w:rsidR="00137FBA" w:rsidRPr="00137FBA" w:rsidP="00137FBA" w14:paraId="76E5C651" w14:textId="77777777">
            <w:pPr>
              <w:tabs>
                <w:tab w:val="center" w:pos="4680"/>
              </w:tabs>
              <w:suppressAutoHyphens/>
              <w:spacing w:line="256" w:lineRule="auto"/>
              <w:ind w:left="432"/>
              <w:rPr>
                <w:bCs/>
                <w:spacing w:val="-2"/>
                <w:szCs w:val="22"/>
              </w:rPr>
            </w:pPr>
          </w:p>
          <w:p w:rsidR="00137FBA" w:rsidRPr="00137FBA" w:rsidP="00137FBA" w14:paraId="67F5F886" w14:textId="77777777">
            <w:pPr>
              <w:spacing w:line="256" w:lineRule="auto"/>
              <w:ind w:left="432"/>
              <w:rPr>
                <w:bCs/>
                <w:spacing w:val="-2"/>
                <w:szCs w:val="22"/>
              </w:rPr>
            </w:pPr>
            <w:r w:rsidRPr="00137FBA">
              <w:rPr>
                <w:bCs/>
                <w:spacing w:val="-2"/>
                <w:szCs w:val="22"/>
              </w:rPr>
              <w:t xml:space="preserve">File No.:  </w:t>
            </w:r>
            <w:r w:rsidRPr="00137FBA">
              <w:t>EB-SED-19-00029453</w:t>
            </w:r>
          </w:p>
          <w:p w:rsidR="00137FBA" w:rsidRPr="00137FBA" w:rsidP="00137FBA" w14:paraId="624C2A7C" w14:textId="5E00C18D">
            <w:pPr>
              <w:spacing w:line="256" w:lineRule="auto"/>
              <w:ind w:left="432"/>
              <w:rPr>
                <w:bCs/>
                <w:spacing w:val="-2"/>
                <w:szCs w:val="22"/>
              </w:rPr>
            </w:pPr>
            <w:r w:rsidRPr="00137FBA">
              <w:rPr>
                <w:bCs/>
                <w:spacing w:val="-2"/>
                <w:szCs w:val="22"/>
              </w:rPr>
              <w:t xml:space="preserve">Acct. </w:t>
            </w:r>
            <w:r w:rsidRPr="00B610DE">
              <w:rPr>
                <w:bCs/>
                <w:spacing w:val="-2"/>
                <w:szCs w:val="22"/>
              </w:rPr>
              <w:t xml:space="preserve">No.: </w:t>
            </w:r>
            <w:r w:rsidRPr="00B610DE" w:rsidR="00B610DE">
              <w:rPr>
                <w:spacing w:val="-2"/>
                <w:szCs w:val="22"/>
              </w:rPr>
              <w:t xml:space="preserve"> </w:t>
            </w:r>
            <w:r w:rsidRPr="00B610DE" w:rsidR="00B610DE">
              <w:rPr>
                <w:szCs w:val="22"/>
                <w:shd w:val="clear" w:color="auto" w:fill="FFFFFF"/>
              </w:rPr>
              <w:t>202032100007</w:t>
            </w:r>
          </w:p>
          <w:p w:rsidR="00137FBA" w:rsidRPr="00137FBA" w:rsidP="00137FBA" w14:paraId="1F06AFEA" w14:textId="77777777">
            <w:pPr>
              <w:spacing w:line="256" w:lineRule="auto"/>
              <w:ind w:left="432"/>
              <w:rPr>
                <w:bCs/>
                <w:spacing w:val="-2"/>
              </w:rPr>
            </w:pPr>
            <w:r w:rsidRPr="00137FBA">
              <w:rPr>
                <w:bCs/>
                <w:szCs w:val="22"/>
              </w:rPr>
              <w:t xml:space="preserve">FRN:  </w:t>
            </w:r>
            <w:r w:rsidRPr="00137FBA">
              <w:rPr>
                <w:rFonts w:ascii="TimesNewRomanPSMT" w:hAnsi="TimesNewRomanPSMT" w:eastAsiaTheme="minorHAnsi" w:cs="TimesNewRomanPSMT"/>
                <w:bCs/>
                <w:kern w:val="0"/>
                <w:sz w:val="24"/>
                <w:szCs w:val="24"/>
              </w:rPr>
              <w:t>0008295354</w:t>
            </w:r>
          </w:p>
        </w:tc>
      </w:tr>
    </w:tbl>
    <w:p w:rsidR="00137FBA" w:rsidRPr="00137FBA" w:rsidP="00137FBA" w14:paraId="7176A586" w14:textId="77777777">
      <w:pPr>
        <w:jc w:val="center"/>
        <w:outlineLvl w:val="0"/>
        <w:rPr>
          <w:b/>
          <w:szCs w:val="22"/>
        </w:rPr>
      </w:pPr>
      <w:r w:rsidRPr="00137FBA">
        <w:rPr>
          <w:b/>
          <w:szCs w:val="22"/>
        </w:rPr>
        <w:t>ORDER</w:t>
      </w:r>
    </w:p>
    <w:p w:rsidR="00137FBA" w:rsidRPr="00137FBA" w:rsidP="00137FBA" w14:paraId="6FB8F565" w14:textId="77777777">
      <w:pPr>
        <w:tabs>
          <w:tab w:val="left" w:pos="-720"/>
        </w:tabs>
        <w:suppressAutoHyphens/>
        <w:spacing w:line="223" w:lineRule="auto"/>
        <w:rPr>
          <w:spacing w:val="-2"/>
        </w:rPr>
      </w:pPr>
    </w:p>
    <w:p w:rsidR="00137FBA" w:rsidRPr="00137FBA" w:rsidP="00137FBA" w14:paraId="25AB1D4D" w14:textId="7950A4B5">
      <w:pPr>
        <w:tabs>
          <w:tab w:val="left" w:pos="720"/>
          <w:tab w:val="right" w:pos="9360"/>
        </w:tabs>
        <w:suppressAutoHyphens/>
        <w:spacing w:line="223" w:lineRule="auto"/>
        <w:rPr>
          <w:spacing w:val="-2"/>
        </w:rPr>
      </w:pPr>
      <w:r w:rsidRPr="00137FBA">
        <w:rPr>
          <w:b/>
          <w:spacing w:val="-2"/>
        </w:rPr>
        <w:t xml:space="preserve">Adopted:  </w:t>
      </w:r>
      <w:r w:rsidR="00674366">
        <w:rPr>
          <w:b/>
          <w:spacing w:val="-2"/>
        </w:rPr>
        <w:t>August 14, 2020</w:t>
      </w:r>
      <w:r w:rsidRPr="00137FBA">
        <w:rPr>
          <w:b/>
          <w:spacing w:val="-2"/>
        </w:rPr>
        <w:tab/>
        <w:t xml:space="preserve">Released:  </w:t>
      </w:r>
      <w:r w:rsidR="00674366">
        <w:rPr>
          <w:b/>
          <w:spacing w:val="-2"/>
        </w:rPr>
        <w:t>August 14, 2020</w:t>
      </w:r>
      <w:bookmarkStart w:id="0" w:name="_GoBack"/>
      <w:bookmarkEnd w:id="0"/>
    </w:p>
    <w:p w:rsidR="00137FBA" w:rsidRPr="00137FBA" w:rsidP="00137FBA" w14:paraId="308FE552" w14:textId="77777777"/>
    <w:p w:rsidR="00137FBA" w:rsidRPr="00137FBA" w:rsidP="00137FBA" w14:paraId="1B5D462B" w14:textId="77777777">
      <w:pPr>
        <w:rPr>
          <w:spacing w:val="-2"/>
        </w:rPr>
      </w:pPr>
      <w:r w:rsidRPr="00137FBA">
        <w:rPr>
          <w:spacing w:val="-2"/>
          <w:szCs w:val="22"/>
        </w:rPr>
        <w:t>By the Deputy Chief, Enforcement Bureau:</w:t>
      </w:r>
    </w:p>
    <w:p w:rsidR="00137FBA" w:rsidRPr="00137FBA" w:rsidP="00137FBA" w14:paraId="6459AF1E" w14:textId="77777777"/>
    <w:p w:rsidR="00137FBA" w:rsidRPr="00137FBA" w:rsidP="00137FBA" w14:paraId="5FA00762" w14:textId="3730208D">
      <w:pPr>
        <w:keepLines/>
        <w:widowControl/>
        <w:numPr>
          <w:ilvl w:val="0"/>
          <w:numId w:val="3"/>
        </w:numPr>
        <w:tabs>
          <w:tab w:val="left" w:pos="1440"/>
        </w:tabs>
        <w:spacing w:after="120" w:line="259" w:lineRule="auto"/>
      </w:pPr>
      <w:r w:rsidRPr="00137FBA">
        <w:rPr>
          <w:szCs w:val="22"/>
        </w:rPr>
        <w:t xml:space="preserve">The Federal Communications Commission (Commission) takes seriously its role in preserving the environment and historic properties.  As such, before starting construction of certain wireless facilities, licensees or applicants for a Commission authorization must first assess whether the facility may have a </w:t>
      </w:r>
      <w:r w:rsidRPr="00137FBA">
        <w:t>significant impact on the environment or historic properties.</w:t>
      </w:r>
      <w:r>
        <w:rPr>
          <w:sz w:val="20"/>
          <w:vertAlign w:val="superscript"/>
        </w:rPr>
        <w:footnoteReference w:id="2"/>
      </w:r>
      <w:r w:rsidRPr="00137FBA">
        <w:t xml:space="preserve">  Commission rules also direct these entities to coordinate with relevant </w:t>
      </w:r>
      <w:r w:rsidR="009E230A">
        <w:t>s</w:t>
      </w:r>
      <w:r w:rsidRPr="00137FBA">
        <w:t xml:space="preserve">tate </w:t>
      </w:r>
      <w:r w:rsidR="00644337">
        <w:t xml:space="preserve">and </w:t>
      </w:r>
      <w:r w:rsidR="009E230A">
        <w:t>f</w:t>
      </w:r>
      <w:r w:rsidR="00644337">
        <w:t xml:space="preserve">ederal government offices </w:t>
      </w:r>
      <w:r w:rsidRPr="00137FBA">
        <w:t xml:space="preserve">and </w:t>
      </w:r>
      <w:r w:rsidR="004A6843">
        <w:t>t</w:t>
      </w:r>
      <w:r w:rsidRPr="00137FBA">
        <w:t xml:space="preserve">ribal </w:t>
      </w:r>
      <w:r w:rsidR="00FB24C5">
        <w:t>n</w:t>
      </w:r>
      <w:r w:rsidRPr="00137FBA">
        <w:t xml:space="preserve">ations.  These requirements promote the nationwide deployment of wireless facilities while </w:t>
      </w:r>
      <w:r w:rsidR="0002658B">
        <w:t>respecting</w:t>
      </w:r>
      <w:r w:rsidRPr="00137FBA">
        <w:t xml:space="preserve"> other important federal, state, and sovereign </w:t>
      </w:r>
      <w:r w:rsidR="004A6843">
        <w:t>t</w:t>
      </w:r>
      <w:r w:rsidRPr="00137FBA">
        <w:t xml:space="preserve">ribal interests.  Entities that unilaterally choose to begin construction of wireless facilities prior to completing Commission-required environmental and historic preservation reviews violate federal law and disrespect jurisdictional authorities.  </w:t>
      </w:r>
    </w:p>
    <w:p w:rsidR="00137FBA" w:rsidRPr="00137FBA" w:rsidP="00137FBA" w14:paraId="1948339D" w14:textId="35029873">
      <w:pPr>
        <w:keepLines/>
        <w:widowControl/>
        <w:numPr>
          <w:ilvl w:val="0"/>
          <w:numId w:val="3"/>
        </w:numPr>
        <w:tabs>
          <w:tab w:val="left" w:pos="1440"/>
        </w:tabs>
        <w:spacing w:after="120" w:line="259" w:lineRule="auto"/>
      </w:pPr>
      <w:r w:rsidRPr="00137FBA">
        <w:rPr>
          <w:szCs w:val="22"/>
        </w:rPr>
        <w:t>The Commission’s Enforcement Bureau (Bureau) has therefore entered into a Consent Decree to resolve the Bureau’s investigation into allegations that Public Service Towers, Inc. (</w:t>
      </w:r>
      <w:r w:rsidR="00B610DE">
        <w:rPr>
          <w:szCs w:val="22"/>
        </w:rPr>
        <w:t>PS Towers</w:t>
      </w:r>
      <w:r w:rsidRPr="00137FBA">
        <w:rPr>
          <w:szCs w:val="22"/>
        </w:rPr>
        <w:t xml:space="preserve">) constructed a wireless facility without </w:t>
      </w:r>
      <w:r w:rsidRPr="00137FBA">
        <w:rPr>
          <w:szCs w:val="24"/>
        </w:rPr>
        <w:t>complying with the Commission’s environmental and historic preservation rules, including rules implementing the National Environmental Policy Act of 1969 (NEPA) and the National Historic Preservation Act (NHPA</w:t>
      </w:r>
      <w:r w:rsidRPr="00137FBA">
        <w:t>).</w:t>
      </w:r>
      <w:r>
        <w:rPr>
          <w:sz w:val="20"/>
          <w:vertAlign w:val="superscript"/>
        </w:rPr>
        <w:footnoteReference w:id="3"/>
      </w:r>
      <w:r w:rsidRPr="00137FBA">
        <w:t xml:space="preserve">  </w:t>
      </w:r>
      <w:r w:rsidRPr="00137FBA">
        <w:rPr>
          <w:szCs w:val="22"/>
        </w:rPr>
        <w:t xml:space="preserve">To settle this matter, </w:t>
      </w:r>
      <w:r w:rsidR="00B610DE">
        <w:rPr>
          <w:szCs w:val="22"/>
        </w:rPr>
        <w:t>PS Towers</w:t>
      </w:r>
      <w:r w:rsidRPr="00137FBA">
        <w:rPr>
          <w:szCs w:val="22"/>
        </w:rPr>
        <w:t xml:space="preserve"> admits that it violated the Commission’s </w:t>
      </w:r>
      <w:r w:rsidRPr="00137FBA">
        <w:t>environmental and historic preservation</w:t>
      </w:r>
      <w:r w:rsidRPr="00137FBA">
        <w:rPr>
          <w:szCs w:val="22"/>
        </w:rPr>
        <w:t xml:space="preserve"> rules, </w:t>
      </w:r>
      <w:r w:rsidRPr="00137FBA">
        <w:t xml:space="preserve">will implement a robust compliance plan to ensure that it does not violate these rules in the future, and will pay a </w:t>
      </w:r>
      <w:r w:rsidR="009E230A">
        <w:t>$</w:t>
      </w:r>
      <w:r w:rsidR="00644337">
        <w:t>16,000</w:t>
      </w:r>
      <w:r w:rsidRPr="00137FBA">
        <w:t xml:space="preserve"> civil penalty.  This action will promote the Commission’s goals of protecting the environment and historic properties by ensuring that licensees or applicants conduct the requisite environmental and historic preservation review before starting construction of a proposed facility.</w:t>
      </w:r>
    </w:p>
    <w:p w:rsidR="00137FBA" w:rsidRPr="00137FBA" w:rsidP="00137FBA" w14:paraId="01F0CEED" w14:textId="3F9F4826">
      <w:pPr>
        <w:keepLines/>
        <w:widowControl/>
        <w:numPr>
          <w:ilvl w:val="0"/>
          <w:numId w:val="3"/>
        </w:numPr>
        <w:tabs>
          <w:tab w:val="left" w:pos="1440"/>
        </w:tabs>
        <w:spacing w:after="120" w:line="259" w:lineRule="auto"/>
        <w:rPr>
          <w:szCs w:val="22"/>
        </w:rPr>
      </w:pPr>
      <w:r w:rsidRPr="00137FBA">
        <w:rPr>
          <w:szCs w:val="22"/>
        </w:rPr>
        <w:t xml:space="preserve">After </w:t>
      </w:r>
      <w:r w:rsidRPr="00137FBA">
        <w:t xml:space="preserve">reviewing the terms of the Consent Decree and evaluating the facts before us, we find that the public interest would be served by adopting the Consent Decree and terminating the referenced investigation regarding </w:t>
      </w:r>
      <w:r w:rsidR="00B610DE">
        <w:t>PS Towers</w:t>
      </w:r>
      <w:r w:rsidRPr="00137FBA">
        <w:t xml:space="preserve">’s compliance with environmental protection and historic </w:t>
      </w:r>
      <w:r w:rsidRPr="00137FBA">
        <w:rPr>
          <w:szCs w:val="22"/>
        </w:rPr>
        <w:t>preservation</w:t>
      </w:r>
      <w:r w:rsidRPr="00137FBA">
        <w:t xml:space="preserve"> requirements found in NEPA and NHPA, and sections 1.1307 and 1.1312 of the Commission’s rules.</w:t>
      </w:r>
      <w:r>
        <w:rPr>
          <w:sz w:val="20"/>
          <w:szCs w:val="22"/>
          <w:vertAlign w:val="superscript"/>
        </w:rPr>
        <w:footnoteReference w:id="4"/>
      </w:r>
    </w:p>
    <w:p w:rsidR="00137FBA" w:rsidRPr="00137FBA" w:rsidP="00137FBA" w14:paraId="0E3F191E" w14:textId="5C9FA182">
      <w:pPr>
        <w:keepLines/>
        <w:widowControl/>
        <w:numPr>
          <w:ilvl w:val="0"/>
          <w:numId w:val="3"/>
        </w:numPr>
        <w:tabs>
          <w:tab w:val="left" w:pos="1440"/>
        </w:tabs>
        <w:spacing w:after="120" w:line="259" w:lineRule="auto"/>
        <w:rPr>
          <w:szCs w:val="22"/>
        </w:rPr>
      </w:pPr>
      <w:r w:rsidRPr="00137FBA">
        <w:rPr>
          <w:szCs w:val="22"/>
        </w:rPr>
        <w:t xml:space="preserve">In the absence of material new evidence relating to this matter, we do not set for hearing the question of </w:t>
      </w:r>
      <w:r w:rsidR="00B610DE">
        <w:rPr>
          <w:szCs w:val="22"/>
        </w:rPr>
        <w:t>PS Towers</w:t>
      </w:r>
      <w:r w:rsidRPr="00137FBA">
        <w:rPr>
          <w:szCs w:val="22"/>
        </w:rPr>
        <w:t>’s basic qualifications to hold or obtain any Commission license or authorization.</w:t>
      </w:r>
      <w:r>
        <w:rPr>
          <w:sz w:val="20"/>
          <w:szCs w:val="22"/>
          <w:vertAlign w:val="superscript"/>
        </w:rPr>
        <w:footnoteReference w:id="5"/>
      </w:r>
    </w:p>
    <w:p w:rsidR="00137FBA" w:rsidRPr="00137FBA" w:rsidP="00137FBA" w14:paraId="25B33E2A" w14:textId="77777777">
      <w:pPr>
        <w:widowControl/>
        <w:numPr>
          <w:ilvl w:val="0"/>
          <w:numId w:val="3"/>
        </w:numPr>
        <w:tabs>
          <w:tab w:val="left" w:pos="1440"/>
        </w:tabs>
        <w:spacing w:after="120" w:line="259" w:lineRule="auto"/>
        <w:rPr>
          <w:szCs w:val="22"/>
        </w:rPr>
      </w:pPr>
      <w:r w:rsidRPr="00137FBA">
        <w:rPr>
          <w:szCs w:val="22"/>
        </w:rPr>
        <w:t xml:space="preserve">Accordingly, </w:t>
      </w:r>
      <w:r w:rsidRPr="00137FBA">
        <w:rPr>
          <w:b/>
          <w:szCs w:val="22"/>
        </w:rPr>
        <w:t xml:space="preserve">IT IS ORDERED </w:t>
      </w:r>
      <w:r w:rsidRPr="00137FBA">
        <w:rPr>
          <w:szCs w:val="22"/>
        </w:rPr>
        <w:t>that, pursuant to section 4(i) of the Act</w:t>
      </w:r>
      <w:r>
        <w:rPr>
          <w:sz w:val="20"/>
          <w:szCs w:val="22"/>
          <w:vertAlign w:val="superscript"/>
        </w:rPr>
        <w:footnoteReference w:id="6"/>
      </w:r>
      <w:r w:rsidRPr="00137FBA">
        <w:rPr>
          <w:szCs w:val="22"/>
        </w:rPr>
        <w:t xml:space="preserve"> and the authority delegated by sections 0.111 and 0.311 of the Commission’s rules,</w:t>
      </w:r>
      <w:r>
        <w:rPr>
          <w:sz w:val="20"/>
          <w:szCs w:val="22"/>
          <w:vertAlign w:val="superscript"/>
        </w:rPr>
        <w:footnoteReference w:id="7"/>
      </w:r>
      <w:r w:rsidRPr="00137FBA">
        <w:rPr>
          <w:szCs w:val="22"/>
        </w:rPr>
        <w:t xml:space="preserve"> the attached Consent Decree </w:t>
      </w:r>
      <w:r w:rsidRPr="00137FBA">
        <w:rPr>
          <w:b/>
          <w:szCs w:val="22"/>
        </w:rPr>
        <w:t xml:space="preserve">IS ADOPTED </w:t>
      </w:r>
      <w:r w:rsidRPr="00137FBA">
        <w:rPr>
          <w:szCs w:val="22"/>
        </w:rPr>
        <w:t>and its terms incorporated by reference.</w:t>
      </w:r>
    </w:p>
    <w:p w:rsidR="00137FBA" w:rsidRPr="00137FBA" w:rsidP="00137FBA" w14:paraId="68648674" w14:textId="77777777">
      <w:pPr>
        <w:widowControl/>
        <w:numPr>
          <w:ilvl w:val="0"/>
          <w:numId w:val="3"/>
        </w:numPr>
        <w:tabs>
          <w:tab w:val="left" w:pos="1440"/>
        </w:tabs>
        <w:spacing w:after="120" w:line="259" w:lineRule="auto"/>
        <w:rPr>
          <w:b/>
        </w:rPr>
      </w:pPr>
      <w:r w:rsidRPr="00137FBA">
        <w:rPr>
          <w:b/>
        </w:rPr>
        <w:t>IT IS FURTHER ORDERED</w:t>
      </w:r>
      <w:r w:rsidRPr="00137FBA">
        <w:t xml:space="preserve"> that the above-captioned matter </w:t>
      </w:r>
      <w:r w:rsidRPr="00137FBA">
        <w:rPr>
          <w:b/>
        </w:rPr>
        <w:t xml:space="preserve">IS TERMINATED </w:t>
      </w:r>
      <w:r w:rsidRPr="00137FBA">
        <w:t>in accordance with the terms of the attached Consent Decree.</w:t>
      </w:r>
    </w:p>
    <w:p w:rsidR="00137FBA" w:rsidRPr="00137FBA" w:rsidP="00137FBA" w14:paraId="73870EFE" w14:textId="52692CDA">
      <w:pPr>
        <w:widowControl/>
        <w:numPr>
          <w:ilvl w:val="0"/>
          <w:numId w:val="3"/>
        </w:numPr>
        <w:tabs>
          <w:tab w:val="left" w:pos="1440"/>
        </w:tabs>
        <w:spacing w:after="120" w:line="259" w:lineRule="auto"/>
        <w:rPr>
          <w:szCs w:val="22"/>
        </w:rPr>
      </w:pPr>
      <w:r w:rsidRPr="00137FBA">
        <w:rPr>
          <w:b/>
        </w:rPr>
        <w:t>IT IS FURTHER ORDERED</w:t>
      </w:r>
      <w:r w:rsidRPr="00137FBA">
        <w:t xml:space="preserve"> that a copy of this Order and Consent Decree shall be sent by first class mail and certified mail, return receipt requested, to </w:t>
      </w:r>
      <w:r w:rsidRPr="00137FBA">
        <w:rPr>
          <w:szCs w:val="22"/>
        </w:rPr>
        <w:t xml:space="preserve">Mr. </w:t>
      </w:r>
      <w:r w:rsidR="0021547A">
        <w:rPr>
          <w:szCs w:val="22"/>
        </w:rPr>
        <w:t>E. Kelly Bond</w:t>
      </w:r>
      <w:r w:rsidRPr="00137FBA">
        <w:t xml:space="preserve">, </w:t>
      </w:r>
      <w:r w:rsidR="00B26D2E">
        <w:t>President</w:t>
      </w:r>
      <w:r w:rsidRPr="00137FBA">
        <w:t>, Public Service Towers, Inc., 104 Winston Street Reynolds, GA 31076</w:t>
      </w:r>
      <w:r w:rsidRPr="00137FBA">
        <w:rPr>
          <w:szCs w:val="22"/>
        </w:rPr>
        <w:t xml:space="preserve">, </w:t>
      </w:r>
      <w:r w:rsidRPr="00137FBA">
        <w:t xml:space="preserve">and </w:t>
      </w:r>
      <w:r w:rsidRPr="00137FBA">
        <w:rPr>
          <w:szCs w:val="22"/>
        </w:rPr>
        <w:t>to Gregory W. Whiteaker, Counsel for Public Service Towers, Inc., Herman &amp; Whiteaker, LLC, 6720-B Rockledge Drive, Suite 150, Bethesda, MD 20817</w:t>
      </w:r>
      <w:r w:rsidRPr="00137FBA">
        <w:t>.</w:t>
      </w:r>
    </w:p>
    <w:p w:rsidR="00137FBA" w:rsidRPr="00137FBA" w:rsidP="00137FBA" w14:paraId="1F5713F9" w14:textId="77777777">
      <w:pPr>
        <w:tabs>
          <w:tab w:val="left" w:pos="720"/>
        </w:tabs>
        <w:spacing w:after="120"/>
        <w:rPr>
          <w:szCs w:val="22"/>
        </w:rPr>
      </w:pPr>
    </w:p>
    <w:p w:rsidR="00137FBA" w:rsidRPr="00137FBA" w:rsidP="00137FBA" w14:paraId="6AA5E7EF" w14:textId="77777777">
      <w:r w:rsidRPr="00137FBA">
        <w:tab/>
      </w:r>
      <w:r w:rsidRPr="00137FBA">
        <w:tab/>
      </w:r>
      <w:r w:rsidRPr="00137FBA">
        <w:tab/>
      </w:r>
      <w:r w:rsidRPr="00137FBA">
        <w:tab/>
      </w:r>
      <w:r w:rsidRPr="00137FBA">
        <w:tab/>
      </w:r>
      <w:r w:rsidRPr="00137FBA">
        <w:tab/>
        <w:t>FEDERAL COMMUNICATIONS COMMISSION</w:t>
      </w:r>
    </w:p>
    <w:p w:rsidR="00137FBA" w:rsidRPr="00137FBA" w:rsidP="00137FBA" w14:paraId="79BFA9AA" w14:textId="77777777"/>
    <w:p w:rsidR="00137FBA" w:rsidRPr="00137FBA" w:rsidP="00137FBA" w14:paraId="48DCE9E6" w14:textId="77777777"/>
    <w:p w:rsidR="00137FBA" w:rsidRPr="00137FBA" w:rsidP="00137FBA" w14:paraId="5E06023B" w14:textId="77777777"/>
    <w:p w:rsidR="00137FBA" w:rsidRPr="00137FBA" w:rsidP="00137FBA" w14:paraId="27907DEE" w14:textId="77777777"/>
    <w:p w:rsidR="00137FBA" w:rsidRPr="00137FBA" w:rsidP="00137FBA" w14:paraId="6D3BEDE6" w14:textId="77777777">
      <w:r w:rsidRPr="00137FBA">
        <w:tab/>
      </w:r>
      <w:r w:rsidRPr="00137FBA">
        <w:tab/>
      </w:r>
      <w:r w:rsidRPr="00137FBA">
        <w:tab/>
      </w:r>
      <w:r w:rsidRPr="00137FBA">
        <w:tab/>
      </w:r>
      <w:r w:rsidRPr="00137FBA">
        <w:tab/>
      </w:r>
      <w:r w:rsidRPr="00137FBA">
        <w:tab/>
        <w:t>Christopher L. Killion</w:t>
      </w:r>
    </w:p>
    <w:p w:rsidR="00137FBA" w:rsidRPr="00137FBA" w:rsidP="00137FBA" w14:paraId="2F22739C" w14:textId="77777777">
      <w:r w:rsidRPr="00137FBA">
        <w:tab/>
      </w:r>
      <w:r w:rsidRPr="00137FBA">
        <w:tab/>
      </w:r>
      <w:r w:rsidRPr="00137FBA">
        <w:tab/>
      </w:r>
      <w:r w:rsidRPr="00137FBA">
        <w:tab/>
      </w:r>
      <w:r w:rsidRPr="00137FBA">
        <w:tab/>
      </w:r>
      <w:r w:rsidRPr="00137FBA">
        <w:tab/>
        <w:t>Deputy Chief</w:t>
      </w:r>
    </w:p>
    <w:p w:rsidR="00382840" w:rsidP="00137FBA" w14:paraId="3E0330D8" w14:textId="77777777">
      <w:pPr>
        <w:sectPr w:rsidSect="00555893">
          <w:headerReference w:type="default" r:id="rId5"/>
          <w:footerReference w:type="default" r:id="rId6"/>
          <w:headerReference w:type="first" r:id="rId7"/>
          <w:pgSz w:w="12240" w:h="15840"/>
          <w:pgMar w:top="1440" w:right="1440" w:bottom="720" w:left="1440" w:header="720" w:footer="720" w:gutter="0"/>
          <w:cols w:space="720"/>
          <w:titlePg/>
          <w:docGrid w:linePitch="360"/>
        </w:sectPr>
      </w:pPr>
      <w:r w:rsidRPr="00137FBA">
        <w:tab/>
      </w:r>
      <w:r w:rsidRPr="00137FBA">
        <w:tab/>
      </w:r>
      <w:r w:rsidRPr="00137FBA">
        <w:tab/>
      </w:r>
      <w:r w:rsidRPr="00137FBA">
        <w:tab/>
      </w:r>
      <w:r w:rsidRPr="00137FBA">
        <w:tab/>
      </w:r>
      <w:r w:rsidRPr="00137FBA">
        <w:tab/>
        <w:t>Enforcement Bureau</w:t>
      </w:r>
    </w:p>
    <w:p w:rsidR="00382840" w:rsidRPr="00843A5F" w:rsidP="00382840" w14:paraId="63FC244D" w14:textId="77777777">
      <w:pPr>
        <w:jc w:val="center"/>
        <w:rPr>
          <w:b/>
        </w:rPr>
      </w:pPr>
      <w:r>
        <w:rPr>
          <w:rFonts w:ascii="Times New Roman Bold" w:hAnsi="Times New Roman Bold"/>
          <w:b/>
          <w:kern w:val="0"/>
          <w:szCs w:val="22"/>
        </w:rPr>
        <w:t>Be</w:t>
      </w:r>
      <w:r w:rsidRPr="00843A5F">
        <w:rPr>
          <w:rFonts w:ascii="Times New Roman Bold" w:hAnsi="Times New Roman Bold"/>
          <w:b/>
          <w:kern w:val="0"/>
          <w:szCs w:val="22"/>
        </w:rPr>
        <w:t>fore</w:t>
      </w:r>
      <w:r w:rsidRPr="00843A5F">
        <w:rPr>
          <w:b/>
        </w:rPr>
        <w:t xml:space="preserve"> the</w:t>
      </w:r>
    </w:p>
    <w:p w:rsidR="00382840" w:rsidRPr="00843A5F" w:rsidP="00382840" w14:paraId="5B099C3A" w14:textId="77777777">
      <w:pPr>
        <w:pStyle w:val="StyleBoldCentered"/>
      </w:pPr>
      <w:r w:rsidRPr="00843A5F">
        <w:t>F</w:t>
      </w:r>
      <w:r w:rsidRPr="00843A5F">
        <w:rPr>
          <w:caps w:val="0"/>
        </w:rPr>
        <w:t>ederal Communications Commission</w:t>
      </w:r>
    </w:p>
    <w:p w:rsidR="00382840" w:rsidRPr="00843A5F" w:rsidP="00382840" w14:paraId="1ABB3962" w14:textId="77777777">
      <w:pPr>
        <w:pStyle w:val="StyleBoldCentered"/>
      </w:pPr>
      <w:r w:rsidRPr="00843A5F">
        <w:rPr>
          <w:caps w:val="0"/>
        </w:rPr>
        <w:t>Washington, DC 20554</w:t>
      </w:r>
    </w:p>
    <w:p w:rsidR="00382840" w:rsidRPr="00843A5F" w:rsidP="00382840" w14:paraId="1B95360D" w14:textId="77777777"/>
    <w:tbl>
      <w:tblPr>
        <w:tblW w:w="9576" w:type="dxa"/>
        <w:tblLayout w:type="fixed"/>
        <w:tblLook w:val="0000"/>
      </w:tblPr>
      <w:tblGrid>
        <w:gridCol w:w="4698"/>
        <w:gridCol w:w="630"/>
        <w:gridCol w:w="4248"/>
      </w:tblGrid>
      <w:tr w14:paraId="711EED40" w14:textId="77777777" w:rsidTr="00844126">
        <w:tblPrEx>
          <w:tblW w:w="9576" w:type="dxa"/>
          <w:tblLayout w:type="fixed"/>
          <w:tblLook w:val="0000"/>
        </w:tblPrEx>
        <w:trPr>
          <w:trHeight w:val="2043"/>
        </w:trPr>
        <w:tc>
          <w:tcPr>
            <w:tcW w:w="4698" w:type="dxa"/>
          </w:tcPr>
          <w:p w:rsidR="00382840" w:rsidRPr="00843A5F" w:rsidP="00844126" w14:paraId="46475535" w14:textId="77777777">
            <w:pPr>
              <w:tabs>
                <w:tab w:val="center" w:pos="4680"/>
              </w:tabs>
              <w:suppressAutoHyphens/>
              <w:rPr>
                <w:spacing w:val="-2"/>
              </w:rPr>
            </w:pPr>
            <w:r w:rsidRPr="00843A5F">
              <w:rPr>
                <w:spacing w:val="-2"/>
              </w:rPr>
              <w:t>In the Matter of</w:t>
            </w:r>
          </w:p>
          <w:p w:rsidR="00382840" w:rsidRPr="00843A5F" w:rsidP="00844126" w14:paraId="399CACD8" w14:textId="77777777">
            <w:pPr>
              <w:tabs>
                <w:tab w:val="center" w:pos="4680"/>
              </w:tabs>
              <w:suppressAutoHyphens/>
              <w:rPr>
                <w:spacing w:val="-2"/>
              </w:rPr>
            </w:pPr>
          </w:p>
          <w:p w:rsidR="00382840" w:rsidRPr="007C0B39" w:rsidP="00844126" w14:paraId="4A9FA519" w14:textId="77777777">
            <w:pPr>
              <w:tabs>
                <w:tab w:val="center" w:pos="4680"/>
              </w:tabs>
              <w:suppressAutoHyphens/>
              <w:rPr>
                <w:spacing w:val="-2"/>
              </w:rPr>
            </w:pPr>
            <w:r>
              <w:rPr>
                <w:szCs w:val="22"/>
              </w:rPr>
              <w:t>Public Service Towers, Inc.</w:t>
            </w:r>
          </w:p>
        </w:tc>
        <w:tc>
          <w:tcPr>
            <w:tcW w:w="630" w:type="dxa"/>
          </w:tcPr>
          <w:p w:rsidR="00382840" w:rsidRPr="007C0B39" w:rsidP="00844126" w14:paraId="698D869F" w14:textId="77777777">
            <w:pPr>
              <w:tabs>
                <w:tab w:val="center" w:pos="4680"/>
              </w:tabs>
              <w:suppressAutoHyphens/>
              <w:rPr>
                <w:b/>
                <w:spacing w:val="-2"/>
              </w:rPr>
            </w:pPr>
            <w:r w:rsidRPr="007C0B39">
              <w:rPr>
                <w:b/>
                <w:spacing w:val="-2"/>
              </w:rPr>
              <w:t>)</w:t>
            </w:r>
          </w:p>
          <w:p w:rsidR="00382840" w:rsidRPr="007C0B39" w:rsidP="00844126" w14:paraId="75727A18" w14:textId="77777777">
            <w:pPr>
              <w:tabs>
                <w:tab w:val="center" w:pos="4680"/>
              </w:tabs>
              <w:suppressAutoHyphens/>
              <w:rPr>
                <w:b/>
                <w:spacing w:val="-2"/>
              </w:rPr>
            </w:pPr>
            <w:r w:rsidRPr="007C0B39">
              <w:rPr>
                <w:b/>
                <w:spacing w:val="-2"/>
              </w:rPr>
              <w:t>)</w:t>
            </w:r>
          </w:p>
          <w:p w:rsidR="00382840" w:rsidRPr="007C0B39" w:rsidP="00844126" w14:paraId="43C2DFFB" w14:textId="77777777">
            <w:pPr>
              <w:tabs>
                <w:tab w:val="center" w:pos="4680"/>
              </w:tabs>
              <w:suppressAutoHyphens/>
              <w:rPr>
                <w:b/>
                <w:spacing w:val="-2"/>
              </w:rPr>
            </w:pPr>
            <w:r w:rsidRPr="007C0B39">
              <w:rPr>
                <w:b/>
                <w:spacing w:val="-2"/>
              </w:rPr>
              <w:t>)</w:t>
            </w:r>
          </w:p>
          <w:p w:rsidR="00382840" w:rsidRPr="007C0B39" w:rsidP="00844126" w14:paraId="2617845D" w14:textId="77777777">
            <w:pPr>
              <w:tabs>
                <w:tab w:val="center" w:pos="4680"/>
              </w:tabs>
              <w:suppressAutoHyphens/>
              <w:rPr>
                <w:b/>
                <w:spacing w:val="-2"/>
              </w:rPr>
            </w:pPr>
            <w:r w:rsidRPr="007C0B39">
              <w:rPr>
                <w:b/>
                <w:spacing w:val="-2"/>
              </w:rPr>
              <w:t>)</w:t>
            </w:r>
          </w:p>
          <w:p w:rsidR="00382840" w:rsidRPr="007C0B39" w:rsidP="00844126" w14:paraId="6F3DB801" w14:textId="77777777">
            <w:pPr>
              <w:tabs>
                <w:tab w:val="center" w:pos="4680"/>
              </w:tabs>
              <w:suppressAutoHyphens/>
              <w:rPr>
                <w:b/>
                <w:spacing w:val="-2"/>
              </w:rPr>
            </w:pPr>
            <w:r w:rsidRPr="007C0B39">
              <w:rPr>
                <w:b/>
                <w:spacing w:val="-2"/>
              </w:rPr>
              <w:t>)</w:t>
            </w:r>
          </w:p>
          <w:p w:rsidR="00382840" w:rsidRPr="007C0B39" w:rsidP="00844126" w14:paraId="2DC8DE7F" w14:textId="77777777">
            <w:pPr>
              <w:tabs>
                <w:tab w:val="center" w:pos="4680"/>
              </w:tabs>
              <w:suppressAutoHyphens/>
              <w:rPr>
                <w:b/>
                <w:spacing w:val="-2"/>
              </w:rPr>
            </w:pPr>
            <w:r w:rsidRPr="007C0B39">
              <w:rPr>
                <w:b/>
                <w:spacing w:val="-2"/>
              </w:rPr>
              <w:t>)</w:t>
            </w:r>
          </w:p>
          <w:p w:rsidR="00382840" w:rsidRPr="007C0B39" w:rsidP="00844126" w14:paraId="0E0C89C7" w14:textId="77777777">
            <w:pPr>
              <w:tabs>
                <w:tab w:val="center" w:pos="4680"/>
              </w:tabs>
              <w:suppressAutoHyphens/>
              <w:rPr>
                <w:b/>
                <w:spacing w:val="-2"/>
              </w:rPr>
            </w:pPr>
            <w:r w:rsidRPr="007C0B39">
              <w:rPr>
                <w:b/>
                <w:spacing w:val="-2"/>
              </w:rPr>
              <w:t>)</w:t>
            </w:r>
          </w:p>
          <w:p w:rsidR="00382840" w:rsidRPr="007C0B39" w:rsidP="00844126" w14:paraId="120E5064" w14:textId="77777777">
            <w:pPr>
              <w:tabs>
                <w:tab w:val="center" w:pos="4680"/>
              </w:tabs>
              <w:suppressAutoHyphens/>
              <w:rPr>
                <w:spacing w:val="-2"/>
              </w:rPr>
            </w:pPr>
          </w:p>
        </w:tc>
        <w:tc>
          <w:tcPr>
            <w:tcW w:w="4248" w:type="dxa"/>
          </w:tcPr>
          <w:p w:rsidR="00382840" w:rsidP="00844126" w14:paraId="4A2ECF8A" w14:textId="77777777">
            <w:pPr>
              <w:tabs>
                <w:tab w:val="center" w:pos="4680"/>
              </w:tabs>
              <w:suppressAutoHyphens/>
              <w:ind w:left="432"/>
              <w:rPr>
                <w:spacing w:val="-2"/>
                <w:szCs w:val="22"/>
              </w:rPr>
            </w:pPr>
          </w:p>
          <w:p w:rsidR="00382840" w:rsidP="00844126" w14:paraId="00DCB85B" w14:textId="77777777">
            <w:pPr>
              <w:tabs>
                <w:tab w:val="center" w:pos="4680"/>
              </w:tabs>
              <w:suppressAutoHyphens/>
              <w:ind w:left="432"/>
              <w:rPr>
                <w:spacing w:val="-2"/>
                <w:szCs w:val="22"/>
              </w:rPr>
            </w:pPr>
          </w:p>
          <w:p w:rsidR="00382840" w:rsidRPr="00C32809" w:rsidP="00844126" w14:paraId="2E9918A8" w14:textId="77777777">
            <w:pPr>
              <w:tabs>
                <w:tab w:val="center" w:pos="4680"/>
              </w:tabs>
              <w:suppressAutoHyphens/>
              <w:ind w:left="432"/>
              <w:rPr>
                <w:color w:val="000000" w:themeColor="text1"/>
                <w:spacing w:val="-2"/>
              </w:rPr>
            </w:pPr>
            <w:r w:rsidRPr="00C32809">
              <w:rPr>
                <w:color w:val="000000" w:themeColor="text1"/>
                <w:spacing w:val="-2"/>
              </w:rPr>
              <w:t xml:space="preserve">File No.: </w:t>
            </w:r>
            <w:r w:rsidRPr="00C32809">
              <w:rPr>
                <w:color w:val="000000" w:themeColor="text1"/>
              </w:rPr>
              <w:t>EB-SED-19-00029453</w:t>
            </w:r>
            <w:r w:rsidRPr="00C32809">
              <w:rPr>
                <w:color w:val="000000" w:themeColor="text1"/>
                <w:spacing w:val="-2"/>
              </w:rPr>
              <w:t xml:space="preserve"> </w:t>
            </w:r>
          </w:p>
          <w:p w:rsidR="00382840" w:rsidRPr="00C32809" w:rsidP="00844126" w14:paraId="4253B535" w14:textId="77777777">
            <w:pPr>
              <w:tabs>
                <w:tab w:val="center" w:pos="4680"/>
              </w:tabs>
              <w:suppressAutoHyphens/>
              <w:ind w:left="432"/>
              <w:rPr>
                <w:color w:val="000000" w:themeColor="text1"/>
                <w:spacing w:val="-2"/>
              </w:rPr>
            </w:pPr>
            <w:r w:rsidRPr="00A3565D">
              <w:rPr>
                <w:color w:val="000000" w:themeColor="text1"/>
                <w:spacing w:val="-2"/>
                <w:szCs w:val="22"/>
              </w:rPr>
              <w:t xml:space="preserve">CD </w:t>
            </w:r>
            <w:r w:rsidRPr="00C32809">
              <w:rPr>
                <w:color w:val="000000" w:themeColor="text1"/>
                <w:spacing w:val="-2"/>
              </w:rPr>
              <w:t xml:space="preserve">Acct. No.: </w:t>
            </w:r>
            <w:r w:rsidRPr="00A3565D">
              <w:rPr>
                <w:color w:val="000000" w:themeColor="text1"/>
                <w:szCs w:val="22"/>
                <w:shd w:val="clear" w:color="auto" w:fill="FFFFFF"/>
              </w:rPr>
              <w:t>202032100007</w:t>
            </w:r>
          </w:p>
          <w:p w:rsidR="00382840" w:rsidRPr="007C0B39" w:rsidP="00844126" w14:paraId="205B7EDF" w14:textId="77777777">
            <w:pPr>
              <w:tabs>
                <w:tab w:val="center" w:pos="4680"/>
              </w:tabs>
              <w:suppressAutoHyphens/>
              <w:ind w:left="432"/>
              <w:rPr>
                <w:spacing w:val="-2"/>
              </w:rPr>
            </w:pPr>
            <w:r w:rsidRPr="00C32809">
              <w:rPr>
                <w:color w:val="000000" w:themeColor="text1"/>
              </w:rPr>
              <w:t xml:space="preserve">FRN:  </w:t>
            </w:r>
            <w:r w:rsidRPr="00C32809">
              <w:rPr>
                <w:rFonts w:eastAsiaTheme="minorHAnsi"/>
                <w:color w:val="000000" w:themeColor="text1"/>
                <w:kern w:val="0"/>
              </w:rPr>
              <w:t>0008295354</w:t>
            </w:r>
          </w:p>
        </w:tc>
      </w:tr>
    </w:tbl>
    <w:p w:rsidR="00382840" w:rsidRPr="007C0B39" w:rsidP="00382840" w14:paraId="4A80B1F3" w14:textId="77777777">
      <w:pPr>
        <w:pStyle w:val="StyleBoldCentered"/>
      </w:pPr>
      <w:r w:rsidRPr="007C0B39">
        <w:t>CONSENT DECREE</w:t>
      </w:r>
    </w:p>
    <w:p w:rsidR="00382840" w:rsidRPr="007C0B39" w:rsidP="00382840" w14:paraId="4637A14D" w14:textId="77777777">
      <w:pPr>
        <w:pStyle w:val="StyleBoldCentered"/>
      </w:pPr>
    </w:p>
    <w:p w:rsidR="00382840" w:rsidRPr="00EE05D7" w:rsidP="00382840" w14:paraId="5F33E1A2" w14:textId="77777777">
      <w:pPr>
        <w:pStyle w:val="ParaNum"/>
      </w:pPr>
      <w:r>
        <w:t>The Federal Communications Commission (Commission) requires that licensees or applicants for a Commission authorization complete environmental and historic preservation reviews, prior to any construction of a proposed wireless facility, so that the Commission may ascertain whether the proposed facility might adversely affect the environment or an historic property.  Failure to undertake such reviews may pose a risk of adverse effects on the environment or historic properties.  In furtherance of these objectives, t</w:t>
      </w:r>
      <w:r w:rsidRPr="007C0B39">
        <w:t xml:space="preserve">he </w:t>
      </w:r>
      <w:r>
        <w:t xml:space="preserve">Commission’s </w:t>
      </w:r>
      <w:r w:rsidRPr="007C0B39">
        <w:t xml:space="preserve">Enforcement Bureau and </w:t>
      </w:r>
      <w:r>
        <w:t>Public Service Towers, Inc. (PS Towers),</w:t>
      </w:r>
      <w:r w:rsidRPr="007C0B39">
        <w:t xml:space="preserve"> by their authorized representatives, hereby enter into this Consent Decree for the purpose of terminating the Enforcement Bureau’s investigation into whether </w:t>
      </w:r>
      <w:r>
        <w:t>PS Towers</w:t>
      </w:r>
      <w:r w:rsidRPr="007C0B39">
        <w:t xml:space="preserve"> violated </w:t>
      </w:r>
      <w:r w:rsidRPr="00C83044">
        <w:t>sections 1.1307 and 1.1312</w:t>
      </w:r>
      <w:r w:rsidRPr="007C0B39">
        <w:t xml:space="preserve"> </w:t>
      </w:r>
      <w:r>
        <w:t xml:space="preserve">of the Commission’s rules </w:t>
      </w:r>
      <w:r w:rsidRPr="007C0B39">
        <w:rPr>
          <w:szCs w:val="22"/>
        </w:rPr>
        <w:t xml:space="preserve">in connection with </w:t>
      </w:r>
      <w:r>
        <w:rPr>
          <w:szCs w:val="22"/>
        </w:rPr>
        <w:t xml:space="preserve">its construction of a wireless telecommunications facility before completing the required environmental and historic preservation reviews.  To settle this investigation, PS Towers admits that it violated the Commission’s rules, will implement a compliance plan, and will pay a $16,000 civil penalty.  </w:t>
      </w:r>
    </w:p>
    <w:p w:rsidR="00382840" w:rsidRPr="007C0B39" w:rsidP="00382840" w14:paraId="6463FBCF" w14:textId="77777777">
      <w:pPr>
        <w:pStyle w:val="Heading1"/>
      </w:pPr>
      <w:r w:rsidRPr="007C0B39">
        <w:t>DEFINITIONS</w:t>
      </w:r>
    </w:p>
    <w:p w:rsidR="00382840" w:rsidRPr="007C0B39" w:rsidP="00382840" w14:paraId="6AC02CFB" w14:textId="77777777">
      <w:pPr>
        <w:pStyle w:val="ParaNum"/>
      </w:pPr>
      <w:r w:rsidRPr="007C0B39">
        <w:t>For the purposes of this Consent Decree, the following definitions shall apply:</w:t>
      </w:r>
    </w:p>
    <w:p w:rsidR="00382840" w:rsidRPr="007C0B39" w:rsidP="00382840" w14:paraId="698A91E4" w14:textId="77777777">
      <w:pPr>
        <w:numPr>
          <w:ilvl w:val="0"/>
          <w:numId w:val="19"/>
        </w:numPr>
        <w:tabs>
          <w:tab w:val="clear" w:pos="1224"/>
        </w:tabs>
        <w:spacing w:after="120"/>
        <w:ind w:left="1890"/>
        <w:rPr>
          <w:szCs w:val="22"/>
        </w:rPr>
      </w:pPr>
      <w:r w:rsidRPr="007C0B39">
        <w:rPr>
          <w:szCs w:val="22"/>
        </w:rPr>
        <w:t>“Act”</w:t>
      </w:r>
      <w:r w:rsidRPr="007C0B39">
        <w:rPr>
          <w:rStyle w:val="ParanumChar0"/>
          <w:szCs w:val="22"/>
        </w:rPr>
        <w:t xml:space="preserve"> </w:t>
      </w:r>
      <w:r w:rsidRPr="007C0B39">
        <w:t>means</w:t>
      </w:r>
      <w:r w:rsidRPr="007C0B39">
        <w:rPr>
          <w:szCs w:val="22"/>
        </w:rPr>
        <w:t xml:space="preserve"> the Communications Act of 1934, as amended</w:t>
      </w:r>
      <w:r>
        <w:rPr>
          <w:szCs w:val="22"/>
        </w:rPr>
        <w:t>.</w:t>
      </w:r>
      <w:r>
        <w:rPr>
          <w:rStyle w:val="FootnoteReference"/>
          <w:szCs w:val="22"/>
        </w:rPr>
        <w:footnoteReference w:id="8"/>
      </w:r>
    </w:p>
    <w:p w:rsidR="00382840" w:rsidRPr="007C0B39" w:rsidP="00382840" w14:paraId="040BC993" w14:textId="77777777">
      <w:pPr>
        <w:numPr>
          <w:ilvl w:val="0"/>
          <w:numId w:val="19"/>
        </w:numPr>
        <w:tabs>
          <w:tab w:val="clear" w:pos="1224"/>
        </w:tabs>
        <w:spacing w:after="120"/>
        <w:ind w:left="1890"/>
        <w:rPr>
          <w:szCs w:val="22"/>
        </w:rPr>
      </w:pPr>
      <w:r w:rsidRPr="007C0B39">
        <w:rPr>
          <w:szCs w:val="22"/>
        </w:rPr>
        <w:t>“</w:t>
      </w:r>
      <w:r w:rsidRPr="007C0B39">
        <w:t>Adopting</w:t>
      </w:r>
      <w:r w:rsidRPr="007C0B39">
        <w:rPr>
          <w:szCs w:val="22"/>
        </w:rPr>
        <w:t xml:space="preserve"> Order” means an order of the Bureau adopting the terms of this Consent Decree without change, addition, deletion, or modification.</w:t>
      </w:r>
    </w:p>
    <w:p w:rsidR="00382840" w:rsidRPr="007C0B39" w:rsidP="00382840" w14:paraId="5340B58A" w14:textId="77777777">
      <w:pPr>
        <w:numPr>
          <w:ilvl w:val="0"/>
          <w:numId w:val="19"/>
        </w:numPr>
        <w:tabs>
          <w:tab w:val="clear" w:pos="1224"/>
        </w:tabs>
        <w:spacing w:after="120"/>
        <w:ind w:left="1890"/>
        <w:rPr>
          <w:szCs w:val="22"/>
        </w:rPr>
      </w:pPr>
      <w:r w:rsidRPr="007C0B39">
        <w:rPr>
          <w:szCs w:val="22"/>
        </w:rPr>
        <w:t>“</w:t>
      </w:r>
      <w:r w:rsidRPr="007C0B39">
        <w:t>Bureau</w:t>
      </w:r>
      <w:r w:rsidRPr="007C0B39">
        <w:rPr>
          <w:szCs w:val="22"/>
        </w:rPr>
        <w:t>” means the Enforcement Bureau of the Federal Communications Commission.</w:t>
      </w:r>
    </w:p>
    <w:p w:rsidR="00382840" w:rsidP="00382840" w14:paraId="74813E41" w14:textId="77777777">
      <w:pPr>
        <w:numPr>
          <w:ilvl w:val="0"/>
          <w:numId w:val="19"/>
        </w:numPr>
        <w:tabs>
          <w:tab w:val="clear" w:pos="1224"/>
        </w:tabs>
        <w:spacing w:after="120"/>
        <w:ind w:left="1890"/>
        <w:rPr>
          <w:szCs w:val="22"/>
        </w:rPr>
      </w:pPr>
      <w:r w:rsidRPr="00887F97">
        <w:rPr>
          <w:szCs w:val="22"/>
        </w:rPr>
        <w:t>“</w:t>
      </w:r>
      <w:r>
        <w:rPr>
          <w:szCs w:val="22"/>
        </w:rPr>
        <w:t xml:space="preserve">CD </w:t>
      </w:r>
      <w:r w:rsidRPr="00887F97">
        <w:rPr>
          <w:szCs w:val="22"/>
        </w:rPr>
        <w:t xml:space="preserve">Acct No.” means account </w:t>
      </w:r>
      <w:r w:rsidRPr="00A95A2D">
        <w:rPr>
          <w:szCs w:val="22"/>
        </w:rPr>
        <w:t xml:space="preserve">number </w:t>
      </w:r>
      <w:r w:rsidRPr="00A3565D">
        <w:rPr>
          <w:color w:val="000000" w:themeColor="text1"/>
          <w:szCs w:val="22"/>
          <w:shd w:val="clear" w:color="auto" w:fill="FFFFFF"/>
        </w:rPr>
        <w:t>202032100007</w:t>
      </w:r>
      <w:r w:rsidRPr="00A3565D">
        <w:rPr>
          <w:color w:val="000000" w:themeColor="text1"/>
          <w:szCs w:val="22"/>
        </w:rPr>
        <w:t xml:space="preserve">, </w:t>
      </w:r>
      <w:r w:rsidRPr="00A95A2D">
        <w:rPr>
          <w:szCs w:val="22"/>
        </w:rPr>
        <w:t>associated</w:t>
      </w:r>
      <w:r w:rsidRPr="00887F97">
        <w:rPr>
          <w:szCs w:val="22"/>
        </w:rPr>
        <w:t xml:space="preserve"> with payment obligations described in paragraph </w:t>
      </w:r>
      <w:r>
        <w:rPr>
          <w:szCs w:val="22"/>
        </w:rPr>
        <w:fldChar w:fldCharType="begin"/>
      </w:r>
      <w:r>
        <w:rPr>
          <w:szCs w:val="22"/>
        </w:rPr>
        <w:instrText xml:space="preserve"> REF _Ref43459971 \r \h </w:instrText>
      </w:r>
      <w:r>
        <w:rPr>
          <w:szCs w:val="22"/>
        </w:rPr>
        <w:fldChar w:fldCharType="separate"/>
      </w:r>
      <w:r>
        <w:rPr>
          <w:szCs w:val="22"/>
        </w:rPr>
        <w:t>17</w:t>
      </w:r>
      <w:r>
        <w:rPr>
          <w:szCs w:val="22"/>
        </w:rPr>
        <w:fldChar w:fldCharType="end"/>
      </w:r>
      <w:r w:rsidRPr="00887F97">
        <w:rPr>
          <w:szCs w:val="22"/>
        </w:rPr>
        <w:t xml:space="preserve"> of this Consent Decree.</w:t>
      </w:r>
    </w:p>
    <w:p w:rsidR="00382840" w:rsidRPr="007C0B39" w:rsidP="00382840" w14:paraId="1D3E3CA0" w14:textId="77777777">
      <w:pPr>
        <w:numPr>
          <w:ilvl w:val="0"/>
          <w:numId w:val="19"/>
        </w:numPr>
        <w:tabs>
          <w:tab w:val="clear" w:pos="1224"/>
        </w:tabs>
        <w:spacing w:after="120"/>
        <w:ind w:left="1890"/>
        <w:rPr>
          <w:szCs w:val="22"/>
        </w:rPr>
      </w:pPr>
      <w:r w:rsidRPr="007C0B39">
        <w:rPr>
          <w:szCs w:val="22"/>
        </w:rPr>
        <w:t>“</w:t>
      </w:r>
      <w:r w:rsidRPr="007C0B39">
        <w:t>Commission</w:t>
      </w:r>
      <w:r w:rsidRPr="007C0B39">
        <w:rPr>
          <w:szCs w:val="22"/>
        </w:rPr>
        <w:t>” and “FCC” mean the Federal Communications Commission and all of its bureaus and offices.</w:t>
      </w:r>
    </w:p>
    <w:p w:rsidR="00382840" w:rsidRPr="007C0B39" w:rsidP="00382840" w14:paraId="77A88716" w14:textId="77777777">
      <w:pPr>
        <w:numPr>
          <w:ilvl w:val="0"/>
          <w:numId w:val="19"/>
        </w:numPr>
        <w:tabs>
          <w:tab w:val="clear" w:pos="1224"/>
        </w:tabs>
        <w:spacing w:after="120"/>
        <w:ind w:left="1890"/>
        <w:rPr>
          <w:szCs w:val="22"/>
        </w:rPr>
      </w:pPr>
      <w:r w:rsidRPr="007C0B39">
        <w:rPr>
          <w:szCs w:val="22"/>
        </w:rPr>
        <w:t>“</w:t>
      </w:r>
      <w:r w:rsidRPr="007C0B39">
        <w:t>Communications</w:t>
      </w:r>
      <w:r w:rsidRPr="007C0B39">
        <w:rPr>
          <w:szCs w:val="22"/>
        </w:rPr>
        <w:t xml:space="preserve"> Laws” means collectively, the Act, the Rules, and the published and promulgated orders and decisions of the Commission to which </w:t>
      </w:r>
      <w:r>
        <w:rPr>
          <w:szCs w:val="22"/>
        </w:rPr>
        <w:t>PS Towers</w:t>
      </w:r>
      <w:r w:rsidRPr="007C0B39">
        <w:rPr>
          <w:szCs w:val="22"/>
        </w:rPr>
        <w:t xml:space="preserve"> is subject by virtue of its business activities, including but not limited to the </w:t>
      </w:r>
      <w:r>
        <w:rPr>
          <w:szCs w:val="22"/>
        </w:rPr>
        <w:t>Environmental</w:t>
      </w:r>
      <w:r w:rsidRPr="007C0B39">
        <w:rPr>
          <w:szCs w:val="22"/>
        </w:rPr>
        <w:t xml:space="preserve"> Rules.</w:t>
      </w:r>
    </w:p>
    <w:p w:rsidR="00382840" w:rsidRPr="007C0B39" w:rsidP="00382840" w14:paraId="17534357" w14:textId="77777777">
      <w:pPr>
        <w:numPr>
          <w:ilvl w:val="0"/>
          <w:numId w:val="19"/>
        </w:numPr>
        <w:tabs>
          <w:tab w:val="clear" w:pos="1224"/>
          <w:tab w:val="left" w:pos="7920"/>
        </w:tabs>
        <w:spacing w:after="120"/>
        <w:ind w:left="1890"/>
        <w:rPr>
          <w:szCs w:val="22"/>
        </w:rPr>
      </w:pPr>
      <w:r w:rsidRPr="007C0B39">
        <w:rPr>
          <w:szCs w:val="22"/>
        </w:rPr>
        <w:t>“</w:t>
      </w:r>
      <w:r w:rsidRPr="007C0B39">
        <w:t>Compliance</w:t>
      </w:r>
      <w:r w:rsidRPr="007C0B39">
        <w:rPr>
          <w:szCs w:val="22"/>
        </w:rPr>
        <w:t xml:space="preserve"> Plan” means the compliance obligations, program, and procedures described in this Consent Decree at paragraph</w:t>
      </w:r>
      <w:r>
        <w:rPr>
          <w:szCs w:val="22"/>
        </w:rPr>
        <w:t xml:space="preserve"> </w:t>
      </w:r>
      <w:r w:rsidRPr="002E12BC">
        <w:rPr>
          <w:szCs w:val="22"/>
        </w:rPr>
        <w:fldChar w:fldCharType="begin"/>
      </w:r>
      <w:r w:rsidRPr="002E12BC">
        <w:rPr>
          <w:szCs w:val="22"/>
        </w:rPr>
        <w:instrText xml:space="preserve"> REF _Ref357521857 \r \h  \* MERGEFORMAT </w:instrText>
      </w:r>
      <w:r w:rsidRPr="002E12BC">
        <w:rPr>
          <w:szCs w:val="22"/>
        </w:rPr>
        <w:fldChar w:fldCharType="separate"/>
      </w:r>
      <w:r>
        <w:rPr>
          <w:szCs w:val="22"/>
        </w:rPr>
        <w:t>13</w:t>
      </w:r>
      <w:r w:rsidRPr="002E12BC">
        <w:rPr>
          <w:szCs w:val="22"/>
        </w:rPr>
        <w:fldChar w:fldCharType="end"/>
      </w:r>
      <w:r>
        <w:rPr>
          <w:szCs w:val="22"/>
        </w:rPr>
        <w:t>.</w:t>
      </w:r>
    </w:p>
    <w:p w:rsidR="00382840" w:rsidRPr="007C0B39" w:rsidP="00382840" w14:paraId="704B2D41" w14:textId="77777777">
      <w:pPr>
        <w:numPr>
          <w:ilvl w:val="0"/>
          <w:numId w:val="19"/>
        </w:numPr>
        <w:tabs>
          <w:tab w:val="clear" w:pos="1224"/>
        </w:tabs>
        <w:spacing w:after="120"/>
        <w:ind w:left="1890"/>
        <w:rPr>
          <w:szCs w:val="22"/>
        </w:rPr>
      </w:pPr>
      <w:r w:rsidRPr="007C0B39">
        <w:rPr>
          <w:szCs w:val="22"/>
        </w:rPr>
        <w:t>“</w:t>
      </w:r>
      <w:r w:rsidRPr="007C0B39">
        <w:t>Covered</w:t>
      </w:r>
      <w:r w:rsidRPr="007C0B39">
        <w:rPr>
          <w:szCs w:val="22"/>
        </w:rPr>
        <w:t xml:space="preserve"> </w:t>
      </w:r>
      <w:r w:rsidRPr="007C0B39">
        <w:t>Employees</w:t>
      </w:r>
      <w:r w:rsidRPr="007C0B39">
        <w:rPr>
          <w:szCs w:val="22"/>
        </w:rPr>
        <w:t xml:space="preserve">” means all employees and agents of </w:t>
      </w:r>
      <w:r>
        <w:rPr>
          <w:szCs w:val="22"/>
        </w:rPr>
        <w:t>PS Towers</w:t>
      </w:r>
      <w:r w:rsidRPr="007C0B39">
        <w:rPr>
          <w:szCs w:val="22"/>
        </w:rPr>
        <w:t xml:space="preserve"> who perform, supervise, oversee, or manage the performance of, duties that relate to </w:t>
      </w:r>
      <w:r>
        <w:rPr>
          <w:szCs w:val="22"/>
        </w:rPr>
        <w:t>PS Towers’s</w:t>
      </w:r>
      <w:r w:rsidRPr="007C0B39">
        <w:rPr>
          <w:szCs w:val="22"/>
        </w:rPr>
        <w:t xml:space="preserve"> </w:t>
      </w:r>
      <w:r w:rsidRPr="007C0B39">
        <w:rPr>
          <w:szCs w:val="22"/>
        </w:rPr>
        <w:t xml:space="preserve">responsibilities under the Communications Laws, including the </w:t>
      </w:r>
      <w:r>
        <w:rPr>
          <w:szCs w:val="22"/>
        </w:rPr>
        <w:t>Environmental</w:t>
      </w:r>
      <w:r w:rsidRPr="007C0B39">
        <w:rPr>
          <w:szCs w:val="22"/>
        </w:rPr>
        <w:t xml:space="preserve"> Rules.</w:t>
      </w:r>
    </w:p>
    <w:p w:rsidR="00382840" w:rsidP="00382840" w14:paraId="0F140FDA" w14:textId="77777777">
      <w:pPr>
        <w:numPr>
          <w:ilvl w:val="0"/>
          <w:numId w:val="19"/>
        </w:numPr>
        <w:tabs>
          <w:tab w:val="clear" w:pos="1224"/>
        </w:tabs>
        <w:spacing w:after="120"/>
        <w:ind w:left="1890"/>
        <w:rPr>
          <w:szCs w:val="22"/>
        </w:rPr>
      </w:pPr>
      <w:r w:rsidRPr="007C0B39">
        <w:rPr>
          <w:szCs w:val="22"/>
        </w:rPr>
        <w:t>“</w:t>
      </w:r>
      <w:r w:rsidRPr="007C0B39">
        <w:t>Effective</w:t>
      </w:r>
      <w:r w:rsidRPr="007C0B39">
        <w:rPr>
          <w:szCs w:val="22"/>
        </w:rPr>
        <w:t xml:space="preserve"> Date” means the date by which both the Bureau and </w:t>
      </w:r>
      <w:r>
        <w:rPr>
          <w:szCs w:val="22"/>
        </w:rPr>
        <w:t>PS Towers</w:t>
      </w:r>
      <w:r w:rsidRPr="007C0B39">
        <w:rPr>
          <w:szCs w:val="22"/>
        </w:rPr>
        <w:t xml:space="preserve"> have signed the Consent Decree</w:t>
      </w:r>
      <w:r w:rsidRPr="00827055">
        <w:rPr>
          <w:szCs w:val="22"/>
        </w:rPr>
        <w:t xml:space="preserve"> </w:t>
      </w:r>
      <w:r>
        <w:rPr>
          <w:szCs w:val="22"/>
        </w:rPr>
        <w:t>and the Bureau has released an Adopting Order</w:t>
      </w:r>
      <w:r w:rsidRPr="007C0B39">
        <w:rPr>
          <w:szCs w:val="22"/>
        </w:rPr>
        <w:t>.</w:t>
      </w:r>
    </w:p>
    <w:p w:rsidR="00382840" w:rsidRPr="00EE05D7" w:rsidP="00382840" w14:paraId="0FB0CDC7" w14:textId="77777777">
      <w:pPr>
        <w:numPr>
          <w:ilvl w:val="0"/>
          <w:numId w:val="19"/>
        </w:numPr>
        <w:tabs>
          <w:tab w:val="clear" w:pos="1224"/>
        </w:tabs>
        <w:spacing w:after="120"/>
        <w:ind w:left="1890"/>
        <w:rPr>
          <w:szCs w:val="22"/>
        </w:rPr>
      </w:pPr>
      <w:r w:rsidRPr="00EE05D7">
        <w:rPr>
          <w:szCs w:val="22"/>
        </w:rPr>
        <w:t xml:space="preserve">“Environmental Rules” </w:t>
      </w:r>
      <w:r>
        <w:rPr>
          <w:szCs w:val="22"/>
        </w:rPr>
        <w:t>means s</w:t>
      </w:r>
      <w:r w:rsidRPr="00EE05D7">
        <w:rPr>
          <w:szCs w:val="22"/>
        </w:rPr>
        <w:t>ection</w:t>
      </w:r>
      <w:r>
        <w:rPr>
          <w:szCs w:val="22"/>
        </w:rPr>
        <w:t>s</w:t>
      </w:r>
      <w:r w:rsidRPr="00EE05D7">
        <w:rPr>
          <w:szCs w:val="22"/>
        </w:rPr>
        <w:t xml:space="preserve"> 1</w:t>
      </w:r>
      <w:r w:rsidRPr="002E12BC">
        <w:rPr>
          <w:szCs w:val="22"/>
        </w:rPr>
        <w:t>.1301-1.1319</w:t>
      </w:r>
      <w:r w:rsidRPr="00EE05D7">
        <w:rPr>
          <w:szCs w:val="22"/>
        </w:rPr>
        <w:t xml:space="preserve"> of the Rules</w:t>
      </w:r>
      <w:r>
        <w:rPr>
          <w:rStyle w:val="FootnoteReference"/>
          <w:szCs w:val="22"/>
        </w:rPr>
        <w:footnoteReference w:id="9"/>
      </w:r>
      <w:r w:rsidRPr="00EE05D7">
        <w:rPr>
          <w:szCs w:val="22"/>
        </w:rPr>
        <w:t xml:space="preserve"> and other Communications Laws implementing the National Environmental Policy Act of 1969, as amended (NEPA)</w:t>
      </w:r>
      <w:r>
        <w:rPr>
          <w:szCs w:val="22"/>
        </w:rPr>
        <w:t>,</w:t>
      </w:r>
      <w:r>
        <w:rPr>
          <w:rStyle w:val="FootnoteReference"/>
          <w:szCs w:val="22"/>
        </w:rPr>
        <w:footnoteReference w:id="10"/>
      </w:r>
      <w:r w:rsidRPr="00EE05D7">
        <w:rPr>
          <w:szCs w:val="22"/>
        </w:rPr>
        <w:t xml:space="preserve"> and the National Historic Preservation Act, as amended (NHPA).</w:t>
      </w:r>
      <w:r>
        <w:rPr>
          <w:rStyle w:val="FootnoteReference"/>
          <w:szCs w:val="22"/>
        </w:rPr>
        <w:footnoteReference w:id="11"/>
      </w:r>
    </w:p>
    <w:p w:rsidR="00382840" w:rsidRPr="007C0B39" w:rsidP="00382840" w14:paraId="0CD30BE2" w14:textId="77777777">
      <w:pPr>
        <w:numPr>
          <w:ilvl w:val="0"/>
          <w:numId w:val="19"/>
        </w:numPr>
        <w:tabs>
          <w:tab w:val="clear" w:pos="1224"/>
        </w:tabs>
        <w:spacing w:after="120"/>
        <w:ind w:left="1890"/>
        <w:rPr>
          <w:szCs w:val="22"/>
        </w:rPr>
      </w:pPr>
      <w:r w:rsidRPr="007C0B39">
        <w:rPr>
          <w:szCs w:val="22"/>
        </w:rPr>
        <w:t>“</w:t>
      </w:r>
      <w:r w:rsidRPr="007C0B39">
        <w:t>Investigation</w:t>
      </w:r>
      <w:r w:rsidRPr="007C0B39">
        <w:rPr>
          <w:szCs w:val="22"/>
        </w:rPr>
        <w:t xml:space="preserve">” means the investigation commenced by the Bureau in </w:t>
      </w:r>
      <w:r>
        <w:t>EB-SED-19-00029453</w:t>
      </w:r>
      <w:r>
        <w:rPr>
          <w:szCs w:val="22"/>
        </w:rPr>
        <w:t xml:space="preserve"> </w:t>
      </w:r>
      <w:r w:rsidRPr="007C0B39">
        <w:rPr>
          <w:szCs w:val="22"/>
        </w:rPr>
        <w:t xml:space="preserve">regarding whether </w:t>
      </w:r>
      <w:r>
        <w:rPr>
          <w:szCs w:val="22"/>
        </w:rPr>
        <w:t>PS Towers</w:t>
      </w:r>
      <w:r w:rsidRPr="007C0B39">
        <w:rPr>
          <w:szCs w:val="22"/>
        </w:rPr>
        <w:t xml:space="preserve"> violated the </w:t>
      </w:r>
      <w:r>
        <w:rPr>
          <w:szCs w:val="22"/>
        </w:rPr>
        <w:t xml:space="preserve">Environmental </w:t>
      </w:r>
      <w:r w:rsidRPr="007C0B39">
        <w:rPr>
          <w:szCs w:val="22"/>
        </w:rPr>
        <w:t>Rules.</w:t>
      </w:r>
    </w:p>
    <w:p w:rsidR="00382840" w:rsidRPr="007C0B39" w:rsidP="00382840" w14:paraId="177BA69C" w14:textId="77777777">
      <w:pPr>
        <w:numPr>
          <w:ilvl w:val="0"/>
          <w:numId w:val="19"/>
        </w:numPr>
        <w:tabs>
          <w:tab w:val="clear" w:pos="1224"/>
        </w:tabs>
        <w:spacing w:after="120"/>
        <w:ind w:left="1890"/>
        <w:rPr>
          <w:szCs w:val="22"/>
        </w:rPr>
      </w:pPr>
      <w:r w:rsidRPr="007C0B39">
        <w:rPr>
          <w:szCs w:val="22"/>
        </w:rPr>
        <w:t>“</w:t>
      </w:r>
      <w:r w:rsidRPr="007C0B39">
        <w:t>Operating</w:t>
      </w:r>
      <w:r w:rsidRPr="007C0B39">
        <w:rPr>
          <w:szCs w:val="22"/>
        </w:rPr>
        <w:t xml:space="preserve"> Procedures” means the standard internal operating procedures and compliance policies established by </w:t>
      </w:r>
      <w:r>
        <w:rPr>
          <w:szCs w:val="22"/>
        </w:rPr>
        <w:t>PS Towers</w:t>
      </w:r>
      <w:r w:rsidRPr="007C0B39">
        <w:rPr>
          <w:szCs w:val="22"/>
        </w:rPr>
        <w:t xml:space="preserve"> to implement the Compliance Plan.</w:t>
      </w:r>
    </w:p>
    <w:p w:rsidR="00382840" w:rsidRPr="007C0B39" w:rsidP="00382840" w14:paraId="7DB3696A" w14:textId="77777777">
      <w:pPr>
        <w:numPr>
          <w:ilvl w:val="0"/>
          <w:numId w:val="19"/>
        </w:numPr>
        <w:tabs>
          <w:tab w:val="clear" w:pos="1224"/>
        </w:tabs>
        <w:spacing w:after="120"/>
        <w:ind w:left="1890"/>
        <w:rPr>
          <w:szCs w:val="22"/>
        </w:rPr>
      </w:pPr>
      <w:r w:rsidRPr="007C0B39">
        <w:rPr>
          <w:szCs w:val="22"/>
        </w:rPr>
        <w:t>“</w:t>
      </w:r>
      <w:r w:rsidRPr="007C0B39">
        <w:t>Parties</w:t>
      </w:r>
      <w:r w:rsidRPr="007C0B39">
        <w:rPr>
          <w:szCs w:val="22"/>
        </w:rPr>
        <w:t xml:space="preserve">” means </w:t>
      </w:r>
      <w:r>
        <w:rPr>
          <w:szCs w:val="22"/>
        </w:rPr>
        <w:t>PS Towers</w:t>
      </w:r>
      <w:r w:rsidRPr="007C0B39">
        <w:rPr>
          <w:szCs w:val="22"/>
        </w:rPr>
        <w:t xml:space="preserve"> and the Bureau, each of which is a “Party.”</w:t>
      </w:r>
    </w:p>
    <w:p w:rsidR="00382840" w:rsidRPr="007C0B39" w:rsidP="00382840" w14:paraId="66DFF0EE" w14:textId="77777777">
      <w:pPr>
        <w:numPr>
          <w:ilvl w:val="0"/>
          <w:numId w:val="19"/>
        </w:numPr>
        <w:tabs>
          <w:tab w:val="clear" w:pos="1224"/>
        </w:tabs>
        <w:spacing w:after="120"/>
        <w:ind w:left="1890"/>
        <w:rPr>
          <w:szCs w:val="22"/>
        </w:rPr>
      </w:pPr>
      <w:r w:rsidRPr="007C0B39">
        <w:rPr>
          <w:szCs w:val="22"/>
        </w:rPr>
        <w:t>“</w:t>
      </w:r>
      <w:r w:rsidRPr="007C0B39">
        <w:t>Rules</w:t>
      </w:r>
      <w:r w:rsidRPr="007C0B39">
        <w:rPr>
          <w:szCs w:val="22"/>
        </w:rPr>
        <w:t xml:space="preserve">” </w:t>
      </w:r>
      <w:r w:rsidRPr="007C0B39">
        <w:t>means</w:t>
      </w:r>
      <w:r w:rsidRPr="007C0B39">
        <w:rPr>
          <w:szCs w:val="22"/>
        </w:rPr>
        <w:t xml:space="preserve"> the Commission’s regulations found in Title 47 of the Code of Federal Regulations.</w:t>
      </w:r>
    </w:p>
    <w:p w:rsidR="00382840" w:rsidRPr="007C0B39" w:rsidP="00382840" w14:paraId="382ACA2E" w14:textId="77777777">
      <w:pPr>
        <w:numPr>
          <w:ilvl w:val="0"/>
          <w:numId w:val="19"/>
        </w:numPr>
        <w:tabs>
          <w:tab w:val="clear" w:pos="1224"/>
        </w:tabs>
        <w:spacing w:after="120"/>
        <w:ind w:left="1890"/>
        <w:rPr>
          <w:szCs w:val="22"/>
        </w:rPr>
      </w:pPr>
      <w:r>
        <w:rPr>
          <w:szCs w:val="22"/>
        </w:rPr>
        <w:t>“PS Towers</w:t>
      </w:r>
      <w:r w:rsidRPr="007C0B39">
        <w:rPr>
          <w:szCs w:val="22"/>
        </w:rPr>
        <w:t xml:space="preserve">” means </w:t>
      </w:r>
      <w:r>
        <w:rPr>
          <w:szCs w:val="22"/>
        </w:rPr>
        <w:t xml:space="preserve">Public Service Towers, Inc. </w:t>
      </w:r>
      <w:r w:rsidRPr="007C0B39">
        <w:rPr>
          <w:szCs w:val="22"/>
        </w:rPr>
        <w:t>and its affiliates, subsidiaries, predecessors-in-interest, and successors-in-interest.</w:t>
      </w:r>
    </w:p>
    <w:p w:rsidR="00382840" w:rsidRPr="007C0B39" w:rsidP="00382840" w14:paraId="5C9B19E1" w14:textId="77777777">
      <w:pPr>
        <w:pStyle w:val="Heading1"/>
        <w:rPr>
          <w:szCs w:val="22"/>
        </w:rPr>
      </w:pPr>
      <w:r w:rsidRPr="007C0B39">
        <w:t>BACKGROUND</w:t>
      </w:r>
    </w:p>
    <w:p w:rsidR="00382840" w:rsidP="00382840" w14:paraId="453CBE68" w14:textId="77777777">
      <w:pPr>
        <w:pStyle w:val="ParaNum"/>
      </w:pPr>
      <w:bookmarkStart w:id="3" w:name="FN[FN18]"/>
      <w:bookmarkStart w:id="4" w:name="_Hlk18422698"/>
      <w:bookmarkEnd w:id="3"/>
      <w:r>
        <w:t>Under the Commission’s Environmental Rules, applicants and licensees are required to assess whether proposed facilities may significantly affect the environment, as defined in section 1.1307 of the Rules.</w:t>
      </w:r>
      <w:r>
        <w:rPr>
          <w:rStyle w:val="FootnoteReference"/>
        </w:rPr>
        <w:footnoteReference w:id="12"/>
      </w:r>
      <w:r>
        <w:t xml:space="preserve">  Section 1.1307(a) addresses facilities that may significantly affect the environment, including those that</w:t>
      </w:r>
      <w:r w:rsidRPr="00506CD8">
        <w:t xml:space="preserve">: </w:t>
      </w:r>
      <w:r>
        <w:t xml:space="preserve"> </w:t>
      </w:r>
      <w:r w:rsidRPr="00506CD8">
        <w:t>(a)</w:t>
      </w:r>
      <w:r>
        <w:t xml:space="preserve"> affect threatened or endangered species or their critical habitats, or are likely to jeopardize proposed threatened or endangered species, or destroy or adversely modify proposed critical habitats; </w:t>
      </w:r>
      <w:r w:rsidRPr="00506CD8">
        <w:t>(b)</w:t>
      </w:r>
      <w:r>
        <w:t xml:space="preserve"> may affect districts, sites, buildings, structures or objects that are listed, or eligible for listing, in the National Register; </w:t>
      </w:r>
      <w:r w:rsidRPr="00506CD8">
        <w:t>(c)</w:t>
      </w:r>
      <w:r>
        <w:t xml:space="preserve"> may affect Native American religious sites; or </w:t>
      </w:r>
      <w:r w:rsidRPr="00506CD8">
        <w:t>(d)</w:t>
      </w:r>
      <w:r>
        <w:t xml:space="preserve"> will involve significant change in surface features.</w:t>
      </w:r>
      <w:r>
        <w:rPr>
          <w:rStyle w:val="FootnoteReference"/>
        </w:rPr>
        <w:footnoteReference w:id="13"/>
      </w:r>
      <w:r>
        <w:t xml:space="preserve">  In considering potential effects on historic properties, section 1.1307(a)(4) requires applicants to follow the prescribed procedures set forth in the rules of the Advisory Council on Historic Preservation (Advisory Council),</w:t>
      </w:r>
      <w:r>
        <w:rPr>
          <w:rStyle w:val="FootnoteReference"/>
        </w:rPr>
        <w:footnoteReference w:id="14"/>
      </w:r>
      <w:r>
        <w:t xml:space="preserve"> as modified by the Nationwide Programmatic Agreement for the Collocation of Wireless Antennas (Collocation Agreement)</w:t>
      </w:r>
      <w:r>
        <w:rPr>
          <w:rStyle w:val="FootnoteReference"/>
        </w:rPr>
        <w:footnoteReference w:id="15"/>
      </w:r>
      <w:r>
        <w:t xml:space="preserve"> and the Nationwide Programmatic </w:t>
      </w:r>
      <w:r>
        <w:t xml:space="preserve">Agreement Regarding the </w:t>
      </w:r>
      <w:bookmarkStart w:id="5" w:name="_Hlk507597179"/>
      <w:r>
        <w:t>Section 106 National Historic Preservation Act Review Process</w:t>
      </w:r>
      <w:bookmarkEnd w:id="5"/>
      <w:r>
        <w:t xml:space="preserve"> (NHPA).</w:t>
      </w:r>
      <w:r>
        <w:rPr>
          <w:rStyle w:val="FootnoteReference"/>
        </w:rPr>
        <w:footnoteReference w:id="16"/>
      </w:r>
      <w:r>
        <w:t xml:space="preserve">  These agreements tailor and streamline the review and consultation procedures routinely required by the NHPA</w:t>
      </w:r>
      <w:r>
        <w:rPr>
          <w:rStyle w:val="FootnoteReference"/>
        </w:rPr>
        <w:footnoteReference w:id="17"/>
      </w:r>
      <w:r>
        <w:t xml:space="preserve"> and the implementing regulations issued by the Advisory Council.  </w:t>
      </w:r>
    </w:p>
    <w:p w:rsidR="00382840" w:rsidRPr="00963A79" w:rsidP="00382840" w14:paraId="46616450" w14:textId="77777777">
      <w:pPr>
        <w:pStyle w:val="ParaNum"/>
        <w:snapToGrid w:val="0"/>
      </w:pPr>
      <w:r>
        <w:t xml:space="preserve">PS Towers is an FCC licensee within the State of Georgia.  </w:t>
      </w:r>
      <w:r w:rsidRPr="00E75C10">
        <w:t xml:space="preserve">In </w:t>
      </w:r>
      <w:r>
        <w:t xml:space="preserve">the spring of </w:t>
      </w:r>
      <w:r w:rsidRPr="00E75C10">
        <w:t xml:space="preserve">2018, </w:t>
      </w:r>
      <w:r>
        <w:t>PS Towers</w:t>
      </w:r>
      <w:r w:rsidRPr="00E75C10">
        <w:t xml:space="preserve"> engaged an independent contractor to </w:t>
      </w:r>
      <w:r>
        <w:t xml:space="preserve">plan and manage the construction of a proposed wireless facility in Georgia (Georgia Tower), including completion of the </w:t>
      </w:r>
      <w:r w:rsidRPr="00E75C10">
        <w:t>required environmental and historic preservation review</w:t>
      </w:r>
      <w:r>
        <w:t>s.  T</w:t>
      </w:r>
      <w:r w:rsidRPr="00E75C10">
        <w:t xml:space="preserve">he contractor </w:t>
      </w:r>
      <w:r>
        <w:t>then hired</w:t>
      </w:r>
      <w:r w:rsidRPr="00C83044">
        <w:t xml:space="preserve"> </w:t>
      </w:r>
      <w:r>
        <w:t xml:space="preserve">an environmental consultant </w:t>
      </w:r>
      <w:r w:rsidRPr="00E75C10">
        <w:t xml:space="preserve">to ascertain whether the </w:t>
      </w:r>
      <w:r>
        <w:t xml:space="preserve">Georgia </w:t>
      </w:r>
      <w:r w:rsidRPr="00E75C10">
        <w:t xml:space="preserve">Tower </w:t>
      </w:r>
      <w:r>
        <w:t>w</w:t>
      </w:r>
      <w:r w:rsidRPr="00E75C10">
        <w:t xml:space="preserve">ould significantly affect the environment.  In </w:t>
      </w:r>
      <w:r>
        <w:t xml:space="preserve">May 2019, the consultant </w:t>
      </w:r>
      <w:r w:rsidRPr="00E75C10">
        <w:t xml:space="preserve">notified the Commission’s Wireless Telecommunications Bureau that </w:t>
      </w:r>
      <w:r>
        <w:t xml:space="preserve">PS Towers constructed the Georgia Tower prior to completing the environmental and historic preservation reviews.  </w:t>
      </w:r>
      <w:r w:rsidRPr="00E75C10">
        <w:t xml:space="preserve">The Wireless Telecommunications Bureau referred the matter to the Bureau.  The Bureau’s Spectrum Enforcement Division opened the Investigation and issued </w:t>
      </w:r>
      <w:r>
        <w:t xml:space="preserve">a </w:t>
      </w:r>
      <w:r w:rsidRPr="00E75C10">
        <w:t xml:space="preserve">Letter of Inquiry to </w:t>
      </w:r>
      <w:r>
        <w:t xml:space="preserve">PS Towers, </w:t>
      </w:r>
      <w:r w:rsidRPr="00E75C10">
        <w:t xml:space="preserve">directing </w:t>
      </w:r>
      <w:r>
        <w:t>the Company</w:t>
      </w:r>
      <w:r w:rsidRPr="00E75C10">
        <w:t xml:space="preserve"> to submit sworn written response</w:t>
      </w:r>
      <w:r>
        <w:t>s</w:t>
      </w:r>
      <w:r w:rsidRPr="00E75C10">
        <w:t xml:space="preserve"> to a series of questions relating to </w:t>
      </w:r>
      <w:r>
        <w:t>PS Towers’s</w:t>
      </w:r>
      <w:r w:rsidRPr="00E75C10">
        <w:t xml:space="preserve"> compliance with the Commission’s Environmental Rules.</w:t>
      </w:r>
      <w:r>
        <w:rPr>
          <w:sz w:val="20"/>
          <w:vertAlign w:val="superscript"/>
        </w:rPr>
        <w:footnoteReference w:id="18"/>
      </w:r>
      <w:r w:rsidRPr="00E75C10">
        <w:t xml:space="preserve"> </w:t>
      </w:r>
      <w:r>
        <w:t xml:space="preserve"> PS Towers</w:t>
      </w:r>
      <w:r w:rsidRPr="00E75C10">
        <w:t xml:space="preserve"> filed a response to the Letter of Inquiry on </w:t>
      </w:r>
      <w:r>
        <w:t xml:space="preserve">October 15, 2019 </w:t>
      </w:r>
      <w:r w:rsidRPr="00E75C10">
        <w:t>(</w:t>
      </w:r>
      <w:r>
        <w:t>PS Towers</w:t>
      </w:r>
      <w:r w:rsidRPr="00E75C10">
        <w:t xml:space="preserve"> Response)</w:t>
      </w:r>
      <w:r w:rsidRPr="00963A79">
        <w:t xml:space="preserve">.  </w:t>
      </w:r>
      <w:r w:rsidRPr="005F7932">
        <w:t xml:space="preserve">In the </w:t>
      </w:r>
      <w:r>
        <w:t>PS Towers</w:t>
      </w:r>
      <w:r w:rsidRPr="005F7932">
        <w:t xml:space="preserve"> Response, </w:t>
      </w:r>
      <w:r>
        <w:t>the Company</w:t>
      </w:r>
      <w:r w:rsidRPr="005F7932">
        <w:t xml:space="preserve"> admits that it completed construction of the Georgia Tower by late April 2019, before completing </w:t>
      </w:r>
      <w:r>
        <w:t>the requisite environmental and historic preservation reviews</w:t>
      </w:r>
      <w:r w:rsidRPr="005F7932">
        <w:t>.</w:t>
      </w:r>
      <w:r>
        <w:rPr>
          <w:sz w:val="20"/>
          <w:vertAlign w:val="superscript"/>
        </w:rPr>
        <w:footnoteReference w:id="19"/>
      </w:r>
      <w:r w:rsidRPr="005F7932">
        <w:t xml:space="preserve"> </w:t>
      </w:r>
    </w:p>
    <w:p w:rsidR="00382840" w:rsidP="00382840" w14:paraId="2152244F" w14:textId="77777777">
      <w:pPr>
        <w:pStyle w:val="ParaNum"/>
        <w:snapToGrid w:val="0"/>
      </w:pPr>
      <w:bookmarkStart w:id="7" w:name="_Hlk39148387"/>
      <w:r>
        <w:t>The evidence in the record shows that PS Towers</w:t>
      </w:r>
      <w:bookmarkEnd w:id="7"/>
      <w:r>
        <w:t xml:space="preserve"> violated the Environmental Rules.  Specifically, PS Towers failed to comply with tribal notification procedures and failed to obtain a concurrence of no adverse effect from the State Historic Preservation Office prior to breaking ground on the wireless facility.  PS Towers also failed to review the potential for adverse effects to jurisdictional </w:t>
      </w:r>
      <w:r>
        <w:t>waters of the United States, FEMA-designated Special Flood Hazard Areas, and species and critical habitats protected by the Endangered Species Act.  The Bureau and PS Towers entered into a tolling agreement to toll the statute of limitations and subsequently negotiated the terms and conditions of the Consent Decree.</w:t>
      </w:r>
      <w:bookmarkEnd w:id="4"/>
    </w:p>
    <w:p w:rsidR="00382840" w:rsidRPr="007C0B39" w:rsidP="00382840" w14:paraId="6747BCF8" w14:textId="77777777">
      <w:pPr>
        <w:pStyle w:val="Heading1"/>
      </w:pPr>
      <w:r w:rsidRPr="007C0B39">
        <w:t>TERMS OF AGREEMENT</w:t>
      </w:r>
    </w:p>
    <w:p w:rsidR="00382840" w:rsidRPr="007C0B39" w:rsidP="00382840" w14:paraId="462960DE" w14:textId="77777777">
      <w:pPr>
        <w:pStyle w:val="ParaNum"/>
        <w:rPr>
          <w:szCs w:val="22"/>
        </w:rPr>
      </w:pPr>
      <w:r w:rsidRPr="007C0B39">
        <w:rPr>
          <w:b/>
          <w:szCs w:val="22"/>
          <w:u w:val="single"/>
        </w:rPr>
        <w:t>Adopting Order</w:t>
      </w:r>
      <w:r w:rsidRPr="007C0B39">
        <w:rPr>
          <w:szCs w:val="22"/>
        </w:rPr>
        <w:t>.  The provisions of this Consent Decree shall be incorporated by the Bureau in an Adopting Order.</w:t>
      </w:r>
    </w:p>
    <w:p w:rsidR="00382840" w:rsidRPr="007C0B39" w:rsidP="00382840" w14:paraId="3C75F845" w14:textId="77777777">
      <w:pPr>
        <w:pStyle w:val="ParaNum"/>
        <w:widowControl/>
        <w:rPr>
          <w:szCs w:val="22"/>
        </w:rPr>
      </w:pPr>
      <w:r w:rsidRPr="007C0B39">
        <w:rPr>
          <w:b/>
          <w:szCs w:val="22"/>
          <w:u w:val="single"/>
        </w:rPr>
        <w:t>Jurisdiction</w:t>
      </w:r>
      <w:r w:rsidRPr="007C0B39">
        <w:rPr>
          <w:szCs w:val="22"/>
        </w:rPr>
        <w:t xml:space="preserve">.  </w:t>
      </w:r>
      <w:r>
        <w:rPr>
          <w:szCs w:val="22"/>
        </w:rPr>
        <w:t>PS Towers</w:t>
      </w:r>
      <w:r w:rsidRPr="007C0B39">
        <w:rPr>
          <w:szCs w:val="22"/>
        </w:rPr>
        <w:t xml:space="preserve"> agrees that the Bureau has jurisdiction over it and the matters contained in this Consent Decree and has the </w:t>
      </w:r>
      <w:r w:rsidRPr="00ED419F">
        <w:t>authority</w:t>
      </w:r>
      <w:r w:rsidRPr="007C0B39">
        <w:rPr>
          <w:szCs w:val="22"/>
        </w:rPr>
        <w:t xml:space="preserve"> to enter into and adopt this Consent Decree.</w:t>
      </w:r>
    </w:p>
    <w:p w:rsidR="00382840" w:rsidRPr="007C0B39" w:rsidP="00382840" w14:paraId="14C23DD2" w14:textId="77777777">
      <w:pPr>
        <w:pStyle w:val="ParaNum"/>
        <w:rPr>
          <w:szCs w:val="22"/>
        </w:rPr>
      </w:pPr>
      <w:r w:rsidRPr="007C0B39">
        <w:rPr>
          <w:b/>
          <w:szCs w:val="22"/>
          <w:u w:val="single"/>
        </w:rPr>
        <w:t>Effective Date; Violations</w:t>
      </w:r>
      <w:r w:rsidRPr="007C0B39">
        <w:rPr>
          <w:szCs w:val="22"/>
        </w:rPr>
        <w:t xml:space="preserve">.  The </w:t>
      </w:r>
      <w:r w:rsidRPr="00ED419F">
        <w:t>Parties</w:t>
      </w:r>
      <w:r w:rsidRPr="007C0B39">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rsidR="00382840" w:rsidRPr="00C566EC" w:rsidP="00382840" w14:paraId="7ACA5117" w14:textId="77777777">
      <w:pPr>
        <w:pStyle w:val="ParaNum"/>
        <w:rPr>
          <w:szCs w:val="22"/>
        </w:rPr>
      </w:pPr>
      <w:bookmarkStart w:id="8" w:name="_Ref23868117"/>
      <w:r w:rsidRPr="007C0B39">
        <w:rPr>
          <w:b/>
          <w:szCs w:val="22"/>
          <w:u w:val="single"/>
        </w:rPr>
        <w:t>Termination of Investigation</w:t>
      </w:r>
      <w:r w:rsidRPr="007C0B39">
        <w:rPr>
          <w:szCs w:val="22"/>
        </w:rPr>
        <w:t xml:space="preserve">.  In express reliance </w:t>
      </w:r>
      <w:r w:rsidRPr="007C0B39">
        <w:t>on</w:t>
      </w:r>
      <w:r w:rsidRPr="007C0B39">
        <w:rPr>
          <w:szCs w:val="22"/>
        </w:rPr>
        <w:t xml:space="preserve"> the covenants and representations in this Consent Decree and to avoid further expenditure of public resources, the Bureau agrees to terminate the Investigation.  In consideration for the termination of the Investigation, </w:t>
      </w:r>
      <w:r>
        <w:rPr>
          <w:szCs w:val="22"/>
        </w:rPr>
        <w:t>PS Towers</w:t>
      </w:r>
      <w:r w:rsidRPr="007C0B39">
        <w:rPr>
          <w:szCs w:val="22"/>
        </w:rPr>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w:t>
      </w:r>
      <w:r>
        <w:rPr>
          <w:szCs w:val="22"/>
        </w:rPr>
        <w:t>PS Towers</w:t>
      </w:r>
      <w:r w:rsidRPr="007C0B39">
        <w:rPr>
          <w:szCs w:val="22"/>
        </w:rPr>
        <w:t xml:space="preserve"> concerning the matters that were the subject of the Investigation</w:t>
      </w:r>
      <w:r>
        <w:t>, or to set for hearing the question of PS Towers’s basic qualifications to be a Commission licensee or hold Commission licenses or authorizations.</w:t>
      </w:r>
      <w:r>
        <w:rPr>
          <w:rStyle w:val="FootnoteReference"/>
        </w:rPr>
        <w:footnoteReference w:id="20"/>
      </w:r>
      <w:bookmarkEnd w:id="8"/>
    </w:p>
    <w:p w:rsidR="00382840" w:rsidRPr="00645A48" w:rsidP="00382840" w14:paraId="3E95DB36" w14:textId="77777777">
      <w:pPr>
        <w:pStyle w:val="ParaNum"/>
        <w:rPr>
          <w:szCs w:val="22"/>
        </w:rPr>
      </w:pPr>
      <w:r w:rsidRPr="00645A48">
        <w:rPr>
          <w:b/>
          <w:szCs w:val="22"/>
          <w:u w:val="single"/>
        </w:rPr>
        <w:t>Scope of Termination</w:t>
      </w:r>
      <w:r w:rsidRPr="00645A48">
        <w:rPr>
          <w:szCs w:val="22"/>
        </w:rPr>
        <w:t xml:space="preserve">.  </w:t>
      </w:r>
      <w:r>
        <w:rPr>
          <w:szCs w:val="22"/>
        </w:rPr>
        <w:t>PS Towers</w:t>
      </w:r>
      <w:r w:rsidRPr="00645A48">
        <w:rPr>
          <w:szCs w:val="22"/>
        </w:rPr>
        <w:t xml:space="preserve"> and the Bureau agree and acknowledge that this Consent Decree is limited to resolving current violations of the Environmental Rules with respect to the Georgia Tower.  The Parties agree that the execution of this Consent Decree does not represent completion of the required environmental review process for the facility and does not alter the licensing or authorization status of the facility.  The Parties further agree that this Consent Decree does not excuse </w:t>
      </w:r>
      <w:r>
        <w:rPr>
          <w:szCs w:val="22"/>
        </w:rPr>
        <w:t>PS Towers</w:t>
      </w:r>
      <w:r w:rsidRPr="00645A48">
        <w:rPr>
          <w:szCs w:val="22"/>
        </w:rPr>
        <w:t xml:space="preserve"> from taking further action identified by the Wireless Telecommunications Bureau, if needed, in connection with the Environmental Rules.  </w:t>
      </w:r>
    </w:p>
    <w:p w:rsidR="00382840" w:rsidRPr="00FC5D3F" w:rsidP="00382840" w14:paraId="16078A33" w14:textId="77777777">
      <w:pPr>
        <w:pStyle w:val="ParaNum"/>
        <w:rPr>
          <w:szCs w:val="22"/>
        </w:rPr>
      </w:pPr>
      <w:r w:rsidRPr="007C0B39">
        <w:rPr>
          <w:b/>
          <w:u w:val="single"/>
        </w:rPr>
        <w:t>Admission of Liability</w:t>
      </w:r>
      <w:r w:rsidRPr="007C0B39">
        <w:t xml:space="preserve">.  </w:t>
      </w:r>
      <w:r>
        <w:t>PS Towers</w:t>
      </w:r>
      <w:r w:rsidRPr="007C0B39">
        <w:t xml:space="preserve"> admits for the purpose of this Consent Decree and for Commission civil enforcement purposes, and in express reliance on the provisions of paragraph </w:t>
      </w:r>
      <w:r>
        <w:fldChar w:fldCharType="begin"/>
      </w:r>
      <w:r>
        <w:instrText xml:space="preserve"> REF _Ref23868117 \r \h </w:instrText>
      </w:r>
      <w:r>
        <w:fldChar w:fldCharType="separate"/>
      </w:r>
      <w:r>
        <w:t>9</w:t>
      </w:r>
      <w:r>
        <w:fldChar w:fldCharType="end"/>
      </w:r>
      <w:r w:rsidRPr="007C0B39">
        <w:t xml:space="preserve"> herein,</w:t>
      </w:r>
      <w:r>
        <w:rPr>
          <w:szCs w:val="22"/>
        </w:rPr>
        <w:t xml:space="preserve"> </w:t>
      </w:r>
      <w:r w:rsidRPr="00FC5D3F">
        <w:rPr>
          <w:szCs w:val="22"/>
        </w:rPr>
        <w:t>that its actions violated the</w:t>
      </w:r>
      <w:r w:rsidRPr="00FC5D3F">
        <w:rPr>
          <w:i/>
          <w:szCs w:val="22"/>
        </w:rPr>
        <w:t xml:space="preserve"> </w:t>
      </w:r>
      <w:r>
        <w:rPr>
          <w:szCs w:val="22"/>
        </w:rPr>
        <w:t>Environmental Rules.</w:t>
      </w:r>
    </w:p>
    <w:p w:rsidR="00382840" w:rsidRPr="007C0B39" w:rsidP="00382840" w14:paraId="3A4D895D" w14:textId="77777777">
      <w:pPr>
        <w:pStyle w:val="ParaNum"/>
        <w:rPr>
          <w:szCs w:val="22"/>
        </w:rPr>
      </w:pPr>
      <w:bookmarkStart w:id="9" w:name="_Ref379202869"/>
      <w:r w:rsidRPr="007C0B39">
        <w:rPr>
          <w:b/>
          <w:szCs w:val="22"/>
          <w:u w:val="single"/>
        </w:rPr>
        <w:t>Compliance Officer</w:t>
      </w:r>
      <w:r w:rsidRPr="007C0B39">
        <w:rPr>
          <w:szCs w:val="22"/>
        </w:rPr>
        <w:t xml:space="preserve">.  Within thirty (30) </w:t>
      </w:r>
      <w:r w:rsidRPr="007C0B39">
        <w:t>calendar</w:t>
      </w:r>
      <w:r w:rsidRPr="007C0B39">
        <w:rPr>
          <w:szCs w:val="22"/>
        </w:rPr>
        <w:t xml:space="preserve"> days after the Effective Date, </w:t>
      </w:r>
      <w:r>
        <w:rPr>
          <w:szCs w:val="22"/>
        </w:rPr>
        <w:t>PS Towers</w:t>
      </w:r>
      <w:r w:rsidRPr="007C0B39">
        <w:rPr>
          <w:szCs w:val="22"/>
        </w:rPr>
        <w:t xml:space="preserve"> shall designate a senior corporate manager with the requisite corporate</w:t>
      </w:r>
      <w:r>
        <w:rPr>
          <w:szCs w:val="22"/>
        </w:rPr>
        <w:t>, budgetary,</w:t>
      </w:r>
      <w:r w:rsidRPr="007C0B39">
        <w:rPr>
          <w:szCs w:val="22"/>
        </w:rPr>
        <w:t xml:space="preserve"> and organizational authority to serve as a Compliance Officer and to discharge the duties set forth below.  The person designated as the Compliance Officer shall be responsible for developing, implementing, and administering the Compliance Plan and ensuring that </w:t>
      </w:r>
      <w:r>
        <w:t>PS Towers</w:t>
      </w:r>
      <w:r w:rsidRPr="007C0B39">
        <w:t xml:space="preserve"> </w:t>
      </w:r>
      <w:r w:rsidRPr="007C0B39">
        <w:rPr>
          <w:szCs w:val="22"/>
        </w:rPr>
        <w:t xml:space="preserve">complies with the terms and conditions of the Compliance Plan and this Consent Decree.   In </w:t>
      </w:r>
      <w:r w:rsidRPr="00ED419F">
        <w:t>addition</w:t>
      </w:r>
      <w:r w:rsidRPr="007C0B39">
        <w:rPr>
          <w:szCs w:val="22"/>
        </w:rPr>
        <w:t xml:space="preserve"> to the general knowledge of the Communications Laws necessary to discharge his or her duties under this Consent Decree, the Compliance Officer shall have specific knowledge of the </w:t>
      </w:r>
      <w:r>
        <w:rPr>
          <w:szCs w:val="22"/>
        </w:rPr>
        <w:t>Environmental</w:t>
      </w:r>
      <w:r w:rsidRPr="007C0B39">
        <w:rPr>
          <w:szCs w:val="22"/>
        </w:rPr>
        <w:t xml:space="preserve"> Rules prior to assuming his/her duties.</w:t>
      </w:r>
      <w:bookmarkEnd w:id="9"/>
    </w:p>
    <w:p w:rsidR="00382840" w:rsidRPr="007C0B39" w:rsidP="00382840" w14:paraId="4B9B8F86" w14:textId="77777777">
      <w:pPr>
        <w:pStyle w:val="ParaNum"/>
        <w:widowControl/>
        <w:rPr>
          <w:szCs w:val="22"/>
        </w:rPr>
      </w:pPr>
      <w:bookmarkStart w:id="10" w:name="_Ref357521857"/>
      <w:r w:rsidRPr="007C0B39">
        <w:rPr>
          <w:b/>
          <w:szCs w:val="22"/>
          <w:u w:val="single"/>
        </w:rPr>
        <w:t>Compliance Plan</w:t>
      </w:r>
      <w:r w:rsidRPr="007C0B39">
        <w:rPr>
          <w:szCs w:val="22"/>
        </w:rPr>
        <w:t xml:space="preserve">.  For purposes of settling the matters set forth herein, </w:t>
      </w:r>
      <w:r>
        <w:t>PS Towers</w:t>
      </w:r>
      <w:r w:rsidRPr="007C0B39">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w:t>
      </w:r>
      <w:r>
        <w:rPr>
          <w:szCs w:val="22"/>
        </w:rPr>
        <w:t>Environmental</w:t>
      </w:r>
      <w:r w:rsidRPr="007C0B39">
        <w:rPr>
          <w:szCs w:val="22"/>
        </w:rPr>
        <w:t xml:space="preserve"> Rules, </w:t>
      </w:r>
      <w:r>
        <w:t>PS Towers</w:t>
      </w:r>
      <w:r w:rsidRPr="007C0B39">
        <w:rPr>
          <w:szCs w:val="22"/>
        </w:rPr>
        <w:t xml:space="preserve"> will implement, at a minimum, the following procedures:</w:t>
      </w:r>
      <w:bookmarkEnd w:id="10"/>
    </w:p>
    <w:p w:rsidR="00382840" w:rsidRPr="007C0B39" w:rsidP="00382840" w14:paraId="29DDE03F" w14:textId="77777777">
      <w:pPr>
        <w:widowControl/>
        <w:numPr>
          <w:ilvl w:val="0"/>
          <w:numId w:val="20"/>
        </w:numPr>
        <w:tabs>
          <w:tab w:val="clear" w:pos="1656"/>
        </w:tabs>
        <w:spacing w:after="120"/>
        <w:ind w:left="1886"/>
        <w:rPr>
          <w:szCs w:val="22"/>
        </w:rPr>
      </w:pPr>
      <w:r w:rsidRPr="007C0B39">
        <w:rPr>
          <w:b/>
          <w:szCs w:val="22"/>
          <w:u w:val="single"/>
        </w:rPr>
        <w:t>Operating Procedures</w:t>
      </w:r>
      <w:r>
        <w:rPr>
          <w:szCs w:val="22"/>
        </w:rPr>
        <w:t>.  Within thirty (3</w:t>
      </w:r>
      <w:r w:rsidRPr="007C0B39">
        <w:rPr>
          <w:szCs w:val="22"/>
        </w:rPr>
        <w:t xml:space="preserve">0) calendar days after the Effective Date, </w:t>
      </w:r>
      <w:r>
        <w:rPr>
          <w:szCs w:val="22"/>
        </w:rPr>
        <w:t>PS Towers</w:t>
      </w:r>
      <w:r w:rsidRPr="007C0B39">
        <w:rPr>
          <w:szCs w:val="22"/>
        </w:rPr>
        <w:t xml:space="preserve"> shall establish Operating Procedures that all Covered Employees must follow to help ensure </w:t>
      </w:r>
      <w:r>
        <w:t>PS Towers’s</w:t>
      </w:r>
      <w:r w:rsidRPr="007C0B39">
        <w:rPr>
          <w:szCs w:val="22"/>
        </w:rPr>
        <w:t xml:space="preserve"> compliance with the </w:t>
      </w:r>
      <w:r>
        <w:rPr>
          <w:szCs w:val="22"/>
        </w:rPr>
        <w:t>Environmental</w:t>
      </w:r>
      <w:r w:rsidRPr="007C0B39">
        <w:rPr>
          <w:szCs w:val="22"/>
        </w:rPr>
        <w:t xml:space="preserve"> Rules.  </w:t>
      </w:r>
      <w:r>
        <w:t>PS Towers’s</w:t>
      </w:r>
      <w:r w:rsidRPr="007C0B39">
        <w:rPr>
          <w:szCs w:val="22"/>
        </w:rPr>
        <w:t xml:space="preserve"> Operating Procedures shall include internal procedures and policies specifically designed to ensure that </w:t>
      </w:r>
      <w:r>
        <w:rPr>
          <w:szCs w:val="22"/>
        </w:rPr>
        <w:t>all environmental review and consultation obligations are fully satisfied prior to commencing construction on any proposed wireless facilities</w:t>
      </w:r>
      <w:r w:rsidRPr="007C0B39">
        <w:rPr>
          <w:szCs w:val="22"/>
        </w:rPr>
        <w:t xml:space="preserve">.  </w:t>
      </w:r>
      <w:r>
        <w:t>PS Towers</w:t>
      </w:r>
      <w:r w:rsidRPr="007C0B39">
        <w:t xml:space="preserve"> </w:t>
      </w:r>
      <w:r w:rsidRPr="007C0B39">
        <w:rPr>
          <w:szCs w:val="22"/>
        </w:rPr>
        <w:t xml:space="preserve">shall also develop a Compliance Checklist that describes the steps that a Covered Employee must follow to ensure compliance with the </w:t>
      </w:r>
      <w:r>
        <w:rPr>
          <w:szCs w:val="22"/>
        </w:rPr>
        <w:t>Environmental</w:t>
      </w:r>
      <w:r w:rsidRPr="007C0B39">
        <w:rPr>
          <w:szCs w:val="22"/>
        </w:rPr>
        <w:t xml:space="preserve"> Rules.</w:t>
      </w:r>
    </w:p>
    <w:p w:rsidR="00382840" w:rsidRPr="007C0B39" w:rsidP="00382840" w14:paraId="3FF09F30" w14:textId="77777777">
      <w:pPr>
        <w:widowControl/>
        <w:numPr>
          <w:ilvl w:val="0"/>
          <w:numId w:val="20"/>
        </w:numPr>
        <w:tabs>
          <w:tab w:val="clear" w:pos="1656"/>
        </w:tabs>
        <w:spacing w:after="120"/>
        <w:ind w:left="1886"/>
        <w:rPr>
          <w:szCs w:val="22"/>
        </w:rPr>
      </w:pPr>
      <w:r w:rsidRPr="007C0B39">
        <w:rPr>
          <w:b/>
          <w:szCs w:val="22"/>
          <w:u w:val="single"/>
        </w:rPr>
        <w:t>Compliance Manual</w:t>
      </w:r>
      <w:r w:rsidRPr="007C0B39">
        <w:rPr>
          <w:szCs w:val="22"/>
        </w:rPr>
        <w:t xml:space="preserve">.  Within sixty (60) calendar days after the Effective Date, the Compliance Officer shall develop and distribute a Compliance Manual to all Covered Employees.  The Compliance Manual shall explain the </w:t>
      </w:r>
      <w:r>
        <w:rPr>
          <w:szCs w:val="22"/>
        </w:rPr>
        <w:t>Environmental</w:t>
      </w:r>
      <w:r w:rsidRPr="007C0B39">
        <w:rPr>
          <w:szCs w:val="22"/>
        </w:rPr>
        <w:t xml:space="preserve"> Rules and set forth the Operating Procedures that Covered Employees shall follow to help ensure </w:t>
      </w:r>
      <w:r>
        <w:t>PS Towers’s</w:t>
      </w:r>
      <w:r w:rsidRPr="007C0B39">
        <w:rPr>
          <w:szCs w:val="22"/>
        </w:rPr>
        <w:t xml:space="preserve"> compliance with the </w:t>
      </w:r>
      <w:r>
        <w:rPr>
          <w:szCs w:val="22"/>
        </w:rPr>
        <w:t>Environmental</w:t>
      </w:r>
      <w:r w:rsidRPr="007C0B39">
        <w:rPr>
          <w:szCs w:val="22"/>
        </w:rPr>
        <w:t xml:space="preserve"> Rules.  </w:t>
      </w:r>
      <w:r>
        <w:t>PS Towers</w:t>
      </w:r>
      <w:r w:rsidRPr="007C0B39">
        <w:rPr>
          <w:szCs w:val="22"/>
        </w:rPr>
        <w:t xml:space="preserve"> shall periodically review and revise the Compliance Manual as necessary to ensure that the information set forth therein remains current and accurate.  </w:t>
      </w:r>
      <w:r>
        <w:t>PS Towers</w:t>
      </w:r>
      <w:r w:rsidRPr="007C0B39">
        <w:rPr>
          <w:szCs w:val="22"/>
        </w:rPr>
        <w:t xml:space="preserve"> shall distribute any revisions to the Compliance Manual promptly to all Covered Employees.</w:t>
      </w:r>
    </w:p>
    <w:p w:rsidR="00382840" w:rsidRPr="007C0B39" w:rsidP="00382840" w14:paraId="0D17C729" w14:textId="77777777">
      <w:pPr>
        <w:widowControl/>
        <w:numPr>
          <w:ilvl w:val="0"/>
          <w:numId w:val="20"/>
        </w:numPr>
        <w:tabs>
          <w:tab w:val="clear" w:pos="1656"/>
        </w:tabs>
        <w:spacing w:after="120"/>
        <w:ind w:left="1886"/>
      </w:pPr>
      <w:r w:rsidRPr="007C0B39">
        <w:rPr>
          <w:b/>
          <w:szCs w:val="22"/>
          <w:u w:val="single"/>
        </w:rPr>
        <w:t>Compliance Training Program</w:t>
      </w:r>
      <w:r w:rsidRPr="007C0B39">
        <w:rPr>
          <w:szCs w:val="22"/>
        </w:rPr>
        <w:t xml:space="preserve">.  </w:t>
      </w:r>
      <w:r>
        <w:t>PS Towers</w:t>
      </w:r>
      <w:r w:rsidRPr="007C0B39">
        <w:rPr>
          <w:szCs w:val="22"/>
        </w:rPr>
        <w:t xml:space="preserve"> shall establish and implement a Compliance Training Program </w:t>
      </w:r>
      <w:r>
        <w:rPr>
          <w:szCs w:val="22"/>
        </w:rPr>
        <w:t>i</w:t>
      </w:r>
      <w:r w:rsidRPr="007C0B39">
        <w:rPr>
          <w:szCs w:val="22"/>
        </w:rPr>
        <w:t xml:space="preserve">n compliance with the </w:t>
      </w:r>
      <w:r>
        <w:rPr>
          <w:szCs w:val="22"/>
        </w:rPr>
        <w:t>Environmental</w:t>
      </w:r>
      <w:r w:rsidRPr="007C0B39">
        <w:rPr>
          <w:szCs w:val="22"/>
        </w:rPr>
        <w:t xml:space="preserve"> Rules and the Operating Procedures.  As part of the Compliance Training Program, Covered Employees shall be advised of </w:t>
      </w:r>
      <w:r>
        <w:t>PS Towers’s</w:t>
      </w:r>
      <w:r w:rsidRPr="007C0B39">
        <w:rPr>
          <w:szCs w:val="22"/>
        </w:rPr>
        <w:t xml:space="preserve"> obligation to report any noncompliance with the </w:t>
      </w:r>
      <w:r>
        <w:rPr>
          <w:szCs w:val="22"/>
        </w:rPr>
        <w:t>Environmental</w:t>
      </w:r>
      <w:r w:rsidRPr="007C0B39">
        <w:rPr>
          <w:szCs w:val="22"/>
        </w:rPr>
        <w:t xml:space="preserve"> Rules under </w:t>
      </w:r>
      <w:r>
        <w:rPr>
          <w:szCs w:val="22"/>
        </w:rPr>
        <w:t xml:space="preserve">paragraph </w:t>
      </w:r>
      <w:r>
        <w:rPr>
          <w:szCs w:val="22"/>
        </w:rPr>
        <w:fldChar w:fldCharType="begin"/>
      </w:r>
      <w:r>
        <w:rPr>
          <w:szCs w:val="22"/>
        </w:rPr>
        <w:instrText xml:space="preserve"> REF _Ref23865353 \r \h </w:instrText>
      </w:r>
      <w:r>
        <w:rPr>
          <w:szCs w:val="22"/>
        </w:rPr>
        <w:fldChar w:fldCharType="separate"/>
      </w:r>
      <w:r>
        <w:rPr>
          <w:szCs w:val="22"/>
        </w:rPr>
        <w:t>14</w:t>
      </w:r>
      <w:r>
        <w:rPr>
          <w:szCs w:val="22"/>
        </w:rPr>
        <w:fldChar w:fldCharType="end"/>
      </w:r>
      <w:r w:rsidRPr="007C0B39">
        <w:rPr>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w:t>
      </w:r>
      <w:r>
        <w:t>PS Towers</w:t>
      </w:r>
      <w:r w:rsidRPr="007C0B39">
        <w:rPr>
          <w:szCs w:val="22"/>
        </w:rPr>
        <w:t xml:space="preserve"> shall repeat compliance training on an annual basis and shall periodically review and revise the Compliance Training Program as necessary to ensure that it remains current and complete and to enhance its effectiveness.</w:t>
      </w:r>
    </w:p>
    <w:p w:rsidR="00382840" w:rsidRPr="007C0B39" w:rsidP="00382840" w14:paraId="644037C0" w14:textId="77777777">
      <w:pPr>
        <w:pStyle w:val="ParaNum"/>
      </w:pPr>
      <w:bookmarkStart w:id="11" w:name="_Ref23865353"/>
      <w:bookmarkStart w:id="12" w:name="_Ref321323028"/>
      <w:r w:rsidRPr="007C0B39">
        <w:rPr>
          <w:b/>
          <w:u w:val="single"/>
        </w:rPr>
        <w:t>Reporting Noncompliance</w:t>
      </w:r>
      <w:r w:rsidRPr="007C0B39">
        <w:t xml:space="preserve">.  </w:t>
      </w:r>
      <w:r>
        <w:t>PS Towers</w:t>
      </w:r>
      <w:r w:rsidRPr="007C0B39">
        <w:t xml:space="preserve"> shall report any noncompliance with the </w:t>
      </w:r>
      <w:r>
        <w:t>Environmental</w:t>
      </w:r>
      <w:r w:rsidRPr="007C0B39">
        <w:t xml:space="preserve"> Rules and with the terms and conditions of this Consent Decree within fifteen (15) calendar days after discovery of such noncompliance.  Such reports shall include a detailed explanation of:  (i) each instance of noncompliance; (ii) the steps that </w:t>
      </w:r>
      <w:r>
        <w:t>PS Towers</w:t>
      </w:r>
      <w:r w:rsidRPr="007C0B39">
        <w:t xml:space="preserve"> has taken or will take to remedy such noncompliance; (iii) the schedule on which such remedial actions will be taken; and (iv) the steps that </w:t>
      </w:r>
      <w:r>
        <w:t>PS Towers</w:t>
      </w:r>
      <w:r w:rsidRPr="007C0B39">
        <w:t xml:space="preserve"> has taken or will take to prevent the recurrence of any such noncompliance.  All reports of noncompliance shall be submitted </w:t>
      </w:r>
      <w:r>
        <w:t xml:space="preserve">electronically </w:t>
      </w:r>
      <w:r w:rsidRPr="007C0B39">
        <w:t>to</w:t>
      </w:r>
      <w:r w:rsidRPr="001B6E59">
        <w:t xml:space="preserve"> </w:t>
      </w:r>
      <w:r>
        <w:t xml:space="preserve">the </w:t>
      </w:r>
      <w:r>
        <w:rPr>
          <w:szCs w:val="22"/>
        </w:rPr>
        <w:t xml:space="preserve">Chief, Spectrum Enforcement Division, Enforcement Bureau, Federal Communications Commission, at </w:t>
      </w:r>
      <w:hyperlink r:id="rId8" w:history="1">
        <w:r w:rsidRPr="0048280E">
          <w:rPr>
            <w:rStyle w:val="Hyperlink"/>
          </w:rPr>
          <w:t>EB-SED-Response@fcc.gov</w:t>
        </w:r>
      </w:hyperlink>
      <w:r>
        <w:t xml:space="preserve">, with a copy submitted electronically to Jane Kelly at </w:t>
      </w:r>
      <w:hyperlink r:id="rId9" w:history="1">
        <w:r w:rsidRPr="0048280E">
          <w:rPr>
            <w:rStyle w:val="Hyperlink"/>
          </w:rPr>
          <w:t>Jane.Kelly@fcc.gov</w:t>
        </w:r>
      </w:hyperlink>
      <w:r>
        <w:t>.</w:t>
      </w:r>
      <w:bookmarkEnd w:id="11"/>
      <w:r>
        <w:t xml:space="preserve"> </w:t>
      </w:r>
      <w:bookmarkEnd w:id="12"/>
    </w:p>
    <w:p w:rsidR="00382840" w:rsidRPr="007C0B39" w:rsidP="00382840" w14:paraId="0EA7A203" w14:textId="77777777">
      <w:pPr>
        <w:pStyle w:val="ParaNum"/>
        <w:rPr>
          <w:caps/>
        </w:rPr>
      </w:pPr>
      <w:bookmarkStart w:id="13" w:name="_Ref379202892"/>
      <w:r w:rsidRPr="007C0B39">
        <w:rPr>
          <w:b/>
          <w:u w:val="single"/>
        </w:rPr>
        <w:t>Compliance Reports</w:t>
      </w:r>
      <w:r w:rsidRPr="007C0B39">
        <w:t xml:space="preserve">.  </w:t>
      </w:r>
      <w:r>
        <w:t>PS Towers</w:t>
      </w:r>
      <w:r w:rsidRPr="007C0B39">
        <w:t xml:space="preserve"> shall file compliance reports with the Commission ninety (90) calendar days after the Effective Date, twelve (12) months after the Effective Date, twenty-four (24) months after the Effective Date, and thirty-six (36) months after the Effective Date.</w:t>
      </w:r>
      <w:bookmarkEnd w:id="13"/>
      <w:r w:rsidRPr="007C0B39">
        <w:t xml:space="preserve">  </w:t>
      </w:r>
    </w:p>
    <w:p w:rsidR="00382840" w:rsidRPr="007C0B39" w:rsidP="00382840" w14:paraId="4FFEF7B9" w14:textId="77777777">
      <w:pPr>
        <w:widowControl/>
        <w:numPr>
          <w:ilvl w:val="0"/>
          <w:numId w:val="21"/>
        </w:numPr>
        <w:tabs>
          <w:tab w:val="clear" w:pos="1782"/>
        </w:tabs>
        <w:spacing w:after="120"/>
        <w:ind w:left="1886"/>
        <w:rPr>
          <w:szCs w:val="22"/>
        </w:rPr>
      </w:pPr>
      <w:r w:rsidRPr="007C0B39">
        <w:rPr>
          <w:szCs w:val="22"/>
        </w:rPr>
        <w:t xml:space="preserve">Each Compliance Report shall include a detailed description of </w:t>
      </w:r>
      <w:r>
        <w:t>PS Towers’s</w:t>
      </w:r>
      <w:r w:rsidRPr="007C0B39">
        <w:rPr>
          <w:szCs w:val="22"/>
        </w:rPr>
        <w:t xml:space="preserve"> efforts during the relevant period to comply with the terms and conditions of this Consent Decree and the </w:t>
      </w:r>
      <w:r>
        <w:rPr>
          <w:szCs w:val="22"/>
        </w:rPr>
        <w:t>Environmental</w:t>
      </w:r>
      <w:r w:rsidRPr="007C0B39">
        <w:rPr>
          <w:szCs w:val="22"/>
        </w:rPr>
        <w:t xml:space="preserve"> Rules.  In addition, each Compliance Report shall include a certification by the Compliance Officer, as an agent of and on behalf of </w:t>
      </w:r>
      <w:r>
        <w:t>PS Towers</w:t>
      </w:r>
      <w:r w:rsidRPr="007C0B39">
        <w:rPr>
          <w:szCs w:val="22"/>
        </w:rPr>
        <w:t xml:space="preserve">, stating that the Compliance Officer has personal knowledge that </w:t>
      </w:r>
      <w:r>
        <w:t>PS Towers</w:t>
      </w:r>
      <w:r w:rsidRPr="007C0B39">
        <w:t>:</w:t>
      </w:r>
      <w:r w:rsidRPr="007C0B39">
        <w:rPr>
          <w:szCs w:val="22"/>
        </w:rPr>
        <w:t xml:space="preserve">  (i) has established and implemented the Compliance Plan; (ii) has utilized </w:t>
      </w:r>
      <w:r w:rsidRPr="007C0B39">
        <w:rPr>
          <w:szCs w:val="22"/>
        </w:rPr>
        <w:t xml:space="preserve">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_Ref23865353 \r \h </w:instrText>
      </w:r>
      <w:r>
        <w:rPr>
          <w:szCs w:val="22"/>
        </w:rPr>
        <w:fldChar w:fldCharType="separate"/>
      </w:r>
      <w:r>
        <w:rPr>
          <w:szCs w:val="22"/>
        </w:rPr>
        <w:t>14</w:t>
      </w:r>
      <w:r>
        <w:rPr>
          <w:szCs w:val="22"/>
        </w:rPr>
        <w:fldChar w:fldCharType="end"/>
      </w:r>
      <w:r w:rsidRPr="007C0B39">
        <w:rPr>
          <w:b/>
          <w:szCs w:val="22"/>
        </w:rPr>
        <w:t xml:space="preserve"> </w:t>
      </w:r>
      <w:r w:rsidRPr="007C0B39">
        <w:rPr>
          <w:szCs w:val="22"/>
        </w:rPr>
        <w:t>of this Consent Decree.</w:t>
      </w:r>
    </w:p>
    <w:p w:rsidR="00382840" w:rsidRPr="007C0B39" w:rsidP="00382840" w14:paraId="03725B9D" w14:textId="77777777">
      <w:pPr>
        <w:widowControl/>
        <w:numPr>
          <w:ilvl w:val="0"/>
          <w:numId w:val="21"/>
        </w:numPr>
        <w:tabs>
          <w:tab w:val="clear" w:pos="1782"/>
        </w:tabs>
        <w:spacing w:after="120"/>
        <w:ind w:left="1886"/>
        <w:rPr>
          <w:szCs w:val="22"/>
        </w:rPr>
      </w:pPr>
      <w:r w:rsidRPr="007C0B39">
        <w:rPr>
          <w:szCs w:val="22"/>
        </w:rPr>
        <w:t xml:space="preserve">The Compliance Officer’s certification shall be accompanied by a statement explaining the basis for such certification and shall comply with </w:t>
      </w:r>
      <w:r>
        <w:rPr>
          <w:szCs w:val="22"/>
        </w:rPr>
        <w:t>s</w:t>
      </w:r>
      <w:r w:rsidRPr="007C0B39">
        <w:rPr>
          <w:szCs w:val="22"/>
        </w:rPr>
        <w:t>ection 1.16 of the Rules and be subscribed to as true under penalty of perjury in substantially the form set forth therein.</w:t>
      </w:r>
      <w:r>
        <w:rPr>
          <w:rStyle w:val="FootnoteReference"/>
          <w:szCs w:val="22"/>
        </w:rPr>
        <w:footnoteReference w:id="21"/>
      </w:r>
    </w:p>
    <w:p w:rsidR="00382840" w:rsidRPr="007C0B39" w:rsidP="00382840" w14:paraId="55313C9F" w14:textId="77777777">
      <w:pPr>
        <w:widowControl/>
        <w:numPr>
          <w:ilvl w:val="0"/>
          <w:numId w:val="21"/>
        </w:numPr>
        <w:tabs>
          <w:tab w:val="clear" w:pos="1782"/>
        </w:tabs>
        <w:spacing w:after="120"/>
        <w:ind w:left="1886"/>
        <w:rPr>
          <w:szCs w:val="22"/>
        </w:rPr>
      </w:pPr>
      <w:r w:rsidRPr="007C0B39">
        <w:rPr>
          <w:szCs w:val="22"/>
        </w:rPr>
        <w:t xml:space="preserve">If the Compliance Officer cannot provide the requisite certification, the Compliance Officer, as an agent of and on behalf of </w:t>
      </w:r>
      <w:r>
        <w:t>PS Towers</w:t>
      </w:r>
      <w:r w:rsidRPr="007C0B39">
        <w:rPr>
          <w:szCs w:val="22"/>
        </w:rPr>
        <w:t xml:space="preserve">, shall provide the Commission with a detailed explanation of the reason(s) why and describe fully:  (i) each instance of noncompliance; (ii) the steps that </w:t>
      </w:r>
      <w:r>
        <w:t>PS Towers</w:t>
      </w:r>
      <w:r w:rsidRPr="007C0B39">
        <w:rPr>
          <w:szCs w:val="22"/>
        </w:rPr>
        <w:t xml:space="preserve"> has taken or will take to remedy such noncompliance, including the schedule on which proposed remedial actions will be taken; and (iii) the steps that </w:t>
      </w:r>
      <w:r>
        <w:t>PS Towers</w:t>
      </w:r>
      <w:r w:rsidRPr="007C0B39">
        <w:rPr>
          <w:szCs w:val="22"/>
        </w:rPr>
        <w:t xml:space="preserve"> has taken or will take to prevent the recurrence of any such noncompliance, including the schedule on which such preventive action will be taken.</w:t>
      </w:r>
    </w:p>
    <w:p w:rsidR="00382840" w:rsidRPr="007C0B39" w:rsidP="00382840" w14:paraId="5CEF8E81" w14:textId="77777777">
      <w:pPr>
        <w:widowControl/>
        <w:numPr>
          <w:ilvl w:val="0"/>
          <w:numId w:val="21"/>
        </w:numPr>
        <w:tabs>
          <w:tab w:val="clear" w:pos="1782"/>
        </w:tabs>
        <w:spacing w:after="120"/>
        <w:ind w:left="1886" w:hanging="450"/>
        <w:rPr>
          <w:szCs w:val="22"/>
        </w:rPr>
      </w:pPr>
      <w:r w:rsidRPr="007C0B39">
        <w:rPr>
          <w:szCs w:val="22"/>
        </w:rPr>
        <w:t xml:space="preserve">All Compliance Reports shall be submitted </w:t>
      </w:r>
      <w:r>
        <w:rPr>
          <w:szCs w:val="22"/>
        </w:rPr>
        <w:t>electronically</w:t>
      </w:r>
      <w:r>
        <w:t xml:space="preserve"> to the </w:t>
      </w:r>
      <w:r>
        <w:rPr>
          <w:szCs w:val="22"/>
        </w:rPr>
        <w:t>Chief, Spectrum Enforcement Division, Enforcement Bureau, Federal Communications Commission, at</w:t>
      </w:r>
      <w:r>
        <w:t xml:space="preserve"> </w:t>
      </w:r>
      <w:hyperlink r:id="rId8" w:history="1">
        <w:r w:rsidRPr="0048280E">
          <w:rPr>
            <w:rStyle w:val="Hyperlink"/>
          </w:rPr>
          <w:t>EB-SED-Response@fcc.gov</w:t>
        </w:r>
      </w:hyperlink>
      <w:r>
        <w:rPr>
          <w:szCs w:val="22"/>
        </w:rPr>
        <w:t xml:space="preserve">, with a copy submitted electronically to Jane Kelly at </w:t>
      </w:r>
      <w:hyperlink r:id="rId9" w:history="1">
        <w:r w:rsidRPr="0048280E">
          <w:rPr>
            <w:rStyle w:val="Hyperlink"/>
            <w:szCs w:val="22"/>
          </w:rPr>
          <w:t>Jane.Kelly@fcc.gov</w:t>
        </w:r>
      </w:hyperlink>
      <w:r>
        <w:rPr>
          <w:szCs w:val="22"/>
        </w:rPr>
        <w:t xml:space="preserve">. </w:t>
      </w:r>
    </w:p>
    <w:p w:rsidR="00382840" w:rsidRPr="007C0B39" w:rsidP="00382840" w14:paraId="6D3AD688" w14:textId="77777777">
      <w:pPr>
        <w:pStyle w:val="ParaNum"/>
        <w:rPr>
          <w:szCs w:val="22"/>
        </w:rPr>
      </w:pPr>
      <w:r w:rsidRPr="007C0B39">
        <w:rPr>
          <w:b/>
          <w:szCs w:val="22"/>
          <w:u w:val="single"/>
        </w:rPr>
        <w:t>Termination Date</w:t>
      </w:r>
      <w:r w:rsidRPr="007C0B39">
        <w:rPr>
          <w:szCs w:val="22"/>
        </w:rPr>
        <w:t xml:space="preserve">. </w:t>
      </w:r>
      <w:r w:rsidRPr="007C0B39">
        <w:rPr>
          <w:b/>
          <w:szCs w:val="22"/>
        </w:rPr>
        <w:t xml:space="preserve"> </w:t>
      </w:r>
      <w:r w:rsidRPr="007C0B39">
        <w:rPr>
          <w:szCs w:val="22"/>
        </w:rPr>
        <w:t xml:space="preserve">Unless stated otherwise, the </w:t>
      </w:r>
      <w:r w:rsidRPr="007C0B39">
        <w:t>requirements</w:t>
      </w:r>
      <w:r w:rsidRPr="007C0B39">
        <w:rPr>
          <w:szCs w:val="22"/>
        </w:rPr>
        <w:t xml:space="preserve"> set forth in paragraphs </w:t>
      </w:r>
      <w:r>
        <w:rPr>
          <w:szCs w:val="22"/>
        </w:rPr>
        <w:fldChar w:fldCharType="begin"/>
      </w:r>
      <w:r>
        <w:rPr>
          <w:szCs w:val="22"/>
        </w:rPr>
        <w:instrText xml:space="preserve"> REF _Ref379202869 \r \h </w:instrText>
      </w:r>
      <w:r>
        <w:rPr>
          <w:szCs w:val="22"/>
        </w:rPr>
        <w:fldChar w:fldCharType="separate"/>
      </w:r>
      <w:r>
        <w:rPr>
          <w:szCs w:val="22"/>
        </w:rPr>
        <w:t>12</w:t>
      </w:r>
      <w:r>
        <w:rPr>
          <w:szCs w:val="22"/>
        </w:rPr>
        <w:fldChar w:fldCharType="end"/>
      </w:r>
      <w:r w:rsidRPr="007C0B39">
        <w:rPr>
          <w:szCs w:val="22"/>
        </w:rPr>
        <w:t xml:space="preserve"> through </w:t>
      </w:r>
      <w:r>
        <w:rPr>
          <w:szCs w:val="22"/>
        </w:rPr>
        <w:fldChar w:fldCharType="begin"/>
      </w:r>
      <w:r>
        <w:rPr>
          <w:szCs w:val="22"/>
        </w:rPr>
        <w:instrText xml:space="preserve"> REF _Ref379202892 \r \h </w:instrText>
      </w:r>
      <w:r>
        <w:rPr>
          <w:szCs w:val="22"/>
        </w:rPr>
        <w:fldChar w:fldCharType="separate"/>
      </w:r>
      <w:r>
        <w:rPr>
          <w:szCs w:val="22"/>
        </w:rPr>
        <w:t>15</w:t>
      </w:r>
      <w:r>
        <w:rPr>
          <w:szCs w:val="22"/>
        </w:rPr>
        <w:fldChar w:fldCharType="end"/>
      </w:r>
      <w:r>
        <w:rPr>
          <w:szCs w:val="22"/>
        </w:rPr>
        <w:t xml:space="preserve"> o</w:t>
      </w:r>
      <w:r w:rsidRPr="007C0B39">
        <w:rPr>
          <w:szCs w:val="22"/>
        </w:rPr>
        <w:t xml:space="preserve">f this Consent Decree shall expire thirty-six (36) months after the Effective Date.  </w:t>
      </w:r>
    </w:p>
    <w:p w:rsidR="00382840" w:rsidRPr="00AD0726" w:rsidP="00382840" w14:paraId="05452049" w14:textId="77777777">
      <w:pPr>
        <w:pStyle w:val="ParaNum"/>
      </w:pPr>
      <w:bookmarkStart w:id="14" w:name="_Ref43459971"/>
      <w:bookmarkStart w:id="15" w:name="_Ref357521957"/>
      <w:r w:rsidRPr="001B6E59">
        <w:rPr>
          <w:b/>
          <w:u w:val="single"/>
        </w:rPr>
        <w:t>Civil Penalty</w:t>
      </w:r>
      <w:r w:rsidRPr="007C0B39">
        <w:t xml:space="preserve">.  </w:t>
      </w:r>
      <w:r>
        <w:t>PS Towers</w:t>
      </w:r>
      <w:r w:rsidRPr="007C0B39">
        <w:t xml:space="preserve"> will pay a civil penalty to the United States Treasury in the amount of</w:t>
      </w:r>
      <w:r>
        <w:t xml:space="preserve"> </w:t>
      </w:r>
      <w:r w:rsidRPr="00645A48">
        <w:t>sixteen thousand dollars ($16,000)</w:t>
      </w:r>
      <w:r>
        <w:t xml:space="preserve"> </w:t>
      </w:r>
      <w:r w:rsidRPr="001B6E59">
        <w:t>within thirty (30) calendar days of the Effective Date</w:t>
      </w:r>
      <w:r>
        <w:t xml:space="preserve">.  </w:t>
      </w:r>
      <w:r>
        <w:rPr>
          <w:szCs w:val="22"/>
        </w:rPr>
        <w:t>PS Towers</w:t>
      </w:r>
      <w:r w:rsidRPr="00DC48EC">
        <w:rPr>
          <w:szCs w:val="22"/>
        </w:rPr>
        <w:t xml:space="preserve"> acknowledges and agrees that upon execution of this Consent Decree, the Civil Penalty shall become a “Claim” or “Debt” as defined in 31 U.S.C. §</w:t>
      </w:r>
      <w:r>
        <w:rPr>
          <w:szCs w:val="22"/>
        </w:rPr>
        <w:t xml:space="preserve"> </w:t>
      </w:r>
      <w:r w:rsidRPr="00DC48EC">
        <w:rPr>
          <w:szCs w:val="22"/>
        </w:rPr>
        <w:t>3701(b)(1).</w:t>
      </w:r>
      <w:r>
        <w:rPr>
          <w:rStyle w:val="FootnoteReference"/>
          <w:szCs w:val="22"/>
        </w:rPr>
        <w:footnoteReference w:id="22"/>
      </w:r>
      <w:r w:rsidRPr="00DC48EC">
        <w:rPr>
          <w:szCs w:val="22"/>
        </w:rPr>
        <w:t xml:space="preserve">  Upon an Event of Default, all procedures for collection as permitted by law may, at the Commission’s discretion, be initiated</w:t>
      </w:r>
      <w:r>
        <w:rPr>
          <w:szCs w:val="22"/>
        </w:rPr>
        <w:t xml:space="preserve">.  </w:t>
      </w:r>
      <w:r>
        <w:t>PS Towers</w:t>
      </w:r>
      <w:r w:rsidRPr="001B6E59">
        <w:rPr>
          <w:szCs w:val="22"/>
        </w:rPr>
        <w:t xml:space="preserve"> </w:t>
      </w:r>
      <w:r w:rsidRPr="007C0B39">
        <w:t xml:space="preserve">shall send electronic notification of payment to </w:t>
      </w:r>
      <w:hyperlink r:id="rId9" w:history="1">
        <w:r w:rsidRPr="0048280E">
          <w:rPr>
            <w:rStyle w:val="Hyperlink"/>
          </w:rPr>
          <w:t>Jane.Kelly@fcc.gov</w:t>
        </w:r>
      </w:hyperlink>
      <w:r>
        <w:t xml:space="preserve">, </w:t>
      </w:r>
      <w:hyperlink r:id="rId10" w:history="1">
        <w:r w:rsidRPr="0048280E">
          <w:rPr>
            <w:rStyle w:val="Hyperlink"/>
          </w:rPr>
          <w:t>Leslie.Barnes@fcc.gov</w:t>
        </w:r>
      </w:hyperlink>
      <w:r>
        <w:t xml:space="preserve">, and </w:t>
      </w:r>
      <w:hyperlink r:id="rId8" w:history="1">
        <w:r w:rsidRPr="0048280E">
          <w:rPr>
            <w:rStyle w:val="Hyperlink"/>
          </w:rPr>
          <w:t>EB-SED-Response@fcc.gov</w:t>
        </w:r>
      </w:hyperlink>
      <w:r w:rsidRPr="007C0B39">
        <w:t xml:space="preserve"> on the date said payment is made.  </w:t>
      </w:r>
      <w:r w:rsidRPr="00AD0726">
        <w:t xml:space="preserve">Payment of the Civil Penalty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23"/>
      </w:r>
      <w:r w:rsidRPr="00AD0726">
        <w:t xml:space="preserve"> or by wire transfer.  </w:t>
      </w:r>
      <w:r>
        <w:t xml:space="preserve">The Commission no longer accepts Civil Penalty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24"/>
      </w:r>
      <w:bookmarkEnd w:id="14"/>
      <w:r w:rsidRPr="00AD0726">
        <w:t xml:space="preserve"> </w:t>
      </w:r>
    </w:p>
    <w:p w:rsidR="00382840" w:rsidRPr="00AD0726" w:rsidP="00382840" w14:paraId="47F4542E" w14:textId="77777777">
      <w:pPr>
        <w:numPr>
          <w:ilvl w:val="0"/>
          <w:numId w:val="22"/>
        </w:numPr>
        <w:spacing w:after="120"/>
      </w:pPr>
      <w:r w:rsidRPr="00AD0726">
        <w:t>Payment by wire transfer must be made to ABA Number 021030004, receiving bank TREAS/NYC, and Account Number 27000001.  A completed Form 159 must be faxed to the Federal Communications Commission at 202-418-2843 or e-mailed to RROGWireFaxes@fcc.gov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25"/>
      </w:r>
      <w:r w:rsidRPr="00AD0726">
        <w:t xml:space="preserve">  For </w:t>
      </w:r>
      <w:r w:rsidRPr="00AD0726">
        <w:t>additional detail and wire transfer instructions</w:t>
      </w:r>
      <w:r>
        <w:t>,</w:t>
      </w:r>
      <w:r w:rsidRPr="00AD0726">
        <w:t xml:space="preserve"> go to </w:t>
      </w:r>
      <w:hyperlink r:id="rId11" w:history="1">
        <w:r w:rsidRPr="0088797D">
          <w:rPr>
            <w:rStyle w:val="Hyperlink"/>
            <w:rFonts w:eastAsiaTheme="minorHAnsi"/>
            <w:kern w:val="0"/>
          </w:rPr>
          <w:t>https://www.fcc.gov/licensing-databases/fees/wire-transfer</w:t>
        </w:r>
      </w:hyperlink>
      <w:r w:rsidRPr="00AD0726">
        <w:t xml:space="preserve">.  </w:t>
      </w:r>
    </w:p>
    <w:p w:rsidR="00382840" w:rsidRPr="00AD0726" w:rsidP="00382840" w14:paraId="034E4361" w14:textId="77777777">
      <w:pPr>
        <w:numPr>
          <w:ilvl w:val="0"/>
          <w:numId w:val="22"/>
        </w:numPr>
        <w:spacing w:after="120"/>
      </w:pPr>
      <w:r w:rsidRPr="00AD0726">
        <w:t xml:space="preserve">Payment by credit card must be made by using the </w:t>
      </w:r>
      <w:r>
        <w:t xml:space="preserve">Commission’s </w:t>
      </w:r>
      <w:r w:rsidRPr="00AD0726">
        <w:t xml:space="preserve">Fee Filer website at </w:t>
      </w:r>
      <w:hyperlink r:id="rId12"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w:t>
      </w:r>
      <w:r>
        <w:t>CD</w:t>
      </w:r>
      <w:r w:rsidRPr="00AD0726">
        <w:t xml:space="preserve"> Acc</w:t>
      </w:r>
      <w:r>
        <w:t>t. No.</w:t>
      </w:r>
      <w:r w:rsidRPr="00AD0726">
        <w:t xml:space="preserve"> – the bill number is the </w:t>
      </w:r>
      <w:r>
        <w:t>CD</w:t>
      </w:r>
      <w:r w:rsidRPr="00AD0726">
        <w:t xml:space="preserve"> Acct</w:t>
      </w:r>
      <w:r>
        <w:t>. No.</w:t>
      </w:r>
      <w:r w:rsidRPr="00AD0726">
        <w:t xml:space="preserve">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382840" w:rsidRPr="001B6E59" w:rsidP="00382840" w14:paraId="6C7B8B78" w14:textId="77777777">
      <w:pPr>
        <w:numPr>
          <w:ilvl w:val="0"/>
          <w:numId w:val="22"/>
        </w:numPr>
        <w:spacing w:after="120"/>
      </w:pPr>
      <w:r w:rsidRPr="00AD0726">
        <w:t>Payment by ACH</w:t>
      </w:r>
      <w:r>
        <w:t xml:space="preserve"> </w:t>
      </w:r>
      <w:r w:rsidRPr="00AD0726">
        <w:t xml:space="preserve">must be made by using the Commission’s Fee Filer website at </w:t>
      </w:r>
      <w:hyperlink r:id="rId12" w:history="1">
        <w:r w:rsidRPr="0088797D">
          <w:rPr>
            <w:rStyle w:val="Hyperlink"/>
            <w:rFonts w:eastAsiaTheme="minorHAns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 xml:space="preserve">select “Pay bills” on the Fee Filer Menu and then select the bill number associated to the </w:t>
      </w:r>
      <w:r>
        <w:t>CD</w:t>
      </w:r>
      <w:r w:rsidRPr="00AD0726">
        <w:t xml:space="preserve"> Acc</w:t>
      </w:r>
      <w:r>
        <w:t>t. No.</w:t>
      </w:r>
      <w:r w:rsidRPr="00AD0726">
        <w:t xml:space="preserve"> – the bill number is the </w:t>
      </w:r>
      <w:r>
        <w:t>CD</w:t>
      </w:r>
      <w:r w:rsidRPr="00AD0726">
        <w:t xml:space="preserve"> Acct</w:t>
      </w:r>
      <w:r>
        <w:t>. No.</w:t>
      </w:r>
      <w:r w:rsidRPr="00AD0726">
        <w:t xml:space="preserve">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bookmarkEnd w:id="15"/>
    <w:p w:rsidR="00382840" w:rsidRPr="006B5C4C" w:rsidP="00382840" w14:paraId="5AA27361" w14:textId="77777777">
      <w:pPr>
        <w:pStyle w:val="ParaNum"/>
      </w:pPr>
      <w:r w:rsidRPr="0043720F">
        <w:rPr>
          <w:b/>
          <w:u w:val="single"/>
        </w:rPr>
        <w:t>Event of Default</w:t>
      </w:r>
      <w:r w:rsidRPr="0043720F">
        <w:t xml:space="preserve">.  </w:t>
      </w:r>
      <w:r>
        <w:rPr>
          <w:szCs w:val="22"/>
        </w:rPr>
        <w:t>PS Towers</w:t>
      </w:r>
      <w:r w:rsidRPr="0043720F">
        <w:t xml:space="preserve"> agrees that an Event of Default shall occur upon the failure by </w:t>
      </w:r>
      <w:r>
        <w:t>PS Towers</w:t>
      </w:r>
      <w:r w:rsidRPr="0043720F">
        <w:rPr>
          <w:szCs w:val="22"/>
        </w:rPr>
        <w:t xml:space="preserve"> </w:t>
      </w:r>
      <w:r w:rsidRPr="0043720F">
        <w:t xml:space="preserve">to pay the </w:t>
      </w:r>
      <w:r>
        <w:t>full amount of</w:t>
      </w:r>
      <w:r w:rsidRPr="0043720F">
        <w:t xml:space="preserve"> the Civil Penal</w:t>
      </w:r>
      <w:r>
        <w:t>t</w:t>
      </w:r>
      <w:r w:rsidRPr="0043720F">
        <w:t>y</w:t>
      </w:r>
      <w:r>
        <w:t xml:space="preserve"> </w:t>
      </w:r>
      <w:r w:rsidRPr="004227E6">
        <w:t>on or before the due date specified in this Consent Decree</w:t>
      </w:r>
      <w:r>
        <w:t>.</w:t>
      </w:r>
      <w:r w:rsidRPr="00C15A9B">
        <w:rPr>
          <w:b/>
        </w:rPr>
        <w:t xml:space="preserve"> </w:t>
      </w:r>
    </w:p>
    <w:p w:rsidR="00382840" w:rsidRPr="00405780" w:rsidP="00382840" w14:paraId="253139AA" w14:textId="77777777">
      <w:pPr>
        <w:pStyle w:val="ParaNum"/>
      </w:pPr>
      <w:r w:rsidRPr="004227E6">
        <w:rPr>
          <w:b/>
          <w:szCs w:val="22"/>
          <w:u w:val="single"/>
        </w:rPr>
        <w:t>Interest, Charges for Collection, and Acceleration of Maturity Date</w:t>
      </w:r>
      <w:r w:rsidRPr="004227E6">
        <w:rPr>
          <w:szCs w:val="22"/>
        </w:rPr>
        <w:t xml:space="preserve">.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Pr>
          <w:szCs w:val="22"/>
        </w:rPr>
        <w:t>PS Towers</w:t>
      </w:r>
      <w:r w:rsidRPr="004227E6">
        <w:rPr>
          <w:szCs w:val="22"/>
        </w:rPr>
        <w:t>.</w:t>
      </w:r>
    </w:p>
    <w:p w:rsidR="00382840" w:rsidRPr="007C0B39" w:rsidP="00382840" w14:paraId="6C7DF809" w14:textId="77777777">
      <w:pPr>
        <w:pStyle w:val="ParaNum"/>
      </w:pPr>
      <w:r w:rsidRPr="001B6E59">
        <w:rPr>
          <w:b/>
          <w:u w:val="single"/>
        </w:rPr>
        <w:t>Waivers</w:t>
      </w:r>
      <w:r w:rsidRPr="007C0B39">
        <w:t xml:space="preserve">.  As of the Effective Date, </w:t>
      </w:r>
      <w:r>
        <w:t>PS Towers</w:t>
      </w:r>
      <w:r w:rsidRPr="007C0B39">
        <w:t xml:space="preserve"> waives any and all rights it may have to seek administrative or judicial reconsideration, review, appeal or stay, or to otherwise challenge or contest the validity of this Consent Decree and the Adopting Order.  </w:t>
      </w:r>
      <w:r>
        <w:t>PS Towers</w:t>
      </w:r>
      <w:r w:rsidRPr="007C0B39">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t>PS Towers</w:t>
      </w:r>
      <w:r w:rsidRPr="007C0B39">
        <w:t xml:space="preserve"> nor the Commission shall contest the validity of the Consent Decree or the Adopting Order, and </w:t>
      </w:r>
      <w:r>
        <w:t>PS Towers</w:t>
      </w:r>
      <w:r w:rsidRPr="007C0B39">
        <w:t xml:space="preserve"> shall waive any statutory right to a trial </w:t>
      </w:r>
      <w:r w:rsidRPr="001B6E59">
        <w:rPr>
          <w:i/>
        </w:rPr>
        <w:t>de novo</w:t>
      </w:r>
      <w:r w:rsidRPr="007C0B39">
        <w:t xml:space="preserve">.  </w:t>
      </w:r>
      <w:r>
        <w:t>PS Towers</w:t>
      </w:r>
      <w:r w:rsidRPr="007C0B39">
        <w:t xml:space="preserve"> hereby agrees to waive any claims it may otherwise have under the Equal Access to Justice Act</w:t>
      </w:r>
      <w:r>
        <w:rPr>
          <w:rStyle w:val="FootnoteReference"/>
          <w:szCs w:val="22"/>
        </w:rPr>
        <w:footnoteReference w:id="26"/>
      </w:r>
      <w:r w:rsidRPr="007C0B39">
        <w:t xml:space="preserve"> relating to the matters addressed in this Consent Decree.</w:t>
      </w:r>
    </w:p>
    <w:p w:rsidR="00382840" w:rsidRPr="007C0B39" w:rsidP="00382840" w14:paraId="37A163D6" w14:textId="77777777">
      <w:pPr>
        <w:pStyle w:val="ParaNum"/>
        <w:rPr>
          <w:szCs w:val="22"/>
        </w:rPr>
      </w:pPr>
      <w:r w:rsidRPr="007C0B39">
        <w:rPr>
          <w:b/>
          <w:szCs w:val="22"/>
          <w:u w:val="single"/>
        </w:rPr>
        <w:t>Severability</w:t>
      </w:r>
      <w:r w:rsidRPr="007C0B39">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82840" w:rsidRPr="007C0B39" w:rsidP="00382840" w14:paraId="457FD83E" w14:textId="77777777">
      <w:pPr>
        <w:pStyle w:val="ParaNum"/>
        <w:rPr>
          <w:szCs w:val="22"/>
        </w:rPr>
      </w:pPr>
      <w:r w:rsidRPr="007C0B39">
        <w:rPr>
          <w:b/>
          <w:szCs w:val="22"/>
          <w:u w:val="single"/>
        </w:rPr>
        <w:t>Invalidity</w:t>
      </w:r>
      <w:r w:rsidRPr="007C0B39">
        <w:rPr>
          <w:szCs w:val="22"/>
        </w:rPr>
        <w:t>.  In the event that this Consent Decree in its entirety is rendered invalid by any court of competent jurisdiction, it shall become null and void and may not be used in any manner in any legal proceeding.</w:t>
      </w:r>
    </w:p>
    <w:p w:rsidR="00382840" w:rsidRPr="007C0B39" w:rsidP="00382840" w14:paraId="549791A6" w14:textId="77777777">
      <w:pPr>
        <w:pStyle w:val="ParaNum"/>
        <w:widowControl/>
      </w:pPr>
      <w:r w:rsidRPr="007C0B39">
        <w:rPr>
          <w:b/>
          <w:u w:val="single"/>
        </w:rPr>
        <w:t>Subsequent Rule or Order</w:t>
      </w:r>
      <w:r w:rsidRPr="007C0B39">
        <w:t xml:space="preserve">.  The Parties agree that if any provision of the Consent Decree conflicts with any subsequent Rule or </w:t>
      </w:r>
      <w:r>
        <w:t>o</w:t>
      </w:r>
      <w:r w:rsidRPr="007C0B39">
        <w:t xml:space="preserve">rder adopted by the Commission (except an </w:t>
      </w:r>
      <w:r>
        <w:t>o</w:t>
      </w:r>
      <w:r w:rsidRPr="007C0B39">
        <w:t xml:space="preserve">rder specifically intended to revise the terms of this Consent Decree to which </w:t>
      </w:r>
      <w:r>
        <w:rPr>
          <w:szCs w:val="22"/>
        </w:rPr>
        <w:t>PS Towers</w:t>
      </w:r>
      <w:r w:rsidRPr="007C0B39">
        <w:rPr>
          <w:szCs w:val="22"/>
        </w:rPr>
        <w:t xml:space="preserve"> </w:t>
      </w:r>
      <w:r w:rsidRPr="007C0B39">
        <w:t xml:space="preserve">does not expressly consent) that provision will be superseded by such Rule or </w:t>
      </w:r>
      <w:r>
        <w:t>o</w:t>
      </w:r>
      <w:r w:rsidRPr="007C0B39">
        <w:t>rder.</w:t>
      </w:r>
    </w:p>
    <w:p w:rsidR="00382840" w:rsidRPr="007C0B39" w:rsidP="00382840" w14:paraId="55BB5FF3" w14:textId="77777777">
      <w:pPr>
        <w:pStyle w:val="ParaNum"/>
      </w:pPr>
      <w:r w:rsidRPr="007C0B39">
        <w:rPr>
          <w:b/>
          <w:u w:val="single"/>
        </w:rPr>
        <w:t>Successors and Assigns</w:t>
      </w:r>
      <w:r w:rsidRPr="007C0B39">
        <w:t xml:space="preserve">.  </w:t>
      </w:r>
      <w:r>
        <w:t>PS Towers</w:t>
      </w:r>
      <w:r w:rsidRPr="007C0B39">
        <w:rPr>
          <w:szCs w:val="22"/>
        </w:rPr>
        <w:t xml:space="preserve"> </w:t>
      </w:r>
      <w:r w:rsidRPr="007C0B39">
        <w:t>agrees that the provisions of this Consent Decree shall be binding on its successors, assigns, and transferees.</w:t>
      </w:r>
    </w:p>
    <w:p w:rsidR="00382840" w:rsidRPr="007C0B39" w:rsidP="00382840" w14:paraId="105CD488" w14:textId="77777777">
      <w:pPr>
        <w:pStyle w:val="ParaNum"/>
        <w:rPr>
          <w:szCs w:val="22"/>
        </w:rPr>
      </w:pPr>
      <w:r w:rsidRPr="007C0B39">
        <w:rPr>
          <w:b/>
          <w:szCs w:val="22"/>
          <w:u w:val="single"/>
        </w:rPr>
        <w:t>Final Settlement</w:t>
      </w:r>
      <w:r w:rsidRPr="007C0B39">
        <w:rPr>
          <w:szCs w:val="22"/>
        </w:rPr>
        <w:t>.  The Parties agree and acknowledge that this Consent Decree shall constitute a final settlement between the Parties with respect to the Investigation.</w:t>
      </w:r>
    </w:p>
    <w:p w:rsidR="00382840" w:rsidRPr="007C0B39" w:rsidP="00382840" w14:paraId="5452246C" w14:textId="77777777">
      <w:pPr>
        <w:pStyle w:val="ParaNum"/>
        <w:widowControl/>
        <w:rPr>
          <w:szCs w:val="22"/>
        </w:rPr>
      </w:pPr>
      <w:r w:rsidRPr="007C0B39">
        <w:rPr>
          <w:b/>
          <w:szCs w:val="22"/>
          <w:u w:val="single"/>
        </w:rPr>
        <w:t>Modifications</w:t>
      </w:r>
      <w:r w:rsidRPr="007C0B39">
        <w:rPr>
          <w:szCs w:val="22"/>
        </w:rPr>
        <w:t xml:space="preserve">.  This Consent Decree cannot </w:t>
      </w:r>
      <w:r w:rsidRPr="007C0B39">
        <w:t>be</w:t>
      </w:r>
      <w:r w:rsidRPr="007C0B39">
        <w:rPr>
          <w:szCs w:val="22"/>
        </w:rPr>
        <w:t xml:space="preserve"> modified without the advance written consent of both Parties.</w:t>
      </w:r>
    </w:p>
    <w:p w:rsidR="00382840" w:rsidRPr="007C0B39" w:rsidP="00382840" w14:paraId="6E4C13DB" w14:textId="77777777">
      <w:pPr>
        <w:pStyle w:val="ParaNum"/>
        <w:widowControl/>
        <w:rPr>
          <w:szCs w:val="22"/>
        </w:rPr>
      </w:pPr>
      <w:r w:rsidRPr="007C0B39">
        <w:rPr>
          <w:b/>
          <w:szCs w:val="22"/>
          <w:u w:val="single"/>
        </w:rPr>
        <w:t>Paragraph Headings</w:t>
      </w:r>
      <w:r w:rsidRPr="007C0B39">
        <w:rPr>
          <w:szCs w:val="22"/>
        </w:rPr>
        <w:t xml:space="preserve">.  The headings of the </w:t>
      </w:r>
      <w:r w:rsidRPr="007C0B39">
        <w:t>paragraphs</w:t>
      </w:r>
      <w:r w:rsidRPr="007C0B39">
        <w:rPr>
          <w:szCs w:val="22"/>
        </w:rPr>
        <w:t xml:space="preserve"> in this Consent Decree are inserted for convenience only and are not intended to affect the meaning or interpretation of this Consent Decree.</w:t>
      </w:r>
    </w:p>
    <w:p w:rsidR="00382840" w:rsidRPr="007C0B39" w:rsidP="00382840" w14:paraId="77A2A37A" w14:textId="77777777">
      <w:pPr>
        <w:pStyle w:val="ParaNum"/>
        <w:widowControl/>
        <w:rPr>
          <w:szCs w:val="22"/>
        </w:rPr>
      </w:pPr>
      <w:r w:rsidRPr="007C0B39">
        <w:rPr>
          <w:b/>
          <w:szCs w:val="22"/>
          <w:u w:val="single"/>
        </w:rPr>
        <w:t>Authorized Representative</w:t>
      </w:r>
      <w:r w:rsidRPr="007C0B39">
        <w:rPr>
          <w:szCs w:val="22"/>
        </w:rPr>
        <w:t xml:space="preserve">.  Each Party </w:t>
      </w:r>
      <w:r w:rsidRPr="007C0B39">
        <w:t>represents</w:t>
      </w:r>
      <w:r w:rsidRPr="007C0B39">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382840" w:rsidRPr="007C0B39" w:rsidP="00382840" w14:paraId="35668751" w14:textId="77777777">
      <w:pPr>
        <w:pStyle w:val="ParaNum"/>
        <w:keepNext/>
        <w:keepLines/>
        <w:rPr>
          <w:szCs w:val="22"/>
        </w:rPr>
      </w:pPr>
      <w:r w:rsidRPr="007C0B39">
        <w:rPr>
          <w:b/>
          <w:u w:val="single"/>
        </w:rPr>
        <w:t>Counterparts</w:t>
      </w:r>
      <w:r w:rsidRPr="007C0B39">
        <w:rPr>
          <w:szCs w:val="22"/>
        </w:rPr>
        <w:t xml:space="preserve">.  This Consent Decree may be </w:t>
      </w:r>
      <w:r w:rsidRPr="007C0B39">
        <w:t>signed</w:t>
      </w:r>
      <w:r w:rsidRPr="007C0B39">
        <w:rPr>
          <w:szCs w:val="22"/>
        </w:rPr>
        <w:t xml:space="preserve"> in counterpart (including electronically or by facsimile).  Each counterpart, when executed and delivered, shall be an original, and all of the counterparts together shall constitute one and the same fully executed instrument.</w:t>
      </w:r>
    </w:p>
    <w:p w:rsidR="00382840" w:rsidP="00382840" w14:paraId="3961FBFA" w14:textId="77777777">
      <w:pPr>
        <w:keepNext/>
        <w:keepLines/>
      </w:pPr>
    </w:p>
    <w:p w:rsidR="00382840" w:rsidRPr="007C0B39" w:rsidP="00382840" w14:paraId="7F0C7F95" w14:textId="77777777">
      <w:pPr>
        <w:keepNext/>
        <w:keepLines/>
      </w:pPr>
    </w:p>
    <w:p w:rsidR="00382840" w:rsidRPr="007C0B39" w:rsidP="00382840" w14:paraId="1D876833" w14:textId="77777777">
      <w:pPr>
        <w:keepNext/>
        <w:keepLines/>
      </w:pPr>
    </w:p>
    <w:p w:rsidR="00382840" w:rsidP="00382840" w14:paraId="6EB523BF" w14:textId="77777777">
      <w:pPr>
        <w:keepNext/>
        <w:keepLines/>
      </w:pPr>
    </w:p>
    <w:p w:rsidR="00382840" w:rsidRPr="007C0B39" w:rsidP="00382840" w14:paraId="36295192" w14:textId="77777777">
      <w:pPr>
        <w:keepNext/>
        <w:keepLines/>
      </w:pPr>
      <w:r w:rsidRPr="007C0B39">
        <w:t>________________________________</w:t>
      </w:r>
    </w:p>
    <w:p w:rsidR="00382840" w:rsidRPr="007C0B39" w:rsidP="00382840" w14:paraId="6A2B1931" w14:textId="77777777">
      <w:pPr>
        <w:keepNext/>
        <w:keepLines/>
      </w:pPr>
      <w:r>
        <w:t>Christopher L. Killion</w:t>
      </w:r>
    </w:p>
    <w:p w:rsidR="00382840" w:rsidRPr="007C0B39" w:rsidP="00382840" w14:paraId="12724DC3" w14:textId="77777777">
      <w:pPr>
        <w:keepNext/>
        <w:keepLines/>
      </w:pPr>
      <w:r>
        <w:t>Deputy Chief</w:t>
      </w:r>
    </w:p>
    <w:p w:rsidR="00382840" w:rsidRPr="007C0B39" w:rsidP="00382840" w14:paraId="461DE6F7" w14:textId="77777777">
      <w:pPr>
        <w:keepNext/>
        <w:keepLines/>
      </w:pPr>
      <w:r w:rsidRPr="007C0B39">
        <w:t>Enforcement Bureau</w:t>
      </w:r>
    </w:p>
    <w:p w:rsidR="00382840" w:rsidRPr="007C0B39" w:rsidP="00382840" w14:paraId="04326342" w14:textId="77777777">
      <w:pPr>
        <w:keepNext/>
        <w:keepLines/>
      </w:pPr>
    </w:p>
    <w:p w:rsidR="00382840" w:rsidRPr="007C0B39" w:rsidP="00382840" w14:paraId="1C168012" w14:textId="77777777">
      <w:pPr>
        <w:keepNext/>
        <w:keepLines/>
      </w:pPr>
    </w:p>
    <w:p w:rsidR="00382840" w:rsidRPr="007C0B39" w:rsidP="00382840" w14:paraId="263BE2A5" w14:textId="77777777">
      <w:pPr>
        <w:keepNext/>
        <w:keepLines/>
      </w:pPr>
      <w:r w:rsidRPr="007C0B39">
        <w:t>________________________________</w:t>
      </w:r>
    </w:p>
    <w:p w:rsidR="00382840" w:rsidRPr="007C0B39" w:rsidP="00382840" w14:paraId="62729EF1" w14:textId="77777777">
      <w:pPr>
        <w:keepNext/>
        <w:keepLines/>
      </w:pPr>
      <w:r w:rsidRPr="007C0B39">
        <w:t>Date</w:t>
      </w:r>
    </w:p>
    <w:p w:rsidR="00382840" w:rsidRPr="007C0B39" w:rsidP="00382840" w14:paraId="62487CEF" w14:textId="77777777">
      <w:pPr>
        <w:keepNext/>
        <w:keepLines/>
      </w:pPr>
    </w:p>
    <w:p w:rsidR="00382840" w:rsidRPr="007C0B39" w:rsidP="00382840" w14:paraId="11EDC08F" w14:textId="77777777">
      <w:pPr>
        <w:keepNext/>
        <w:keepLines/>
      </w:pPr>
    </w:p>
    <w:p w:rsidR="00382840" w:rsidRPr="007C0B39" w:rsidP="00382840" w14:paraId="6900D85B" w14:textId="77777777">
      <w:pPr>
        <w:keepNext/>
        <w:keepLines/>
      </w:pPr>
    </w:p>
    <w:p w:rsidR="00382840" w:rsidRPr="007C0B39" w:rsidP="00382840" w14:paraId="607913EB" w14:textId="77777777">
      <w:pPr>
        <w:keepNext/>
        <w:keepLines/>
      </w:pPr>
      <w:r w:rsidRPr="007C0B39">
        <w:t>________________________________</w:t>
      </w:r>
    </w:p>
    <w:p w:rsidR="00382840" w:rsidRPr="007C0B39" w:rsidP="00382840" w14:paraId="1FFDF7B0" w14:textId="77777777">
      <w:pPr>
        <w:keepNext/>
        <w:keepLines/>
      </w:pPr>
      <w:r>
        <w:t>E. Kelly Bond</w:t>
      </w:r>
    </w:p>
    <w:p w:rsidR="00382840" w:rsidRPr="007C0B39" w:rsidP="00382840" w14:paraId="6D13E231" w14:textId="77777777">
      <w:pPr>
        <w:keepNext/>
        <w:keepLines/>
      </w:pPr>
      <w:r>
        <w:t>President</w:t>
      </w:r>
    </w:p>
    <w:p w:rsidR="00382840" w:rsidRPr="007C0B39" w:rsidP="00382840" w14:paraId="2ED9680A" w14:textId="77777777">
      <w:pPr>
        <w:keepNext/>
        <w:keepLines/>
      </w:pPr>
      <w:r>
        <w:t>Public Service Towers, Inc.</w:t>
      </w:r>
    </w:p>
    <w:p w:rsidR="00382840" w:rsidP="00382840" w14:paraId="65791362" w14:textId="77777777">
      <w:pPr>
        <w:keepNext/>
        <w:keepLines/>
      </w:pPr>
    </w:p>
    <w:p w:rsidR="00382840" w:rsidP="00382840" w14:paraId="70E988F1" w14:textId="77777777">
      <w:pPr>
        <w:keepNext/>
        <w:keepLines/>
      </w:pPr>
    </w:p>
    <w:p w:rsidR="00382840" w:rsidRPr="007C0B39" w:rsidP="00382840" w14:paraId="4A37666F" w14:textId="77777777">
      <w:pPr>
        <w:keepNext/>
        <w:keepLines/>
      </w:pPr>
      <w:r w:rsidRPr="007C0B39">
        <w:t>______________________________</w:t>
      </w:r>
    </w:p>
    <w:p w:rsidR="00382840" w:rsidRPr="007C0B39" w:rsidP="00382840" w14:paraId="4A6184EB" w14:textId="77777777">
      <w:pPr>
        <w:keepNext/>
        <w:keepLines/>
      </w:pPr>
      <w:r w:rsidRPr="007C0B39">
        <w:t>Date</w:t>
      </w:r>
    </w:p>
    <w:p w:rsidR="00382840" w:rsidP="00382840" w14:paraId="1A3507FC" w14:textId="77777777">
      <w:pPr>
        <w:keepNext/>
        <w:keepLines/>
      </w:pPr>
    </w:p>
    <w:p w:rsidR="00137FBA" w:rsidRPr="00137FBA" w:rsidP="00137FBA" w14:paraId="57BA069B" w14:textId="5D2DB846"/>
    <w:sectPr w:rsidSect="000E20E7">
      <w:head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EF1" w:rsidRPr="00E44EF1" w:rsidP="00E44EF1" w14:paraId="15B1C74D" w14:textId="77777777">
    <w:pPr>
      <w:framePr w:wrap="around" w:vAnchor="text" w:hAnchor="margin" w:xAlign="center" w:y="1"/>
      <w:tabs>
        <w:tab w:val="center" w:pos="4320"/>
        <w:tab w:val="right" w:pos="8640"/>
      </w:tabs>
    </w:pPr>
    <w:r w:rsidRPr="00E44EF1">
      <w:fldChar w:fldCharType="begin"/>
    </w:r>
    <w:r w:rsidRPr="00E44EF1">
      <w:instrText xml:space="preserve">PAGE  </w:instrText>
    </w:r>
    <w:r w:rsidRPr="00E44EF1">
      <w:fldChar w:fldCharType="separate"/>
    </w:r>
    <w:r w:rsidRPr="00E44EF1">
      <w:t>2</w:t>
    </w:r>
    <w:r w:rsidRPr="00E44EF1">
      <w:fldChar w:fldCharType="end"/>
    </w:r>
  </w:p>
  <w:p w:rsidR="00E44EF1" w:rsidP="002D26E5" w14:paraId="117249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E82" w14:paraId="592600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38C6" w:rsidP="00C4234B" w14:paraId="3D806FE2" w14:textId="77777777">
      <w:r>
        <w:separator/>
      </w:r>
    </w:p>
  </w:footnote>
  <w:footnote w:type="continuationSeparator" w:id="1">
    <w:p w:rsidR="00FE38C6" w:rsidP="00C4234B" w14:paraId="56B615E1" w14:textId="77777777">
      <w:r>
        <w:continuationSeparator/>
      </w:r>
    </w:p>
  </w:footnote>
  <w:footnote w:id="2">
    <w:p w:rsidR="00137FBA" w:rsidRPr="00DF563E" w:rsidP="00137FBA" w14:paraId="213BE8F3" w14:textId="77777777">
      <w:pPr>
        <w:pStyle w:val="FootnoteText"/>
      </w:pPr>
      <w:r>
        <w:rPr>
          <w:rStyle w:val="FootnoteReference"/>
        </w:rPr>
        <w:footnoteRef/>
      </w:r>
      <w:r>
        <w:t xml:space="preserve"> </w:t>
      </w:r>
      <w:r w:rsidRPr="00DF563E">
        <w:rPr>
          <w:i/>
        </w:rPr>
        <w:t xml:space="preserve">See </w:t>
      </w:r>
      <w:r w:rsidRPr="00DF563E">
        <w:t xml:space="preserve">47 CFR § 1.1301 </w:t>
      </w:r>
      <w:r w:rsidRPr="00DF563E">
        <w:rPr>
          <w:i/>
        </w:rPr>
        <w:t>et seq</w:t>
      </w:r>
      <w:r w:rsidRPr="00DF563E">
        <w:t>.</w:t>
      </w:r>
    </w:p>
  </w:footnote>
  <w:footnote w:id="3">
    <w:p w:rsidR="00137FBA" w:rsidRPr="00DF563E" w:rsidP="00137FBA" w14:paraId="126474BE" w14:textId="77777777">
      <w:pPr>
        <w:pStyle w:val="FootnoteText"/>
      </w:pPr>
      <w:r w:rsidRPr="00DF563E">
        <w:rPr>
          <w:rStyle w:val="FootnoteReference"/>
        </w:rPr>
        <w:footnoteRef/>
      </w:r>
      <w:r w:rsidRPr="00DF563E">
        <w:t xml:space="preserve"> </w:t>
      </w:r>
      <w:r w:rsidRPr="00DF563E">
        <w:rPr>
          <w:i/>
        </w:rPr>
        <w:t xml:space="preserve">See </w:t>
      </w:r>
      <w:r w:rsidRPr="00DF563E">
        <w:t xml:space="preserve">National Environmental Policy Act of 1969, Pub. L. No. 91-190, 83 Stat. 852 (1970) (codified as amended at 42 U.S.C. § 4321 </w:t>
      </w:r>
      <w:r w:rsidRPr="00DF563E">
        <w:rPr>
          <w:i/>
        </w:rPr>
        <w:t>et seq.</w:t>
      </w:r>
      <w:r w:rsidRPr="00DF563E">
        <w:t xml:space="preserve">) (NEPA); National Historic Preservation Act, Pub. L. No. 89-665, 80 Stat. 915 (1966) (codified as amended at 54 U.S.C. § 300101 </w:t>
      </w:r>
      <w:r w:rsidRPr="00DF563E">
        <w:rPr>
          <w:i/>
        </w:rPr>
        <w:t>et seq</w:t>
      </w:r>
      <w:r w:rsidRPr="00DF563E">
        <w:t>.) (NHPA).</w:t>
      </w:r>
    </w:p>
  </w:footnote>
  <w:footnote w:id="4">
    <w:p w:rsidR="00137FBA" w:rsidRPr="00DF563E" w:rsidP="00137FBA" w14:paraId="32DF54EC" w14:textId="07B6E103">
      <w:pPr>
        <w:pStyle w:val="FootnoteText"/>
      </w:pPr>
      <w:r w:rsidRPr="00DF563E">
        <w:rPr>
          <w:rStyle w:val="FootnoteReference"/>
        </w:rPr>
        <w:footnoteRef/>
      </w:r>
      <w:r w:rsidRPr="00DF563E">
        <w:t xml:space="preserve"> 47 CFR §§ 1.1307, 1.1312.  </w:t>
      </w:r>
      <w:r w:rsidRPr="00EF6229">
        <w:t>This consent decree is limited to resolving violations of the environmental and historic preservation rules and does not represent completion of the required environmental review process for the wireless facility at issue</w:t>
      </w:r>
      <w:r w:rsidRPr="00644337">
        <w:t>.</w:t>
      </w:r>
    </w:p>
  </w:footnote>
  <w:footnote w:id="5">
    <w:p w:rsidR="00137FBA" w:rsidRPr="00DF563E" w:rsidP="00137FBA" w14:paraId="3CC9A88B" w14:textId="77777777">
      <w:pPr>
        <w:pStyle w:val="FootnoteText"/>
      </w:pPr>
      <w:r w:rsidRPr="00DF563E">
        <w:rPr>
          <w:rStyle w:val="FootnoteReference"/>
        </w:rPr>
        <w:footnoteRef/>
      </w:r>
      <w:r w:rsidRPr="00DF563E">
        <w:t xml:space="preserve"> </w:t>
      </w:r>
      <w:r w:rsidRPr="00DF563E">
        <w:rPr>
          <w:i/>
        </w:rPr>
        <w:t xml:space="preserve">See </w:t>
      </w:r>
      <w:r w:rsidRPr="00DF563E">
        <w:t>47 CFR § 1.93(b).</w:t>
      </w:r>
    </w:p>
  </w:footnote>
  <w:footnote w:id="6">
    <w:p w:rsidR="00137FBA" w:rsidRPr="00DF563E" w:rsidP="00137FBA" w14:paraId="1F53A8ED" w14:textId="77777777">
      <w:pPr>
        <w:pStyle w:val="FootnoteText"/>
      </w:pPr>
      <w:r w:rsidRPr="00DF563E">
        <w:rPr>
          <w:rStyle w:val="FootnoteReference"/>
        </w:rPr>
        <w:footnoteRef/>
      </w:r>
      <w:r w:rsidRPr="00DF563E">
        <w:t xml:space="preserve"> 47 U.S.C. § 154(i).</w:t>
      </w:r>
    </w:p>
  </w:footnote>
  <w:footnote w:id="7">
    <w:p w:rsidR="00137FBA" w:rsidRPr="00DF563E" w:rsidP="00137FBA" w14:paraId="67844A10" w14:textId="77777777">
      <w:pPr>
        <w:pStyle w:val="FootnoteText"/>
      </w:pPr>
      <w:r w:rsidRPr="00DF563E">
        <w:rPr>
          <w:rStyle w:val="FootnoteReference"/>
        </w:rPr>
        <w:footnoteRef/>
      </w:r>
      <w:r w:rsidRPr="00DF563E">
        <w:t xml:space="preserve"> 47 CFR §§ 0.111, 0.311.</w:t>
      </w:r>
    </w:p>
  </w:footnote>
  <w:footnote w:id="8">
    <w:p w:rsidR="00382840" w:rsidP="00382840" w14:paraId="7F801580" w14:textId="77777777">
      <w:pPr>
        <w:pStyle w:val="FootnoteText"/>
      </w:pPr>
      <w:r>
        <w:rPr>
          <w:rStyle w:val="FootnoteReference"/>
        </w:rPr>
        <w:footnoteRef/>
      </w:r>
      <w:r>
        <w:t xml:space="preserve"> </w:t>
      </w:r>
      <w:r w:rsidRPr="001B63BB">
        <w:t>47 U.S.C. §</w:t>
      </w:r>
      <w:r>
        <w:t xml:space="preserve"> </w:t>
      </w:r>
      <w:r w:rsidRPr="001B63BB">
        <w:t xml:space="preserve">151 </w:t>
      </w:r>
      <w:r w:rsidRPr="001B63BB">
        <w:rPr>
          <w:i/>
        </w:rPr>
        <w:t>et seq.</w:t>
      </w:r>
    </w:p>
  </w:footnote>
  <w:footnote w:id="9">
    <w:p w:rsidR="00382840" w:rsidP="00382840" w14:paraId="6FC5D039" w14:textId="77777777">
      <w:pPr>
        <w:pStyle w:val="FootnoteText"/>
      </w:pPr>
      <w:r>
        <w:rPr>
          <w:rStyle w:val="FootnoteReference"/>
        </w:rPr>
        <w:footnoteRef/>
      </w:r>
      <w:r>
        <w:t xml:space="preserve"> 47 CFR §§ 1.1301-1.1319.</w:t>
      </w:r>
    </w:p>
  </w:footnote>
  <w:footnote w:id="10">
    <w:p w:rsidR="00382840" w:rsidP="00382840" w14:paraId="12D21D4F" w14:textId="77777777">
      <w:pPr>
        <w:pStyle w:val="FootnoteText"/>
      </w:pPr>
      <w:r>
        <w:rPr>
          <w:rStyle w:val="FootnoteReference"/>
        </w:rPr>
        <w:footnoteRef/>
      </w:r>
      <w:r>
        <w:t xml:space="preserve"> National Environmental Policy Act of 1969, Pub. L. No. 91-190, 83 Stat. 852 (1970) (codified as amended at </w:t>
      </w:r>
      <w:bookmarkStart w:id="2" w:name="_Hlk507592459"/>
      <w:r>
        <w:t xml:space="preserve">42 U.S.C. § 4321 </w:t>
      </w:r>
      <w:r>
        <w:rPr>
          <w:i/>
        </w:rPr>
        <w:t>et seq.</w:t>
      </w:r>
      <w:bookmarkEnd w:id="2"/>
      <w:r>
        <w:t>) (NEPA).</w:t>
      </w:r>
    </w:p>
  </w:footnote>
  <w:footnote w:id="11">
    <w:p w:rsidR="00382840" w:rsidP="00382840" w14:paraId="21BB2A41" w14:textId="77777777">
      <w:pPr>
        <w:pStyle w:val="FootnoteText"/>
      </w:pPr>
      <w:r>
        <w:rPr>
          <w:rStyle w:val="FootnoteReference"/>
        </w:rPr>
        <w:footnoteRef/>
      </w:r>
      <w:r>
        <w:t xml:space="preserve"> National Historic Preservation Act, Pub. L. No. 89-665, 80 Stat. 915 (1966) (codified as amended at 54 U.S.C. § 300101 </w:t>
      </w:r>
      <w:r>
        <w:rPr>
          <w:i/>
        </w:rPr>
        <w:t>et seq</w:t>
      </w:r>
      <w:r>
        <w:t xml:space="preserve">.) (NHPA).  </w:t>
      </w:r>
    </w:p>
  </w:footnote>
  <w:footnote w:id="12">
    <w:p w:rsidR="00382840" w:rsidP="00382840" w14:paraId="2450CF30" w14:textId="77777777">
      <w:pPr>
        <w:pStyle w:val="FootnoteText"/>
      </w:pPr>
      <w:r>
        <w:rPr>
          <w:rStyle w:val="FootnoteReference"/>
        </w:rPr>
        <w:footnoteRef/>
      </w:r>
      <w:r>
        <w:t xml:space="preserve"> As part of the assessment, a licensee or applicant must consider several factors, including, but not limited to, whether the site of the proposed tower will be located in an officially designated wilderness area or wildlife preserve, or whether the proposed site may affect listed threatened or endangered species or designated critical habitats.  </w:t>
      </w:r>
      <w:r>
        <w:rPr>
          <w:i/>
        </w:rPr>
        <w:t xml:space="preserve">See </w:t>
      </w:r>
      <w:r>
        <w:t xml:space="preserve">47 CFR § 1.1307.  Pursuant to section 1.1312, this obligation expressly applies to facilities for which no Commission authorization prior to construction is required, unless they meet an exemption.  </w:t>
      </w:r>
      <w:r>
        <w:rPr>
          <w:i/>
        </w:rPr>
        <w:t>See</w:t>
      </w:r>
      <w:r>
        <w:t xml:space="preserve"> </w:t>
      </w:r>
      <w:r w:rsidRPr="005D467A">
        <w:rPr>
          <w:i/>
        </w:rPr>
        <w:t>id</w:t>
      </w:r>
      <w:r>
        <w:t>. § 1.1312(a), (e).</w:t>
      </w:r>
    </w:p>
  </w:footnote>
  <w:footnote w:id="13">
    <w:p w:rsidR="00382840" w:rsidP="00382840" w14:paraId="4B293A88" w14:textId="77777777">
      <w:pPr>
        <w:pStyle w:val="FootnoteText"/>
      </w:pPr>
      <w:r>
        <w:rPr>
          <w:rStyle w:val="FootnoteReference"/>
        </w:rPr>
        <w:footnoteRef/>
      </w:r>
      <w:r>
        <w:t xml:space="preserve"> </w:t>
      </w:r>
      <w:r>
        <w:rPr>
          <w:i/>
        </w:rPr>
        <w:t>Id</w:t>
      </w:r>
      <w:r>
        <w:t>. § 1.1307(a).  National Register refers to the National Register of Historic Places, which is maintained by the Secretary of the Interior’s Office of the Keeper of the National Register.  47 CFR Pt. 1, App. C, Section II. A. 10.</w:t>
      </w:r>
    </w:p>
  </w:footnote>
  <w:footnote w:id="14">
    <w:p w:rsidR="00382840" w:rsidP="00382840" w14:paraId="07B741EF" w14:textId="77777777">
      <w:pPr>
        <w:pStyle w:val="FootnoteText"/>
      </w:pPr>
      <w:r>
        <w:rPr>
          <w:rStyle w:val="FootnoteReference"/>
        </w:rPr>
        <w:footnoteRef/>
      </w:r>
      <w:r>
        <w:t xml:space="preserve"> 36 CFR Pt. 800.</w:t>
      </w:r>
    </w:p>
  </w:footnote>
  <w:footnote w:id="15">
    <w:p w:rsidR="00382840" w:rsidP="00382840" w14:paraId="1C692F17" w14:textId="77777777">
      <w:pPr>
        <w:pStyle w:val="FootnoteText"/>
      </w:pPr>
      <w:r>
        <w:rPr>
          <w:rStyle w:val="FootnoteReference"/>
        </w:rPr>
        <w:footnoteRef/>
      </w:r>
      <w:r>
        <w:t xml:space="preserve"> 47 CFR Pt. 1, App. B.  </w:t>
      </w:r>
      <w:r w:rsidRPr="00C32809">
        <w:rPr>
          <w:i/>
        </w:rPr>
        <w:t>See</w:t>
      </w:r>
      <w:r w:rsidRPr="00D40D64">
        <w:t xml:space="preserve"> </w:t>
      </w:r>
      <w:r w:rsidRPr="00C32809">
        <w:rPr>
          <w:i/>
        </w:rPr>
        <w:t>Wireless Telecommunications Bureau Announces Execution of Programmatic Agreement with respect to Collocating Wireless Antennas on Existing Structures</w:t>
      </w:r>
      <w:r>
        <w:t>,</w:t>
      </w:r>
      <w:r w:rsidRPr="006832E2">
        <w:t xml:space="preserve"> </w:t>
      </w:r>
      <w:r>
        <w:t xml:space="preserve">Public Notice, 16 FCC Rcd 5574 (WTB 2001), </w:t>
      </w:r>
      <w:r w:rsidRPr="0032015C">
        <w:rPr>
          <w:i/>
          <w:iCs/>
        </w:rPr>
        <w:t>recon</w:t>
      </w:r>
      <w:r>
        <w:rPr>
          <w:i/>
          <w:iCs/>
        </w:rPr>
        <w:t>s</w:t>
      </w:r>
      <w:r w:rsidRPr="0032015C">
        <w:rPr>
          <w:i/>
          <w:iCs/>
        </w:rPr>
        <w:t>. denied</w:t>
      </w:r>
      <w:r>
        <w:t>,</w:t>
      </w:r>
      <w:r w:rsidRPr="006832E2">
        <w:t xml:space="preserve"> </w:t>
      </w:r>
      <w:r>
        <w:t>20 FCC Rcd 4084 (WTB 2005).</w:t>
      </w:r>
    </w:p>
  </w:footnote>
  <w:footnote w:id="16">
    <w:p w:rsidR="00382840" w:rsidP="00382840" w14:paraId="0A4040DA" w14:textId="77777777">
      <w:pPr>
        <w:pStyle w:val="FootnoteText"/>
      </w:pPr>
      <w:r>
        <w:rPr>
          <w:rStyle w:val="FootnoteReference"/>
        </w:rPr>
        <w:footnoteRef/>
      </w:r>
      <w:r>
        <w:t xml:space="preserve"> 47 CFR Pt. 1, App. C; </w:t>
      </w:r>
      <w:r>
        <w:rPr>
          <w:i/>
        </w:rPr>
        <w:t>s</w:t>
      </w:r>
      <w:r w:rsidRPr="00D40D64">
        <w:rPr>
          <w:i/>
        </w:rPr>
        <w:t>ee Nationwide Programmatic Agreement Regarding the Section 106 National Historic Preservation Act Review Process</w:t>
      </w:r>
      <w:r>
        <w:t xml:space="preserve">, Report and Order, 20 FCC Rcd 1073 (2004), </w:t>
      </w:r>
      <w:r w:rsidRPr="00D40D64">
        <w:rPr>
          <w:i/>
        </w:rPr>
        <w:t>clarified</w:t>
      </w:r>
      <w:r>
        <w:t xml:space="preserve">, 20 FCC Rcd 17995 (2005), </w:t>
      </w:r>
      <w:r w:rsidRPr="00D40D64">
        <w:rPr>
          <w:i/>
        </w:rPr>
        <w:t>aff’d</w:t>
      </w:r>
      <w:r>
        <w:t>,</w:t>
      </w:r>
      <w:r w:rsidRPr="006832E2">
        <w:t xml:space="preserve"> </w:t>
      </w:r>
      <w:r w:rsidRPr="00C32809">
        <w:rPr>
          <w:i/>
        </w:rPr>
        <w:t>CTIA-The Wireless Ass’n. v. FCC</w:t>
      </w:r>
      <w:r>
        <w:t>, 466 F.3d 105 (D.C. Cir. 2006) (</w:t>
      </w:r>
      <w:r w:rsidRPr="00C32809">
        <w:rPr>
          <w:i/>
        </w:rPr>
        <w:t>NPA Report and Order</w:t>
      </w:r>
      <w:r>
        <w:t xml:space="preserve">); </w:t>
      </w:r>
      <w:r w:rsidRPr="00A3565D">
        <w:rPr>
          <w:i/>
          <w:iCs/>
        </w:rPr>
        <w:t>see also</w:t>
      </w:r>
      <w:r>
        <w:t xml:space="preserve"> </w:t>
      </w:r>
      <w:r w:rsidRPr="00A3565D">
        <w:rPr>
          <w:i/>
        </w:rPr>
        <w:t>Implementation of State and Local Governments’ Obligation to Approve Certain Wireless Facility Modification Requests Under Section 6409(a) of the Spectrum Act of 2012</w:t>
      </w:r>
      <w:r w:rsidRPr="00A3565D">
        <w:rPr>
          <w:iCs/>
        </w:rPr>
        <w:t>, WT Docket No. 19-250, Declaratory Ruling</w:t>
      </w:r>
      <w:r>
        <w:rPr>
          <w:iCs/>
        </w:rPr>
        <w:t xml:space="preserve"> and Notice of Proposed Rulemaking</w:t>
      </w:r>
      <w:r w:rsidRPr="00A3565D">
        <w:rPr>
          <w:iCs/>
        </w:rPr>
        <w:t xml:space="preserve">, FCC 20-75, </w:t>
      </w:r>
      <w:r>
        <w:rPr>
          <w:iCs/>
        </w:rPr>
        <w:t xml:space="preserve">24-27, </w:t>
      </w:r>
      <w:r w:rsidRPr="00A3565D">
        <w:rPr>
          <w:iCs/>
        </w:rPr>
        <w:t>paras. 45-50 (2020) (an applicant or licensee is not required to file an environmental assessment if a proposed facility may have an adverse effect on the environment, provided that the FCC and the applicant or licensee enters into a memorandum of agreement to mitigate the effects of the proposed facility</w:t>
      </w:r>
      <w:r>
        <w:t>).</w:t>
      </w:r>
      <w:r w:rsidRPr="002250BC">
        <w:t xml:space="preserve"> </w:t>
      </w:r>
      <w:r>
        <w:t xml:space="preserve"> </w:t>
      </w:r>
    </w:p>
  </w:footnote>
  <w:footnote w:id="17">
    <w:p w:rsidR="00382840" w:rsidP="00382840" w14:paraId="5E04A736" w14:textId="77777777">
      <w:pPr>
        <w:pStyle w:val="FootnoteText"/>
      </w:pPr>
      <w:r>
        <w:rPr>
          <w:rStyle w:val="FootnoteReference"/>
        </w:rPr>
        <w:footnoteRef/>
      </w:r>
      <w:r>
        <w:t xml:space="preserve"> 54 U.S.C. § 300101</w:t>
      </w:r>
      <w:r>
        <w:rPr>
          <w:i/>
        </w:rPr>
        <w:t xml:space="preserve"> et seq.</w:t>
      </w:r>
      <w:r>
        <w:t xml:space="preserve">  The NHPA requires that a federal agency consider the effects of its federal undertakings, including actions that it authorizes or approves, on historic properties prior to issuing federal licenses, permits, or approvals.  </w:t>
      </w:r>
      <w:r>
        <w:rPr>
          <w:i/>
        </w:rPr>
        <w:t xml:space="preserve">See </w:t>
      </w:r>
      <w:r>
        <w:t>54 U.S.C. §§ 306108, 300320</w:t>
      </w:r>
      <w:bookmarkStart w:id="6" w:name="_Hlk507597374"/>
      <w:r>
        <w:t xml:space="preserve">.  This review is commonly referred to as “Section 106 Review” because the provision requiring the review was originally enacted as section 106 of the NHPA.  In considering such effects, the NHPA further requires the federal agency to consider the views of expert agencies.  Specifically, the </w:t>
      </w:r>
      <w:smartTag w:uri="urn:schemas-microsoft-com:office:smarttags" w:element="stockticker">
        <w:r>
          <w:t>NHP</w:t>
        </w:r>
      </w:smartTag>
      <w:r>
        <w:t xml:space="preserve">A requires the federal agency to consider the views of the Advisory Council on Historic Preservation (Advisory Council), which is the federal agency responsible for implementing the NHPA; the appropriate State Historic Preservation Officer; and, if historic properties of religious or cultural significance to federally recognized tribal nations or Native Hawaiian organizations may be affected, their representatives. </w:t>
      </w:r>
      <w:bookmarkEnd w:id="6"/>
      <w:r>
        <w:t xml:space="preserve"> </w:t>
      </w:r>
      <w:r>
        <w:rPr>
          <w:i/>
        </w:rPr>
        <w:t xml:space="preserve">See </w:t>
      </w:r>
      <w:r>
        <w:t xml:space="preserve">54 U.S.C. §§ 302104, 302706, 306108, 304101.  As authorized by the Advisory Council, the Commission’s Environmental Rules delegate to its licensees, permittees, and applicants initial responsibility for identifying historic properties and evaluating the effects that their proposed facilities may have on such properties, but the Commission remains ultimately responsible for ensuring that the “Section 106 Review” occurs in accordance with applicable statutory and regulatory provisions, as well as for government-to-government consultation with federally recognized tribal nations.  </w:t>
      </w:r>
      <w:r>
        <w:rPr>
          <w:i/>
        </w:rPr>
        <w:t xml:space="preserve">See </w:t>
      </w:r>
      <w:r>
        <w:t xml:space="preserve">47 CFR § 1.1307(a)(4); </w:t>
      </w:r>
      <w:r>
        <w:rPr>
          <w:i/>
        </w:rPr>
        <w:t xml:space="preserve">see also </w:t>
      </w:r>
      <w:r>
        <w:t xml:space="preserve">36 CFR § 800.2(a)(3); </w:t>
      </w:r>
      <w:r>
        <w:rPr>
          <w:i/>
        </w:rPr>
        <w:t>NPA Report and Order</w:t>
      </w:r>
      <w:r w:rsidRPr="006832E2">
        <w:t>,</w:t>
      </w:r>
      <w:r>
        <w:rPr>
          <w:i/>
        </w:rPr>
        <w:t xml:space="preserve"> </w:t>
      </w:r>
      <w:r>
        <w:t xml:space="preserve">20 FCC Rcd at 1076-77, para. 5.   </w:t>
      </w:r>
    </w:p>
  </w:footnote>
  <w:footnote w:id="18">
    <w:p w:rsidR="00382840" w:rsidRPr="00C86F0D" w:rsidP="00382840" w14:paraId="738FAF69" w14:textId="77777777">
      <w:pPr>
        <w:pStyle w:val="FootnoteText"/>
      </w:pPr>
      <w:r>
        <w:rPr>
          <w:rStyle w:val="FootnoteReference"/>
        </w:rPr>
        <w:footnoteRef/>
      </w:r>
      <w:r>
        <w:t xml:space="preserve"> </w:t>
      </w:r>
      <w:r>
        <w:rPr>
          <w:i/>
        </w:rPr>
        <w:t xml:space="preserve">See </w:t>
      </w:r>
      <w:r>
        <w:t>Letter from Elizabeth Y. Mumaw, Chief, Spectrum Enforcement Division, FCC Enforcement Bureau, to Donald Bond, President, Public Service Towers, Inc. (Aug. 16, 2019) (on file in EB-SED-19-00029453).</w:t>
      </w:r>
    </w:p>
  </w:footnote>
  <w:footnote w:id="19">
    <w:p w:rsidR="00382840" w:rsidRPr="003C24F9" w:rsidP="00382840" w14:paraId="6A494574" w14:textId="77777777">
      <w:pPr>
        <w:pStyle w:val="FootnoteText"/>
      </w:pPr>
      <w:r>
        <w:rPr>
          <w:rStyle w:val="FootnoteReference"/>
        </w:rPr>
        <w:footnoteRef/>
      </w:r>
      <w:r>
        <w:t xml:space="preserve"> </w:t>
      </w:r>
      <w:r>
        <w:rPr>
          <w:i/>
        </w:rPr>
        <w:t>See</w:t>
      </w:r>
      <w:r>
        <w:t xml:space="preserve"> Letter from Gregory W. Whiteaker, Herman and Whiteaker, LLC., Counsel for Public Service Towers, Inc., to Elizabeth Y. Mumaw, Chief, Spectrum Enforcement Division, FCC Enforcement Bureau (Oct. 15, 2019) (on file in EB-SED-19-00029453).</w:t>
      </w:r>
    </w:p>
  </w:footnote>
  <w:footnote w:id="20">
    <w:p w:rsidR="00382840" w:rsidP="00382840" w14:paraId="17FA6C27" w14:textId="77777777">
      <w:pPr>
        <w:pStyle w:val="FootnoteText"/>
      </w:pPr>
      <w:r>
        <w:rPr>
          <w:rStyle w:val="FootnoteReference"/>
        </w:rPr>
        <w:footnoteRef/>
      </w:r>
      <w:r>
        <w:t xml:space="preserve"> </w:t>
      </w:r>
      <w:r w:rsidRPr="00C566EC">
        <w:rPr>
          <w:i/>
        </w:rPr>
        <w:t>See</w:t>
      </w:r>
      <w:r>
        <w:t xml:space="preserve"> 47 CFR </w:t>
      </w:r>
      <w:r w:rsidRPr="001B63BB">
        <w:rPr>
          <w:szCs w:val="22"/>
        </w:rPr>
        <w:t>§</w:t>
      </w:r>
      <w:r>
        <w:rPr>
          <w:szCs w:val="22"/>
        </w:rPr>
        <w:t xml:space="preserve"> </w:t>
      </w:r>
      <w:r>
        <w:t>1.93(b).</w:t>
      </w:r>
    </w:p>
  </w:footnote>
  <w:footnote w:id="21">
    <w:p w:rsidR="00382840" w:rsidP="00382840" w14:paraId="7D13D50D" w14:textId="77777777">
      <w:pPr>
        <w:pStyle w:val="FootnoteText"/>
      </w:pPr>
      <w:r w:rsidRPr="00A07FCB">
        <w:rPr>
          <w:rStyle w:val="FootnoteReference"/>
        </w:rPr>
        <w:footnoteRef/>
      </w:r>
      <w:r w:rsidRPr="00A07FCB">
        <w:t xml:space="preserve"> 47 CFR § 1.16.</w:t>
      </w:r>
    </w:p>
  </w:footnote>
  <w:footnote w:id="22">
    <w:p w:rsidR="00382840" w:rsidP="00382840" w14:paraId="7CE15F76" w14:textId="77777777">
      <w:pPr>
        <w:pStyle w:val="FootnoteText"/>
      </w:pPr>
      <w:r>
        <w:rPr>
          <w:rStyle w:val="FootnoteReference"/>
        </w:rPr>
        <w:footnoteRef/>
      </w:r>
      <w:r>
        <w:t xml:space="preserve"> Debt Collection Improvement Act of 1996, Pub. L. No. 104-134, 110 Stat. 1321, 1358 (Apr. 26, 1996).</w:t>
      </w:r>
    </w:p>
  </w:footnote>
  <w:footnote w:id="23">
    <w:p w:rsidR="00382840" w:rsidRPr="005476AB" w:rsidP="00382840" w14:paraId="6D1828ED"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4">
    <w:p w:rsidR="00382840" w:rsidRPr="005476AB" w:rsidP="00382840" w14:paraId="52E6FE10"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25">
    <w:p w:rsidR="00382840" w:rsidP="00382840" w14:paraId="02AD904C"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26">
    <w:p w:rsidR="00382840" w:rsidP="00382840" w14:paraId="578556F9" w14:textId="77777777">
      <w:pPr>
        <w:pStyle w:val="FootnoteText"/>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1" w:name="_Hlk28875651"/>
  <w:p w:rsidR="00EF2026" w:rsidRPr="00EF2026" w:rsidP="00EF2026" w14:paraId="2F7EEE2E" w14:textId="20C78781">
    <w:pPr>
      <w:pStyle w:val="Header"/>
    </w:pPr>
    <w:r w:rsidRPr="00EF2026">
      <w:rPr>
        <w:b w:val="0"/>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F2026">
      <w:tab/>
      <w:t>Federal Communications Commission</w:t>
    </w:r>
    <w:r w:rsidRPr="00EF2026">
      <w:tab/>
      <w:t>D</w:t>
    </w:r>
    <w:r w:rsidRPr="00555893">
      <w:t xml:space="preserve">A </w:t>
    </w:r>
    <w:r w:rsidRPr="00555893" w:rsidR="002D26E5">
      <w:t>20</w:t>
    </w:r>
    <w:r w:rsidRPr="00555893" w:rsidR="00BB3A5F">
      <w:t>-</w:t>
    </w:r>
    <w:r w:rsidRPr="00555893" w:rsidR="002D26E5">
      <w:t>854</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4EF1" w:rsidRPr="00EF2026" w:rsidP="00E44EF1" w14:paraId="65DB3B91" w14:textId="48F65421">
    <w:pPr>
      <w:pStyle w:val="Header"/>
    </w:pPr>
    <w:r w:rsidRPr="00EF2026">
      <w:rPr>
        <w:b w:val="0"/>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EF2026">
      <w:tab/>
      <w:t>Federal Communications Commission</w:t>
    </w:r>
    <w:r w:rsidRPr="00EF2026">
      <w:tab/>
      <w:t>D</w:t>
    </w:r>
    <w:r w:rsidRPr="00555893">
      <w:t>A</w:t>
    </w:r>
    <w:r w:rsidRPr="00555893" w:rsidR="00A56E5A">
      <w:t xml:space="preserve"> </w:t>
    </w:r>
    <w:r w:rsidRPr="00555893" w:rsidR="002D26E5">
      <w:t>20</w:t>
    </w:r>
    <w:r w:rsidRPr="00555893" w:rsidR="00A56E5A">
      <w:t>-</w:t>
    </w:r>
    <w:r w:rsidRPr="00555893" w:rsidR="002D26E5">
      <w:t>854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E82" w:rsidP="00FC6E82" w14:paraId="31668479" w14:textId="77777777">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20-854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6E82" w:rsidP="00FC6E82" w14:paraId="292689BE" w14:textId="77777777">
    <w:pPr>
      <w:pStyle w:val="Header"/>
      <w:rPr>
        <w:spacing w:val="-2"/>
      </w:rPr>
    </w:pPr>
    <w:r w:rsidRPr="00843A5F">
      <w:rPr>
        <w:noProof/>
        <w:snapToGrid/>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20-854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Letter"/>
      <w:lvlText w:val="%5."/>
      <w:lvlJc w:val="left"/>
      <w:pPr>
        <w:tabs>
          <w:tab w:val="num" w:pos="2448"/>
        </w:tabs>
        <w:ind w:left="2448" w:hanging="360"/>
      </w:pPr>
      <w:rPr>
        <w:rFonts w:cs="Times New Roman"/>
      </w:rPr>
    </w:lvl>
    <w:lvl w:ilvl="5">
      <w:start w:val="1"/>
      <w:numFmt w:val="lowerRoman"/>
      <w:lvlText w:val="%6."/>
      <w:lvlJc w:val="right"/>
      <w:pPr>
        <w:tabs>
          <w:tab w:val="num" w:pos="3168"/>
        </w:tabs>
        <w:ind w:left="3168" w:hanging="180"/>
      </w:pPr>
      <w:rPr>
        <w:rFonts w:cs="Times New Roman"/>
      </w:rPr>
    </w:lvl>
    <w:lvl w:ilvl="6">
      <w:start w:val="1"/>
      <w:numFmt w:val="decimal"/>
      <w:lvlText w:val="%7."/>
      <w:lvlJc w:val="left"/>
      <w:pPr>
        <w:tabs>
          <w:tab w:val="num" w:pos="3888"/>
        </w:tabs>
        <w:ind w:left="3888" w:hanging="360"/>
      </w:pPr>
      <w:rPr>
        <w:rFonts w:cs="Times New Roman"/>
      </w:rPr>
    </w:lvl>
    <w:lvl w:ilvl="7">
      <w:start w:val="1"/>
      <w:numFmt w:val="lowerLetter"/>
      <w:lvlText w:val="%8."/>
      <w:lvlJc w:val="left"/>
      <w:pPr>
        <w:tabs>
          <w:tab w:val="num" w:pos="4608"/>
        </w:tabs>
        <w:ind w:left="4608" w:hanging="360"/>
      </w:pPr>
      <w:rPr>
        <w:rFonts w:cs="Times New Roman"/>
      </w:rPr>
    </w:lvl>
    <w:lvl w:ilvl="8">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253019"/>
    <w:multiLevelType w:val="hybridMultilevel"/>
    <w:tmpl w:val="A3068D84"/>
    <w:lvl w:ilvl="0">
      <w:start w:val="1"/>
      <w:numFmt w:val="lowerLetter"/>
      <w:lvlText w:val="(%1)"/>
      <w:lvlJc w:val="left"/>
      <w:pPr>
        <w:tabs>
          <w:tab w:val="num" w:pos="1656"/>
        </w:tabs>
        <w:ind w:left="1656" w:hanging="432"/>
      </w:pPr>
      <w:rPr>
        <w:rFonts w:cs="Times New Roman"/>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1"/>
      <w:numFmt w:val="decimal"/>
      <w:lvlText w:val="%4."/>
      <w:lvlJc w:val="left"/>
      <w:pPr>
        <w:tabs>
          <w:tab w:val="num" w:pos="3312"/>
        </w:tabs>
        <w:ind w:left="3312" w:hanging="360"/>
      </w:pPr>
      <w:rPr>
        <w:rFonts w:cs="Times New Roman"/>
      </w:rPr>
    </w:lvl>
    <w:lvl w:ilvl="4">
      <w:start w:val="1"/>
      <w:numFmt w:val="lowerLetter"/>
      <w:lvlText w:val="%5."/>
      <w:lvlJc w:val="left"/>
      <w:pPr>
        <w:tabs>
          <w:tab w:val="num" w:pos="4032"/>
        </w:tabs>
        <w:ind w:left="4032" w:hanging="360"/>
      </w:pPr>
      <w:rPr>
        <w:rFonts w:cs="Times New Roman"/>
      </w:rPr>
    </w:lvl>
    <w:lvl w:ilvl="5">
      <w:start w:val="1"/>
      <w:numFmt w:val="lowerRoman"/>
      <w:lvlText w:val="%6."/>
      <w:lvlJc w:val="right"/>
      <w:pPr>
        <w:tabs>
          <w:tab w:val="num" w:pos="4752"/>
        </w:tabs>
        <w:ind w:left="4752" w:hanging="180"/>
      </w:pPr>
      <w:rPr>
        <w:rFonts w:cs="Times New Roman"/>
      </w:rPr>
    </w:lvl>
    <w:lvl w:ilvl="6">
      <w:start w:val="1"/>
      <w:numFmt w:val="decimal"/>
      <w:lvlText w:val="%7."/>
      <w:lvlJc w:val="left"/>
      <w:pPr>
        <w:tabs>
          <w:tab w:val="num" w:pos="5472"/>
        </w:tabs>
        <w:ind w:left="5472" w:hanging="360"/>
      </w:pPr>
      <w:rPr>
        <w:rFonts w:cs="Times New Roman"/>
      </w:rPr>
    </w:lvl>
    <w:lvl w:ilvl="7">
      <w:start w:val="1"/>
      <w:numFmt w:val="lowerLetter"/>
      <w:lvlText w:val="%8."/>
      <w:lvlJc w:val="left"/>
      <w:pPr>
        <w:tabs>
          <w:tab w:val="num" w:pos="6192"/>
        </w:tabs>
        <w:ind w:left="6192" w:hanging="360"/>
      </w:pPr>
      <w:rPr>
        <w:rFonts w:cs="Times New Roman"/>
      </w:rPr>
    </w:lvl>
    <w:lvl w:ilvl="8">
      <w:start w:val="1"/>
      <w:numFmt w:val="lowerRoman"/>
      <w:lvlText w:val="%9."/>
      <w:lvlJc w:val="right"/>
      <w:pPr>
        <w:tabs>
          <w:tab w:val="num" w:pos="6912"/>
        </w:tabs>
        <w:ind w:left="6912"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8"/>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4"/>
  </w:num>
  <w:num w:numId="15">
    <w:abstractNumId w:val="6"/>
  </w:num>
  <w:num w:numId="16">
    <w:abstractNumId w:val="9"/>
  </w:num>
  <w:num w:numId="17">
    <w:abstractNumId w:val="5"/>
  </w:num>
  <w:num w:numId="18">
    <w:abstractNumId w:val="0"/>
  </w:num>
  <w:num w:numId="19">
    <w:abstractNumId w:val="2"/>
  </w:num>
  <w:num w:numId="20">
    <w:abstractNumId w:val="1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4B"/>
    <w:rsid w:val="00001E3A"/>
    <w:rsid w:val="000218BD"/>
    <w:rsid w:val="0002658B"/>
    <w:rsid w:val="000640F5"/>
    <w:rsid w:val="000A6A68"/>
    <w:rsid w:val="000B3711"/>
    <w:rsid w:val="001162DC"/>
    <w:rsid w:val="00137FBA"/>
    <w:rsid w:val="001B0DFA"/>
    <w:rsid w:val="001B63BB"/>
    <w:rsid w:val="001B6E59"/>
    <w:rsid w:val="001C09B1"/>
    <w:rsid w:val="001E3805"/>
    <w:rsid w:val="0021547A"/>
    <w:rsid w:val="002250BC"/>
    <w:rsid w:val="00271B7D"/>
    <w:rsid w:val="002755D1"/>
    <w:rsid w:val="00295195"/>
    <w:rsid w:val="00296947"/>
    <w:rsid w:val="002C7080"/>
    <w:rsid w:val="002D26E5"/>
    <w:rsid w:val="002E12BC"/>
    <w:rsid w:val="002E4F5C"/>
    <w:rsid w:val="002E6CC1"/>
    <w:rsid w:val="00315B16"/>
    <w:rsid w:val="0032015C"/>
    <w:rsid w:val="003348A0"/>
    <w:rsid w:val="00345E28"/>
    <w:rsid w:val="003503DA"/>
    <w:rsid w:val="00382840"/>
    <w:rsid w:val="003A2D99"/>
    <w:rsid w:val="003C24F9"/>
    <w:rsid w:val="003D1C85"/>
    <w:rsid w:val="003F6349"/>
    <w:rsid w:val="003F78F8"/>
    <w:rsid w:val="00405780"/>
    <w:rsid w:val="00406C45"/>
    <w:rsid w:val="00406DEA"/>
    <w:rsid w:val="00413CFA"/>
    <w:rsid w:val="004227E6"/>
    <w:rsid w:val="00426FC8"/>
    <w:rsid w:val="0043720F"/>
    <w:rsid w:val="004455A4"/>
    <w:rsid w:val="0048280E"/>
    <w:rsid w:val="00491DBD"/>
    <w:rsid w:val="004A4FFE"/>
    <w:rsid w:val="004A6843"/>
    <w:rsid w:val="004B659E"/>
    <w:rsid w:val="004C60D5"/>
    <w:rsid w:val="004C735E"/>
    <w:rsid w:val="004D398D"/>
    <w:rsid w:val="00506CD8"/>
    <w:rsid w:val="00506F60"/>
    <w:rsid w:val="00543B07"/>
    <w:rsid w:val="005476AB"/>
    <w:rsid w:val="00555893"/>
    <w:rsid w:val="00566C1B"/>
    <w:rsid w:val="005B0882"/>
    <w:rsid w:val="005C47D6"/>
    <w:rsid w:val="005C6D06"/>
    <w:rsid w:val="005D467A"/>
    <w:rsid w:val="005F7932"/>
    <w:rsid w:val="00611F94"/>
    <w:rsid w:val="00637596"/>
    <w:rsid w:val="00644337"/>
    <w:rsid w:val="00645A48"/>
    <w:rsid w:val="00664228"/>
    <w:rsid w:val="00674366"/>
    <w:rsid w:val="0068049A"/>
    <w:rsid w:val="00680684"/>
    <w:rsid w:val="006832E2"/>
    <w:rsid w:val="006B5C4C"/>
    <w:rsid w:val="006C2AAE"/>
    <w:rsid w:val="006D540E"/>
    <w:rsid w:val="006E789A"/>
    <w:rsid w:val="007523BC"/>
    <w:rsid w:val="007C0B39"/>
    <w:rsid w:val="00827055"/>
    <w:rsid w:val="00843A5F"/>
    <w:rsid w:val="00844126"/>
    <w:rsid w:val="00870AFD"/>
    <w:rsid w:val="0088797D"/>
    <w:rsid w:val="00887F97"/>
    <w:rsid w:val="008A2184"/>
    <w:rsid w:val="008C268C"/>
    <w:rsid w:val="00963A79"/>
    <w:rsid w:val="009A4250"/>
    <w:rsid w:val="009C5B53"/>
    <w:rsid w:val="009E230A"/>
    <w:rsid w:val="00A07FCB"/>
    <w:rsid w:val="00A3565D"/>
    <w:rsid w:val="00A56E5A"/>
    <w:rsid w:val="00A7172A"/>
    <w:rsid w:val="00A8230B"/>
    <w:rsid w:val="00A95A2D"/>
    <w:rsid w:val="00AD0726"/>
    <w:rsid w:val="00B117AA"/>
    <w:rsid w:val="00B139C8"/>
    <w:rsid w:val="00B26D2E"/>
    <w:rsid w:val="00B2796E"/>
    <w:rsid w:val="00B610DE"/>
    <w:rsid w:val="00BB3A5F"/>
    <w:rsid w:val="00BD075A"/>
    <w:rsid w:val="00BD247E"/>
    <w:rsid w:val="00BD6DFF"/>
    <w:rsid w:val="00BF4E48"/>
    <w:rsid w:val="00C15A9B"/>
    <w:rsid w:val="00C20378"/>
    <w:rsid w:val="00C32809"/>
    <w:rsid w:val="00C37642"/>
    <w:rsid w:val="00C4234B"/>
    <w:rsid w:val="00C566EC"/>
    <w:rsid w:val="00C756F1"/>
    <w:rsid w:val="00C8230A"/>
    <w:rsid w:val="00C83044"/>
    <w:rsid w:val="00C86F0D"/>
    <w:rsid w:val="00D352CF"/>
    <w:rsid w:val="00D40D64"/>
    <w:rsid w:val="00D860EE"/>
    <w:rsid w:val="00DC48EC"/>
    <w:rsid w:val="00DF563E"/>
    <w:rsid w:val="00E05424"/>
    <w:rsid w:val="00E44EF1"/>
    <w:rsid w:val="00E61094"/>
    <w:rsid w:val="00E75C10"/>
    <w:rsid w:val="00EA6956"/>
    <w:rsid w:val="00ED419F"/>
    <w:rsid w:val="00EE05D7"/>
    <w:rsid w:val="00EE696F"/>
    <w:rsid w:val="00EF2026"/>
    <w:rsid w:val="00EF6229"/>
    <w:rsid w:val="00F24A30"/>
    <w:rsid w:val="00FA6A1A"/>
    <w:rsid w:val="00FB24C5"/>
    <w:rsid w:val="00FC11C7"/>
    <w:rsid w:val="00FC5D3F"/>
    <w:rsid w:val="00FC6E82"/>
    <w:rsid w:val="00FE2806"/>
    <w:rsid w:val="00FE38C6"/>
    <w:rsid w:val="00FE6CD4"/>
    <w:rsid w:val="00FF47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8E5875D-DA69-440D-A750-7481D0CC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snapToGrid w:val="0"/>
        <w:kern w:val="28"/>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66"/>
    <w:pPr>
      <w:widowControl w:val="0"/>
      <w:spacing w:after="0" w:line="240" w:lineRule="auto"/>
    </w:pPr>
    <w:rPr>
      <w:rFonts w:eastAsia="Times New Roman"/>
      <w:bCs w:val="0"/>
      <w:szCs w:val="20"/>
    </w:rPr>
  </w:style>
  <w:style w:type="paragraph" w:styleId="Heading1">
    <w:name w:val="heading 1"/>
    <w:basedOn w:val="Normal"/>
    <w:next w:val="ParaNum"/>
    <w:link w:val="Heading1Char"/>
    <w:qFormat/>
    <w:rsid w:val="00674366"/>
    <w:pPr>
      <w:keepNext/>
      <w:numPr>
        <w:numId w:val="1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74366"/>
    <w:pPr>
      <w:keepNext/>
      <w:numPr>
        <w:ilvl w:val="1"/>
        <w:numId w:val="15"/>
      </w:numPr>
      <w:spacing w:after="120"/>
      <w:outlineLvl w:val="1"/>
    </w:pPr>
    <w:rPr>
      <w:b/>
    </w:rPr>
  </w:style>
  <w:style w:type="paragraph" w:styleId="Heading3">
    <w:name w:val="heading 3"/>
    <w:basedOn w:val="Normal"/>
    <w:next w:val="ParaNum"/>
    <w:link w:val="Heading3Char"/>
    <w:qFormat/>
    <w:rsid w:val="00674366"/>
    <w:pPr>
      <w:keepNext/>
      <w:numPr>
        <w:ilvl w:val="2"/>
        <w:numId w:val="15"/>
      </w:numPr>
      <w:tabs>
        <w:tab w:val="left" w:pos="2160"/>
      </w:tabs>
      <w:spacing w:after="120"/>
      <w:outlineLvl w:val="2"/>
    </w:pPr>
    <w:rPr>
      <w:b/>
    </w:rPr>
  </w:style>
  <w:style w:type="paragraph" w:styleId="Heading4">
    <w:name w:val="heading 4"/>
    <w:basedOn w:val="Normal"/>
    <w:next w:val="ParaNum"/>
    <w:link w:val="Heading4Char"/>
    <w:qFormat/>
    <w:rsid w:val="00674366"/>
    <w:pPr>
      <w:keepNext/>
      <w:numPr>
        <w:ilvl w:val="3"/>
        <w:numId w:val="15"/>
      </w:numPr>
      <w:tabs>
        <w:tab w:val="left" w:pos="2880"/>
      </w:tabs>
      <w:spacing w:after="120"/>
      <w:outlineLvl w:val="3"/>
    </w:pPr>
    <w:rPr>
      <w:b/>
    </w:rPr>
  </w:style>
  <w:style w:type="paragraph" w:styleId="Heading5">
    <w:name w:val="heading 5"/>
    <w:basedOn w:val="Normal"/>
    <w:next w:val="ParaNum"/>
    <w:link w:val="Heading5Char"/>
    <w:qFormat/>
    <w:rsid w:val="00674366"/>
    <w:pPr>
      <w:keepNext/>
      <w:numPr>
        <w:ilvl w:val="4"/>
        <w:numId w:val="15"/>
      </w:numPr>
      <w:tabs>
        <w:tab w:val="left" w:pos="3600"/>
      </w:tabs>
      <w:suppressAutoHyphens/>
      <w:spacing w:after="120"/>
      <w:outlineLvl w:val="4"/>
    </w:pPr>
    <w:rPr>
      <w:b/>
    </w:rPr>
  </w:style>
  <w:style w:type="paragraph" w:styleId="Heading6">
    <w:name w:val="heading 6"/>
    <w:basedOn w:val="Normal"/>
    <w:next w:val="ParaNum"/>
    <w:link w:val="Heading6Char"/>
    <w:qFormat/>
    <w:rsid w:val="00674366"/>
    <w:pPr>
      <w:numPr>
        <w:ilvl w:val="5"/>
        <w:numId w:val="15"/>
      </w:numPr>
      <w:tabs>
        <w:tab w:val="left" w:pos="4320"/>
      </w:tabs>
      <w:spacing w:after="120"/>
      <w:outlineLvl w:val="5"/>
    </w:pPr>
    <w:rPr>
      <w:b/>
    </w:rPr>
  </w:style>
  <w:style w:type="paragraph" w:styleId="Heading7">
    <w:name w:val="heading 7"/>
    <w:basedOn w:val="Normal"/>
    <w:next w:val="ParaNum"/>
    <w:link w:val="Heading7Char"/>
    <w:qFormat/>
    <w:rsid w:val="00674366"/>
    <w:pPr>
      <w:numPr>
        <w:ilvl w:val="6"/>
        <w:numId w:val="15"/>
      </w:numPr>
      <w:tabs>
        <w:tab w:val="left" w:pos="5040"/>
      </w:tabs>
      <w:spacing w:after="120"/>
      <w:ind w:left="5040" w:hanging="720"/>
      <w:outlineLvl w:val="6"/>
    </w:pPr>
    <w:rPr>
      <w:b/>
    </w:rPr>
  </w:style>
  <w:style w:type="paragraph" w:styleId="Heading8">
    <w:name w:val="heading 8"/>
    <w:basedOn w:val="Normal"/>
    <w:next w:val="ParaNum"/>
    <w:link w:val="Heading8Char"/>
    <w:qFormat/>
    <w:rsid w:val="00674366"/>
    <w:pPr>
      <w:numPr>
        <w:ilvl w:val="7"/>
        <w:numId w:val="15"/>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74366"/>
    <w:pPr>
      <w:numPr>
        <w:ilvl w:val="8"/>
        <w:numId w:val="1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4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4366"/>
  </w:style>
  <w:style w:type="paragraph" w:styleId="FootnoteText">
    <w:name w:val="footnote text"/>
    <w:aliases w:val="Footnote Text Char Char Char,Footnote Text Char Char Char Char Char,Footnote Text Char1 Char,Footnote Text Char1 Char Char Char,Footnote Text Char1 Char Char Char Char Char,Styl,Style,Style 5 Char Char,f,fn,rrfootnote Char Char"/>
    <w:link w:val="FootnoteTextChar"/>
    <w:rsid w:val="00674366"/>
    <w:pPr>
      <w:spacing w:after="120" w:line="240" w:lineRule="auto"/>
    </w:pPr>
    <w:rPr>
      <w:rFonts w:eastAsia="Times New Roman"/>
      <w:bCs w:val="0"/>
      <w:snapToGrid/>
      <w:kern w:val="0"/>
      <w:sz w:val="20"/>
      <w:szCs w:val="20"/>
    </w:rPr>
  </w:style>
  <w:style w:type="character" w:customStyle="1" w:styleId="FootnoteTextChar">
    <w:name w:val="Footnote Text Char"/>
    <w:aliases w:val="Footnote Text Char Char Char Char Char Char1,Footnote Text Char Char Char Char1,Footnote Text Char1 Char Char Char Char1,Footnote Text Char1 Char Char1,Styl Char,Style 5 Char Char Char1,Style Char,fn Char1,rrfootnote Char Char Char1"/>
    <w:basedOn w:val="DefaultParagraphFont"/>
    <w:link w:val="FootnoteText"/>
    <w:rsid w:val="00FE2806"/>
    <w:rPr>
      <w:rFonts w:eastAsia="Times New Roman"/>
      <w:bCs w:val="0"/>
      <w:snapToGrid/>
      <w:kern w:val="0"/>
      <w:sz w:val="20"/>
      <w:szCs w:val="20"/>
    </w:rPr>
  </w:style>
  <w:style w:type="character" w:customStyle="1" w:styleId="Heading1Char">
    <w:name w:val="Heading 1 Char"/>
    <w:basedOn w:val="DefaultParagraphFont"/>
    <w:link w:val="Heading1"/>
    <w:rsid w:val="00C4234B"/>
    <w:rPr>
      <w:rFonts w:ascii="Times New Roman Bold" w:eastAsia="Times New Roman" w:hAnsi="Times New Roman Bold"/>
      <w:b/>
      <w:bCs w:val="0"/>
      <w:caps/>
      <w:szCs w:val="20"/>
    </w:rPr>
  </w:style>
  <w:style w:type="character" w:customStyle="1" w:styleId="Heading2Char">
    <w:name w:val="Heading 2 Char"/>
    <w:basedOn w:val="DefaultParagraphFont"/>
    <w:link w:val="Heading2"/>
    <w:rsid w:val="00C4234B"/>
    <w:rPr>
      <w:rFonts w:eastAsia="Times New Roman"/>
      <w:b/>
      <w:bCs w:val="0"/>
      <w:szCs w:val="20"/>
    </w:rPr>
  </w:style>
  <w:style w:type="character" w:customStyle="1" w:styleId="Heading3Char">
    <w:name w:val="Heading 3 Char"/>
    <w:basedOn w:val="DefaultParagraphFont"/>
    <w:link w:val="Heading3"/>
    <w:rsid w:val="00C4234B"/>
    <w:rPr>
      <w:rFonts w:eastAsia="Times New Roman"/>
      <w:b/>
      <w:bCs w:val="0"/>
      <w:szCs w:val="20"/>
    </w:rPr>
  </w:style>
  <w:style w:type="character" w:customStyle="1" w:styleId="Heading4Char">
    <w:name w:val="Heading 4 Char"/>
    <w:basedOn w:val="DefaultParagraphFont"/>
    <w:link w:val="Heading4"/>
    <w:rsid w:val="00C4234B"/>
    <w:rPr>
      <w:rFonts w:eastAsia="Times New Roman"/>
      <w:b/>
      <w:bCs w:val="0"/>
      <w:szCs w:val="20"/>
    </w:rPr>
  </w:style>
  <w:style w:type="character" w:customStyle="1" w:styleId="Heading5Char">
    <w:name w:val="Heading 5 Char"/>
    <w:basedOn w:val="DefaultParagraphFont"/>
    <w:link w:val="Heading5"/>
    <w:rsid w:val="00C4234B"/>
    <w:rPr>
      <w:rFonts w:eastAsia="Times New Roman"/>
      <w:b/>
      <w:bCs w:val="0"/>
      <w:szCs w:val="20"/>
    </w:rPr>
  </w:style>
  <w:style w:type="character" w:customStyle="1" w:styleId="Heading6Char">
    <w:name w:val="Heading 6 Char"/>
    <w:basedOn w:val="DefaultParagraphFont"/>
    <w:link w:val="Heading6"/>
    <w:rsid w:val="00C4234B"/>
    <w:rPr>
      <w:rFonts w:eastAsia="Times New Roman"/>
      <w:b/>
      <w:bCs w:val="0"/>
      <w:szCs w:val="20"/>
    </w:rPr>
  </w:style>
  <w:style w:type="character" w:customStyle="1" w:styleId="Heading7Char">
    <w:name w:val="Heading 7 Char"/>
    <w:basedOn w:val="DefaultParagraphFont"/>
    <w:link w:val="Heading7"/>
    <w:rsid w:val="00C4234B"/>
    <w:rPr>
      <w:rFonts w:eastAsia="Times New Roman"/>
      <w:b/>
      <w:bCs w:val="0"/>
      <w:szCs w:val="20"/>
    </w:rPr>
  </w:style>
  <w:style w:type="character" w:customStyle="1" w:styleId="Heading8Char">
    <w:name w:val="Heading 8 Char"/>
    <w:basedOn w:val="DefaultParagraphFont"/>
    <w:link w:val="Heading8"/>
    <w:rsid w:val="00C4234B"/>
    <w:rPr>
      <w:rFonts w:eastAsia="Times New Roman"/>
      <w:b/>
      <w:bCs w:val="0"/>
      <w:szCs w:val="20"/>
    </w:rPr>
  </w:style>
  <w:style w:type="character" w:customStyle="1" w:styleId="Heading9Char">
    <w:name w:val="Heading 9 Char"/>
    <w:basedOn w:val="DefaultParagraphFont"/>
    <w:link w:val="Heading9"/>
    <w:rsid w:val="00C4234B"/>
    <w:rPr>
      <w:rFonts w:eastAsia="Times New Roman"/>
      <w:b/>
      <w:bCs w:val="0"/>
      <w:szCs w:val="20"/>
    </w:rPr>
  </w:style>
  <w:style w:type="paragraph" w:customStyle="1" w:styleId="ParaNum">
    <w:name w:val="ParaNum"/>
    <w:basedOn w:val="Normal"/>
    <w:link w:val="ParaNumChar"/>
    <w:rsid w:val="00674366"/>
    <w:pPr>
      <w:numPr>
        <w:numId w:val="8"/>
      </w:numPr>
      <w:tabs>
        <w:tab w:val="clear" w:pos="1080"/>
        <w:tab w:val="num" w:pos="1440"/>
      </w:tabs>
      <w:spacing w:after="120"/>
    </w:p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1,fn Char,rrfootnote Char Char Char"/>
    <w:semiHidden/>
    <w:locked/>
    <w:rsid w:val="00C4234B"/>
  </w:style>
  <w:style w:type="character" w:customStyle="1" w:styleId="ParaNumChar">
    <w:name w:val="ParaNum Char"/>
    <w:link w:val="ParaNum"/>
    <w:locked/>
    <w:rsid w:val="00C4234B"/>
    <w:rPr>
      <w:rFonts w:eastAsia="Times New Roman"/>
      <w:bCs w:val="0"/>
      <w:szCs w:val="20"/>
    </w:rPr>
  </w:style>
  <w:style w:type="paragraph" w:customStyle="1" w:styleId="StyleBoldCentered">
    <w:name w:val="Style Bold Centered"/>
    <w:basedOn w:val="Normal"/>
    <w:rsid w:val="00674366"/>
    <w:pPr>
      <w:jc w:val="center"/>
    </w:pPr>
    <w:rPr>
      <w:rFonts w:ascii="Times New Roman Bold" w:hAnsi="Times New Roman Bold"/>
      <w:b/>
      <w:bCs/>
      <w:caps/>
      <w:szCs w:val="22"/>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74366"/>
    <w:rPr>
      <w:rFonts w:ascii="Times New Roman" w:hAnsi="Times New Roman"/>
      <w:dstrike w:val="0"/>
      <w:color w:val="auto"/>
      <w:sz w:val="20"/>
      <w:vertAlign w:val="superscript"/>
    </w:rPr>
  </w:style>
  <w:style w:type="character" w:styleId="CommentReference">
    <w:name w:val="annotation reference"/>
    <w:unhideWhenUsed/>
    <w:rsid w:val="00C4234B"/>
    <w:rPr>
      <w:sz w:val="16"/>
      <w:szCs w:val="16"/>
    </w:rPr>
  </w:style>
  <w:style w:type="paragraph" w:styleId="Header">
    <w:name w:val="header"/>
    <w:basedOn w:val="Normal"/>
    <w:link w:val="HeaderChar"/>
    <w:autoRedefine/>
    <w:rsid w:val="00674366"/>
    <w:pPr>
      <w:tabs>
        <w:tab w:val="center" w:pos="4680"/>
        <w:tab w:val="right" w:pos="9360"/>
      </w:tabs>
    </w:pPr>
    <w:rPr>
      <w:b/>
    </w:rPr>
  </w:style>
  <w:style w:type="character" w:customStyle="1" w:styleId="HeaderChar">
    <w:name w:val="Header Char"/>
    <w:basedOn w:val="DefaultParagraphFont"/>
    <w:link w:val="Header"/>
    <w:rsid w:val="002E6CC1"/>
    <w:rPr>
      <w:rFonts w:eastAsia="Times New Roman"/>
      <w:b/>
      <w:bCs w:val="0"/>
      <w:szCs w:val="20"/>
    </w:rPr>
  </w:style>
  <w:style w:type="paragraph" w:styleId="CommentText">
    <w:name w:val="annotation text"/>
    <w:basedOn w:val="Normal"/>
    <w:link w:val="CommentTextChar"/>
    <w:uiPriority w:val="99"/>
    <w:semiHidden/>
    <w:unhideWhenUsed/>
    <w:rsid w:val="0068049A"/>
    <w:rPr>
      <w:sz w:val="20"/>
    </w:rPr>
  </w:style>
  <w:style w:type="character" w:customStyle="1" w:styleId="CommentTextChar">
    <w:name w:val="Comment Text Char"/>
    <w:basedOn w:val="DefaultParagraphFont"/>
    <w:link w:val="CommentText"/>
    <w:uiPriority w:val="99"/>
    <w:semiHidden/>
    <w:rsid w:val="0068049A"/>
    <w:rPr>
      <w:rFonts w:eastAsia="Times New Roman"/>
      <w:bCs w:val="0"/>
      <w:snapToGrid/>
      <w:sz w:val="20"/>
      <w:szCs w:val="20"/>
    </w:rPr>
  </w:style>
  <w:style w:type="paragraph" w:styleId="CommentSubject">
    <w:name w:val="annotation subject"/>
    <w:basedOn w:val="CommentText"/>
    <w:next w:val="CommentText"/>
    <w:link w:val="CommentSubjectChar"/>
    <w:uiPriority w:val="99"/>
    <w:semiHidden/>
    <w:unhideWhenUsed/>
    <w:rsid w:val="0068049A"/>
    <w:rPr>
      <w:b/>
      <w:bCs/>
    </w:rPr>
  </w:style>
  <w:style w:type="character" w:customStyle="1" w:styleId="CommentSubjectChar">
    <w:name w:val="Comment Subject Char"/>
    <w:basedOn w:val="CommentTextChar"/>
    <w:link w:val="CommentSubject"/>
    <w:uiPriority w:val="99"/>
    <w:semiHidden/>
    <w:rsid w:val="0068049A"/>
    <w:rPr>
      <w:rFonts w:eastAsia="Times New Roman"/>
      <w:b/>
      <w:bCs/>
      <w:snapToGrid/>
      <w:sz w:val="20"/>
      <w:szCs w:val="20"/>
    </w:rPr>
  </w:style>
  <w:style w:type="paragraph" w:styleId="BalloonText">
    <w:name w:val="Balloon Text"/>
    <w:basedOn w:val="Normal"/>
    <w:link w:val="BalloonTextChar"/>
    <w:uiPriority w:val="99"/>
    <w:semiHidden/>
    <w:unhideWhenUsed/>
    <w:rsid w:val="00680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9A"/>
    <w:rPr>
      <w:rFonts w:ascii="Segoe UI" w:eastAsia="Times New Roman" w:hAnsi="Segoe UI" w:cs="Segoe UI"/>
      <w:bCs w:val="0"/>
      <w:snapToGrid/>
      <w:sz w:val="18"/>
      <w:szCs w:val="18"/>
    </w:rPr>
  </w:style>
  <w:style w:type="paragraph" w:styleId="Revision">
    <w:name w:val="Revision"/>
    <w:hidden/>
    <w:uiPriority w:val="99"/>
    <w:semiHidden/>
    <w:rsid w:val="003F78F8"/>
    <w:pPr>
      <w:spacing w:after="0" w:line="240" w:lineRule="auto"/>
    </w:pPr>
    <w:rPr>
      <w:rFonts w:eastAsia="Times New Roman"/>
      <w:bCs w:val="0"/>
      <w:snapToGrid/>
      <w:szCs w:val="20"/>
    </w:rPr>
  </w:style>
  <w:style w:type="paragraph" w:styleId="Footer">
    <w:name w:val="footer"/>
    <w:basedOn w:val="Normal"/>
    <w:link w:val="FooterChar"/>
    <w:uiPriority w:val="99"/>
    <w:rsid w:val="00674366"/>
    <w:pPr>
      <w:tabs>
        <w:tab w:val="center" w:pos="4320"/>
        <w:tab w:val="right" w:pos="8640"/>
      </w:tabs>
    </w:pPr>
  </w:style>
  <w:style w:type="character" w:customStyle="1" w:styleId="FooterChar">
    <w:name w:val="Footer Char"/>
    <w:link w:val="Footer"/>
    <w:uiPriority w:val="99"/>
    <w:rsid w:val="00674366"/>
    <w:rPr>
      <w:rFonts w:eastAsia="Times New Roman"/>
      <w:bCs w:val="0"/>
      <w:szCs w:val="20"/>
    </w:rPr>
  </w:style>
  <w:style w:type="paragraph" w:styleId="EndnoteText">
    <w:name w:val="endnote text"/>
    <w:basedOn w:val="Normal"/>
    <w:link w:val="EndnoteTextChar"/>
    <w:semiHidden/>
    <w:rsid w:val="00674366"/>
    <w:rPr>
      <w:sz w:val="20"/>
    </w:rPr>
  </w:style>
  <w:style w:type="character" w:customStyle="1" w:styleId="EndnoteTextChar">
    <w:name w:val="Endnote Text Char"/>
    <w:basedOn w:val="DefaultParagraphFont"/>
    <w:link w:val="EndnoteText"/>
    <w:semiHidden/>
    <w:rsid w:val="002D26E5"/>
    <w:rPr>
      <w:rFonts w:eastAsia="Times New Roman"/>
      <w:bCs w:val="0"/>
      <w:sz w:val="20"/>
      <w:szCs w:val="20"/>
    </w:rPr>
  </w:style>
  <w:style w:type="character" w:styleId="EndnoteReference">
    <w:name w:val="endnote reference"/>
    <w:semiHidden/>
    <w:rsid w:val="00674366"/>
    <w:rPr>
      <w:vertAlign w:val="superscript"/>
    </w:rPr>
  </w:style>
  <w:style w:type="paragraph" w:styleId="TOC1">
    <w:name w:val="toc 1"/>
    <w:basedOn w:val="Normal"/>
    <w:next w:val="Normal"/>
    <w:semiHidden/>
    <w:rsid w:val="006743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74366"/>
    <w:pPr>
      <w:tabs>
        <w:tab w:val="left" w:pos="720"/>
        <w:tab w:val="right" w:leader="dot" w:pos="9360"/>
      </w:tabs>
      <w:suppressAutoHyphens/>
      <w:ind w:left="720" w:right="720" w:hanging="360"/>
    </w:pPr>
    <w:rPr>
      <w:noProof/>
    </w:rPr>
  </w:style>
  <w:style w:type="paragraph" w:styleId="TOC3">
    <w:name w:val="toc 3"/>
    <w:basedOn w:val="Normal"/>
    <w:next w:val="Normal"/>
    <w:semiHidden/>
    <w:rsid w:val="006743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743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43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43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43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43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43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4366"/>
    <w:pPr>
      <w:tabs>
        <w:tab w:val="right" w:pos="9360"/>
      </w:tabs>
      <w:suppressAutoHyphens/>
    </w:pPr>
  </w:style>
  <w:style w:type="character" w:customStyle="1" w:styleId="EquationCaption">
    <w:name w:val="_Equation Caption"/>
    <w:rsid w:val="00674366"/>
  </w:style>
  <w:style w:type="character" w:styleId="PageNumber">
    <w:name w:val="page number"/>
    <w:basedOn w:val="DefaultParagraphFont"/>
    <w:rsid w:val="00674366"/>
  </w:style>
  <w:style w:type="paragraph" w:styleId="BlockText">
    <w:name w:val="Block Text"/>
    <w:basedOn w:val="Normal"/>
    <w:rsid w:val="00674366"/>
    <w:pPr>
      <w:spacing w:after="240"/>
      <w:ind w:left="1440" w:right="1440"/>
    </w:pPr>
  </w:style>
  <w:style w:type="paragraph" w:customStyle="1" w:styleId="Paratitle">
    <w:name w:val="Para title"/>
    <w:basedOn w:val="Normal"/>
    <w:rsid w:val="00674366"/>
    <w:pPr>
      <w:tabs>
        <w:tab w:val="center" w:pos="9270"/>
      </w:tabs>
      <w:spacing w:after="240"/>
    </w:pPr>
    <w:rPr>
      <w:spacing w:val="-2"/>
    </w:rPr>
  </w:style>
  <w:style w:type="paragraph" w:customStyle="1" w:styleId="Bullet">
    <w:name w:val="Bullet"/>
    <w:basedOn w:val="Normal"/>
    <w:rsid w:val="00674366"/>
    <w:pPr>
      <w:tabs>
        <w:tab w:val="left" w:pos="2160"/>
      </w:tabs>
      <w:spacing w:after="220"/>
      <w:ind w:left="2160" w:hanging="720"/>
    </w:pPr>
  </w:style>
  <w:style w:type="paragraph" w:customStyle="1" w:styleId="TableFormat">
    <w:name w:val="TableFormat"/>
    <w:basedOn w:val="Bullet"/>
    <w:rsid w:val="00674366"/>
    <w:pPr>
      <w:tabs>
        <w:tab w:val="clear" w:pos="2160"/>
        <w:tab w:val="left" w:pos="5040"/>
      </w:tabs>
      <w:ind w:left="5040" w:hanging="3600"/>
    </w:pPr>
  </w:style>
  <w:style w:type="paragraph" w:customStyle="1" w:styleId="TOCTitle">
    <w:name w:val="TOC Title"/>
    <w:basedOn w:val="Normal"/>
    <w:rsid w:val="00674366"/>
    <w:pPr>
      <w:spacing w:before="240" w:after="240"/>
      <w:jc w:val="center"/>
    </w:pPr>
    <w:rPr>
      <w:rFonts w:ascii="Times New Roman Bold" w:hAnsi="Times New Roman Bold"/>
      <w:b/>
      <w:caps/>
      <w:spacing w:val="-2"/>
    </w:rPr>
  </w:style>
  <w:style w:type="character" w:styleId="Hyperlink">
    <w:name w:val="Hyperlink"/>
    <w:rsid w:val="00674366"/>
    <w:rPr>
      <w:color w:val="0000FF"/>
      <w:u w:val="single"/>
    </w:rPr>
  </w:style>
  <w:style w:type="character" w:customStyle="1" w:styleId="ParanumChar0">
    <w:name w:val="Paranum Char"/>
    <w:uiPriority w:val="99"/>
    <w:rsid w:val="0038284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file:///D:\Users\Jane.Kelly\AppData\Local\Temp\Temp1_FW__Public_Service_Towers_AO_CD_.zip\Leslie.Barnes@fcc.gov"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fcc.gov/FeeFiler/login.cfm" TargetMode="Externa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file:///D:\Users\Jane.Kelly\AppData\Local\Temp\Temp1_FW__Public_Service_Towers_AO_CD_.zip\EB-SED-Response@fcc.gov" TargetMode="External" /><Relationship Id="rId9" Type="http://schemas.openxmlformats.org/officeDocument/2006/relationships/hyperlink" Target="file:///D:\Users\Jane.Kelly\AppData\Local\Temp\Temp1_FW__Public_Service_Towers_AO_CD_.zip\Jane.Kelly@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