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C82B6B" w14:paraId="414CAAD3" w14:textId="77777777">
      <w:pPr>
        <w:jc w:val="right"/>
        <w:rPr>
          <w:sz w:val="24"/>
        </w:rPr>
      </w:pPr>
    </w:p>
    <w:p w:rsidR="005614FA" w:rsidP="005614FA" w14:paraId="35423EB0" w14:textId="001AC2B4">
      <w:pPr>
        <w:widowControl/>
        <w:suppressAutoHyphens/>
        <w:jc w:val="right"/>
        <w:rPr>
          <w:b/>
          <w:color w:val="000000"/>
        </w:rPr>
      </w:pPr>
      <w:r>
        <w:rPr>
          <w:b/>
          <w:color w:val="000000"/>
        </w:rPr>
        <w:t>DA 20-</w:t>
      </w:r>
      <w:r w:rsidR="006D241D">
        <w:rPr>
          <w:b/>
          <w:color w:val="000000"/>
        </w:rPr>
        <w:t>866</w:t>
      </w:r>
      <w:bookmarkStart w:id="0" w:name="_GoBack"/>
      <w:bookmarkEnd w:id="0"/>
    </w:p>
    <w:p w:rsidR="005614FA" w:rsidP="005614FA" w14:paraId="496BBE34" w14:textId="1D7BA12E">
      <w:pPr>
        <w:widowControl/>
        <w:suppressAutoHyphens/>
        <w:spacing w:after="240"/>
        <w:jc w:val="right"/>
        <w:rPr>
          <w:b/>
          <w:color w:val="000000"/>
        </w:rPr>
      </w:pPr>
      <w:r>
        <w:rPr>
          <w:b/>
          <w:color w:val="000000"/>
        </w:rPr>
        <w:t xml:space="preserve">Released:  </w:t>
      </w:r>
      <w:r w:rsidR="00EF479F">
        <w:rPr>
          <w:b/>
          <w:color w:val="000000"/>
        </w:rPr>
        <w:t>August</w:t>
      </w:r>
      <w:r>
        <w:rPr>
          <w:b/>
          <w:color w:val="000000"/>
        </w:rPr>
        <w:t xml:space="preserve"> </w:t>
      </w:r>
      <w:r w:rsidR="00BF4751">
        <w:rPr>
          <w:b/>
          <w:color w:val="000000"/>
        </w:rPr>
        <w:t>11</w:t>
      </w:r>
      <w:r>
        <w:rPr>
          <w:b/>
          <w:color w:val="000000"/>
        </w:rPr>
        <w:t>, 2020</w:t>
      </w:r>
    </w:p>
    <w:p w:rsidR="00EF479F" w:rsidP="00EF479F" w14:paraId="456CA9AE" w14:textId="77777777">
      <w:pPr>
        <w:widowControl/>
        <w:jc w:val="center"/>
        <w:rPr>
          <w:b/>
          <w:bCs/>
          <w:snapToGrid/>
          <w:kern w:val="0"/>
          <w:szCs w:val="22"/>
        </w:rPr>
      </w:pPr>
      <w:bookmarkStart w:id="1" w:name="_Hlk519509475"/>
      <w:bookmarkStart w:id="2" w:name="_Hlk502044717"/>
      <w:bookmarkStart w:id="3" w:name="_Hlk516578398"/>
      <w:r w:rsidRPr="00094BB8">
        <w:rPr>
          <w:b/>
          <w:bCs/>
          <w:snapToGrid/>
          <w:kern w:val="0"/>
          <w:szCs w:val="22"/>
        </w:rPr>
        <w:t>APPLICATION</w:t>
      </w:r>
      <w:r>
        <w:rPr>
          <w:b/>
          <w:bCs/>
          <w:snapToGrid/>
          <w:kern w:val="0"/>
          <w:szCs w:val="22"/>
        </w:rPr>
        <w:t>S</w:t>
      </w:r>
      <w:r w:rsidRPr="00094BB8">
        <w:rPr>
          <w:b/>
          <w:bCs/>
          <w:snapToGrid/>
          <w:kern w:val="0"/>
          <w:szCs w:val="22"/>
        </w:rPr>
        <w:t xml:space="preserve"> </w:t>
      </w:r>
      <w:r>
        <w:rPr>
          <w:b/>
          <w:bCs/>
          <w:snapToGrid/>
          <w:kern w:val="0"/>
          <w:szCs w:val="22"/>
        </w:rPr>
        <w:t>GRANTED</w:t>
      </w:r>
      <w:r w:rsidRPr="00094BB8">
        <w:rPr>
          <w:b/>
          <w:bCs/>
          <w:snapToGrid/>
          <w:kern w:val="0"/>
          <w:szCs w:val="22"/>
        </w:rPr>
        <w:t xml:space="preserve"> FOR THE </w:t>
      </w:r>
      <w:bookmarkEnd w:id="1"/>
      <w:bookmarkEnd w:id="2"/>
      <w:bookmarkEnd w:id="3"/>
      <w:r w:rsidRPr="00094BB8">
        <w:rPr>
          <w:b/>
          <w:bCs/>
          <w:snapToGrid/>
          <w:kern w:val="0"/>
          <w:szCs w:val="22"/>
        </w:rPr>
        <w:t xml:space="preserve">TRANSFER OF CONTROL OF </w:t>
      </w:r>
    </w:p>
    <w:p w:rsidR="00EF479F" w:rsidP="00EF479F" w14:paraId="74B65B6A" w14:textId="77777777">
      <w:pPr>
        <w:widowControl/>
        <w:jc w:val="center"/>
        <w:rPr>
          <w:b/>
          <w:bCs/>
          <w:snapToGrid/>
          <w:kern w:val="0"/>
          <w:szCs w:val="22"/>
        </w:rPr>
      </w:pPr>
      <w:r>
        <w:rPr>
          <w:b/>
          <w:bCs/>
          <w:snapToGrid/>
          <w:kern w:val="0"/>
          <w:szCs w:val="22"/>
        </w:rPr>
        <w:t xml:space="preserve">CENTURYLINK PUBLIC COMMUNICATIONS, INC. </w:t>
      </w:r>
    </w:p>
    <w:p w:rsidR="00EF479F" w:rsidRPr="00094BB8" w:rsidP="00EF479F" w14:paraId="12DDDE3B" w14:textId="77777777">
      <w:pPr>
        <w:widowControl/>
        <w:jc w:val="center"/>
        <w:rPr>
          <w:rFonts w:eastAsia="Calibri"/>
          <w:b/>
          <w:caps/>
          <w:snapToGrid/>
          <w:kern w:val="0"/>
          <w:szCs w:val="22"/>
        </w:rPr>
      </w:pPr>
      <w:r>
        <w:rPr>
          <w:b/>
          <w:bCs/>
          <w:snapToGrid/>
          <w:kern w:val="0"/>
          <w:szCs w:val="22"/>
        </w:rPr>
        <w:t xml:space="preserve">TO INMATE CALLING SOLUTIONS, LLC D/B/A ICSOLUTIONS </w:t>
      </w:r>
    </w:p>
    <w:p w:rsidR="00EF479F" w:rsidRPr="00094BB8" w:rsidP="00EF479F" w14:paraId="64A3467D" w14:textId="77777777">
      <w:pPr>
        <w:widowControl/>
        <w:autoSpaceDE w:val="0"/>
        <w:autoSpaceDN w:val="0"/>
        <w:adjustRightInd w:val="0"/>
        <w:rPr>
          <w:b/>
          <w:bCs/>
          <w:snapToGrid/>
          <w:kern w:val="0"/>
          <w:szCs w:val="22"/>
        </w:rPr>
      </w:pPr>
    </w:p>
    <w:p w:rsidR="00EF479F" w:rsidRPr="007E7363" w:rsidP="00EF479F" w14:paraId="66D40712" w14:textId="77777777">
      <w:pPr>
        <w:jc w:val="center"/>
        <w:rPr>
          <w:b/>
          <w:szCs w:val="22"/>
        </w:rPr>
      </w:pPr>
      <w:r w:rsidRPr="007E7363">
        <w:rPr>
          <w:b/>
          <w:szCs w:val="22"/>
        </w:rPr>
        <w:t>WC Docket No. 20-150</w:t>
      </w:r>
    </w:p>
    <w:p w:rsidR="005614FA" w:rsidP="00383F27" w14:paraId="6F201953" w14:textId="77777777">
      <w:pPr>
        <w:widowControl/>
        <w:suppressAutoHyphens/>
        <w:jc w:val="center"/>
        <w:rPr>
          <w:b/>
          <w:color w:val="000000"/>
        </w:rPr>
      </w:pPr>
    </w:p>
    <w:p w:rsidR="005614FA" w:rsidP="005614FA" w14:paraId="3D78728C" w14:textId="0AC60C32">
      <w:pPr>
        <w:autoSpaceDE w:val="0"/>
        <w:autoSpaceDN w:val="0"/>
        <w:adjustRightInd w:val="0"/>
        <w:ind w:firstLine="720"/>
        <w:rPr>
          <w:snapToGrid/>
          <w:kern w:val="0"/>
          <w:szCs w:val="22"/>
        </w:rPr>
      </w:pPr>
      <w:r w:rsidRPr="00DF1B24">
        <w:rPr>
          <w:color w:val="000000"/>
        </w:rPr>
        <w:t xml:space="preserve">By this Public Notice, </w:t>
      </w:r>
      <w:r>
        <w:rPr>
          <w:szCs w:val="22"/>
        </w:rPr>
        <w:t>the Wireline Competition Bureau</w:t>
      </w:r>
      <w:r w:rsidR="00383F27">
        <w:rPr>
          <w:szCs w:val="22"/>
        </w:rPr>
        <w:t xml:space="preserve"> and </w:t>
      </w:r>
      <w:r>
        <w:rPr>
          <w:szCs w:val="22"/>
        </w:rPr>
        <w:t>International Bureau</w:t>
      </w:r>
      <w:r w:rsidR="00383F27">
        <w:rPr>
          <w:szCs w:val="22"/>
        </w:rPr>
        <w:t xml:space="preserve"> (Bureaus) </w:t>
      </w:r>
      <w:r>
        <w:rPr>
          <w:color w:val="000000"/>
        </w:rPr>
        <w:t>grant</w:t>
      </w:r>
      <w:r w:rsidR="00383F27">
        <w:rPr>
          <w:color w:val="000000"/>
        </w:rPr>
        <w:t xml:space="preserve"> </w:t>
      </w:r>
      <w:r w:rsidRPr="007E7363" w:rsidR="00383F27">
        <w:rPr>
          <w:szCs w:val="22"/>
        </w:rPr>
        <w:t>applications filed by Embarq Corporation (Embarq) and Inmate Calling Solutions, LLC d/b/a ICSolutions (ICSolutions) (together, Applicants), pursuant to section 214 of the Communications Act of 1934, as amended (Act), and sections 63.03-04, 63.18, and 63.24 of the Commission’s rules,</w:t>
      </w:r>
      <w:r>
        <w:rPr>
          <w:rStyle w:val="FootnoteReference"/>
          <w:szCs w:val="22"/>
        </w:rPr>
        <w:footnoteReference w:id="3"/>
      </w:r>
      <w:r w:rsidRPr="007E7363" w:rsidR="00383F27">
        <w:rPr>
          <w:szCs w:val="22"/>
        </w:rPr>
        <w:t xml:space="preserve"> requesting consent to transfer control of CenturyLink Public Communications, Inc. (</w:t>
      </w:r>
      <w:r w:rsidR="00A960A7">
        <w:rPr>
          <w:szCs w:val="22"/>
        </w:rPr>
        <w:t>CenturyLink Public Communications</w:t>
      </w:r>
      <w:r w:rsidRPr="007E7363" w:rsidR="00383F27">
        <w:rPr>
          <w:szCs w:val="22"/>
        </w:rPr>
        <w:t>) from Embarq to ICSolutions.</w:t>
      </w:r>
      <w:r>
        <w:rPr>
          <w:szCs w:val="22"/>
          <w:vertAlign w:val="superscript"/>
        </w:rPr>
        <w:footnoteReference w:id="4"/>
      </w:r>
      <w:r w:rsidRPr="007E7363" w:rsidR="00383F27">
        <w:rPr>
          <w:szCs w:val="22"/>
        </w:rPr>
        <w:t xml:space="preserve">  </w:t>
      </w:r>
      <w:r w:rsidRPr="00D04868">
        <w:rPr>
          <w:snapToGrid/>
          <w:kern w:val="0"/>
          <w:szCs w:val="22"/>
        </w:rPr>
        <w:t xml:space="preserve"> </w:t>
      </w:r>
      <w:r>
        <w:rPr>
          <w:snapToGrid/>
          <w:kern w:val="0"/>
          <w:szCs w:val="22"/>
        </w:rPr>
        <w:t xml:space="preserve"> </w:t>
      </w:r>
    </w:p>
    <w:p w:rsidR="005614FA" w:rsidP="005614FA" w14:paraId="50CF4631" w14:textId="77777777">
      <w:pPr>
        <w:autoSpaceDE w:val="0"/>
        <w:autoSpaceDN w:val="0"/>
        <w:adjustRightInd w:val="0"/>
        <w:ind w:firstLine="720"/>
        <w:rPr>
          <w:snapToGrid/>
          <w:kern w:val="0"/>
          <w:szCs w:val="22"/>
        </w:rPr>
      </w:pPr>
    </w:p>
    <w:p w:rsidR="005614FA" w:rsidP="005614FA" w14:paraId="3AC49DC4" w14:textId="77777777">
      <w:pPr>
        <w:autoSpaceDE w:val="0"/>
        <w:autoSpaceDN w:val="0"/>
        <w:adjustRightInd w:val="0"/>
        <w:ind w:firstLine="720"/>
        <w:rPr>
          <w:szCs w:val="22"/>
        </w:rPr>
      </w:pPr>
      <w:r>
        <w:rPr>
          <w:color w:val="000000"/>
          <w:szCs w:val="24"/>
        </w:rPr>
        <w:t>On Ju</w:t>
      </w:r>
      <w:r w:rsidR="00383F27">
        <w:rPr>
          <w:color w:val="000000"/>
          <w:szCs w:val="24"/>
        </w:rPr>
        <w:t>ne 25</w:t>
      </w:r>
      <w:r>
        <w:rPr>
          <w:color w:val="000000"/>
          <w:szCs w:val="24"/>
        </w:rPr>
        <w:t>, 20</w:t>
      </w:r>
      <w:r w:rsidR="00383F27">
        <w:rPr>
          <w:color w:val="000000"/>
          <w:szCs w:val="24"/>
        </w:rPr>
        <w:t>20</w:t>
      </w:r>
      <w:r>
        <w:rPr>
          <w:color w:val="000000"/>
          <w:szCs w:val="24"/>
        </w:rPr>
        <w:t xml:space="preserve">, </w:t>
      </w:r>
      <w:r>
        <w:rPr>
          <w:color w:val="000000"/>
        </w:rPr>
        <w:t>the Bureaus released a public notice seeking comment on the Applications</w:t>
      </w:r>
      <w:r>
        <w:rPr>
          <w:color w:val="000000"/>
          <w:szCs w:val="22"/>
        </w:rPr>
        <w:t>.</w:t>
      </w:r>
      <w:r>
        <w:rPr>
          <w:rStyle w:val="FootnoteReference"/>
          <w:szCs w:val="22"/>
        </w:rPr>
        <w:footnoteReference w:id="5"/>
      </w:r>
      <w:r>
        <w:rPr>
          <w:color w:val="000000"/>
          <w:szCs w:val="22"/>
        </w:rPr>
        <w:t xml:space="preserve">  </w:t>
      </w:r>
      <w:r>
        <w:rPr>
          <w:szCs w:val="22"/>
        </w:rPr>
        <w:t>The Bureaus did not receive comments or petitions in opposition to these Applications.</w:t>
      </w:r>
    </w:p>
    <w:p w:rsidR="00383F27" w:rsidP="00383F27" w14:paraId="23E54B7C" w14:textId="77777777">
      <w:pPr>
        <w:autoSpaceDE w:val="0"/>
        <w:autoSpaceDN w:val="0"/>
        <w:adjustRightInd w:val="0"/>
        <w:rPr>
          <w:szCs w:val="22"/>
        </w:rPr>
      </w:pPr>
    </w:p>
    <w:p w:rsidR="00383F27" w:rsidRPr="004F4239" w:rsidP="00383F27" w14:paraId="2E8DA160" w14:textId="77777777">
      <w:pPr>
        <w:autoSpaceDE w:val="0"/>
        <w:autoSpaceDN w:val="0"/>
        <w:adjustRightInd w:val="0"/>
        <w:rPr>
          <w:b/>
          <w:szCs w:val="22"/>
          <w:u w:val="single"/>
        </w:rPr>
      </w:pPr>
      <w:r w:rsidRPr="004F4239">
        <w:rPr>
          <w:b/>
          <w:szCs w:val="22"/>
          <w:u w:val="single"/>
        </w:rPr>
        <w:t xml:space="preserve">Applicants and </w:t>
      </w:r>
      <w:r w:rsidR="00EF479F">
        <w:rPr>
          <w:b/>
          <w:szCs w:val="22"/>
          <w:u w:val="single"/>
        </w:rPr>
        <w:t>Description of Transaction</w:t>
      </w:r>
    </w:p>
    <w:p w:rsidR="00383F27" w:rsidP="00383F27" w14:paraId="0A74A4BD" w14:textId="77777777">
      <w:pPr>
        <w:autoSpaceDE w:val="0"/>
        <w:autoSpaceDN w:val="0"/>
        <w:adjustRightInd w:val="0"/>
        <w:rPr>
          <w:szCs w:val="22"/>
        </w:rPr>
      </w:pPr>
    </w:p>
    <w:p w:rsidR="00383F27" w:rsidRPr="00383F27" w:rsidP="00383F27" w14:paraId="37E0975D" w14:textId="20D35E99">
      <w:pPr>
        <w:widowControl/>
        <w:autoSpaceDE w:val="0"/>
        <w:autoSpaceDN w:val="0"/>
        <w:adjustRightInd w:val="0"/>
        <w:ind w:firstLine="720"/>
        <w:rPr>
          <w:snapToGrid/>
          <w:kern w:val="0"/>
          <w:szCs w:val="22"/>
        </w:rPr>
      </w:pPr>
      <w:r w:rsidRPr="00383F27">
        <w:rPr>
          <w:szCs w:val="22"/>
        </w:rPr>
        <w:t>C</w:t>
      </w:r>
      <w:r w:rsidR="00A960A7">
        <w:rPr>
          <w:szCs w:val="22"/>
        </w:rPr>
        <w:t xml:space="preserve">enturyLink Public Communications </w:t>
      </w:r>
      <w:r w:rsidRPr="00383F27">
        <w:rPr>
          <w:snapToGrid/>
          <w:kern w:val="0"/>
          <w:szCs w:val="22"/>
        </w:rPr>
        <w:t>provides inmate calling services</w:t>
      </w:r>
      <w:r w:rsidR="006B066A">
        <w:rPr>
          <w:snapToGrid/>
          <w:kern w:val="0"/>
          <w:szCs w:val="22"/>
        </w:rPr>
        <w:t xml:space="preserve"> </w:t>
      </w:r>
      <w:r w:rsidRPr="00383F27">
        <w:rPr>
          <w:snapToGrid/>
          <w:kern w:val="0"/>
          <w:szCs w:val="22"/>
        </w:rPr>
        <w:t xml:space="preserve">to state, county, and municipal correctional institutions through wholesale capacity provided by </w:t>
      </w:r>
      <w:r w:rsidR="006B066A">
        <w:rPr>
          <w:snapToGrid/>
          <w:kern w:val="0"/>
          <w:szCs w:val="22"/>
        </w:rPr>
        <w:t xml:space="preserve">its affiliate, </w:t>
      </w:r>
      <w:r w:rsidRPr="00383F27">
        <w:rPr>
          <w:snapToGrid/>
          <w:kern w:val="0"/>
          <w:szCs w:val="22"/>
        </w:rPr>
        <w:t>CenturyLink</w:t>
      </w:r>
      <w:r w:rsidR="00B72A04">
        <w:rPr>
          <w:snapToGrid/>
          <w:kern w:val="0"/>
          <w:szCs w:val="22"/>
        </w:rPr>
        <w:t>, Inc. (CenturyLink)</w:t>
      </w:r>
      <w:r w:rsidRPr="00383F27">
        <w:rPr>
          <w:snapToGrid/>
          <w:kern w:val="0"/>
          <w:szCs w:val="22"/>
        </w:rPr>
        <w:t>.</w:t>
      </w:r>
      <w:r>
        <w:rPr>
          <w:snapToGrid/>
          <w:kern w:val="0"/>
          <w:szCs w:val="22"/>
          <w:vertAlign w:val="superscript"/>
        </w:rPr>
        <w:footnoteReference w:id="6"/>
      </w:r>
      <w:r w:rsidRPr="00383F27">
        <w:rPr>
          <w:snapToGrid/>
          <w:kern w:val="0"/>
          <w:szCs w:val="22"/>
        </w:rPr>
        <w:t xml:space="preserve">  Applicants state that </w:t>
      </w:r>
      <w:r w:rsidRPr="00383F27" w:rsidR="00A960A7">
        <w:rPr>
          <w:szCs w:val="22"/>
        </w:rPr>
        <w:t>C</w:t>
      </w:r>
      <w:r w:rsidR="00A960A7">
        <w:rPr>
          <w:szCs w:val="22"/>
        </w:rPr>
        <w:t>enturyLink Public Communications</w:t>
      </w:r>
      <w:r w:rsidRPr="00383F27" w:rsidR="00A960A7">
        <w:rPr>
          <w:snapToGrid/>
          <w:kern w:val="0"/>
          <w:szCs w:val="22"/>
        </w:rPr>
        <w:t xml:space="preserve"> </w:t>
      </w:r>
      <w:r w:rsidRPr="00383F27">
        <w:rPr>
          <w:snapToGrid/>
          <w:kern w:val="0"/>
          <w:szCs w:val="22"/>
        </w:rPr>
        <w:t>currently has contracts to provide telecommunications services to certain correctional facilities in Arizona, Florida, Idaho, Kansas, Louisiana, Missouri, Montana, North Carolina, Nevada, Oregon, Utah, West Virginia, and Wisconsin.</w:t>
      </w:r>
      <w:r>
        <w:rPr>
          <w:snapToGrid/>
          <w:kern w:val="0"/>
          <w:szCs w:val="22"/>
          <w:vertAlign w:val="superscript"/>
        </w:rPr>
        <w:footnoteReference w:id="7"/>
      </w:r>
      <w:r w:rsidRPr="00383F27">
        <w:rPr>
          <w:snapToGrid/>
          <w:kern w:val="0"/>
          <w:szCs w:val="22"/>
        </w:rPr>
        <w:t xml:space="preserve">  </w:t>
      </w:r>
      <w:r w:rsidRPr="00383F27" w:rsidR="00A960A7">
        <w:rPr>
          <w:szCs w:val="22"/>
        </w:rPr>
        <w:t>C</w:t>
      </w:r>
      <w:r w:rsidR="00A960A7">
        <w:rPr>
          <w:szCs w:val="22"/>
        </w:rPr>
        <w:t>enturyLink Public Communications</w:t>
      </w:r>
      <w:r w:rsidRPr="00383F27" w:rsidR="00A960A7">
        <w:rPr>
          <w:szCs w:val="22"/>
        </w:rPr>
        <w:t xml:space="preserve"> </w:t>
      </w:r>
      <w:r w:rsidRPr="00383F27">
        <w:rPr>
          <w:szCs w:val="22"/>
        </w:rPr>
        <w:t xml:space="preserve">is a wholly owned direct subsidiary of Embarq, </w:t>
      </w:r>
      <w:r>
        <w:rPr>
          <w:szCs w:val="22"/>
        </w:rPr>
        <w:t xml:space="preserve">which </w:t>
      </w:r>
      <w:r w:rsidRPr="00383F27">
        <w:rPr>
          <w:szCs w:val="22"/>
        </w:rPr>
        <w:t>is a wholly owned, direct subsidiary of CenturyLink.</w:t>
      </w:r>
      <w:r>
        <w:rPr>
          <w:szCs w:val="22"/>
          <w:vertAlign w:val="superscript"/>
        </w:rPr>
        <w:footnoteReference w:id="8"/>
      </w:r>
      <w:r w:rsidRPr="00383F27">
        <w:rPr>
          <w:szCs w:val="22"/>
        </w:rPr>
        <w:t xml:space="preserve">  </w:t>
      </w:r>
    </w:p>
    <w:p w:rsidR="00383F27" w:rsidRPr="00383F27" w:rsidP="00383F27" w14:paraId="3E1BA72C" w14:textId="77777777">
      <w:pPr>
        <w:autoSpaceDE w:val="0"/>
        <w:autoSpaceDN w:val="0"/>
        <w:adjustRightInd w:val="0"/>
        <w:ind w:firstLine="720"/>
        <w:rPr>
          <w:szCs w:val="22"/>
        </w:rPr>
      </w:pPr>
    </w:p>
    <w:p w:rsidR="00383F27" w:rsidP="00383F27" w14:paraId="45E91B66" w14:textId="5AD4DD6F">
      <w:pPr>
        <w:autoSpaceDE w:val="0"/>
        <w:autoSpaceDN w:val="0"/>
        <w:adjustRightInd w:val="0"/>
        <w:ind w:firstLine="720"/>
        <w:rPr>
          <w:szCs w:val="22"/>
        </w:rPr>
      </w:pPr>
      <w:r w:rsidRPr="00383F27">
        <w:rPr>
          <w:szCs w:val="22"/>
        </w:rPr>
        <w:t>ICSolutions</w:t>
      </w:r>
      <w:r>
        <w:rPr>
          <w:szCs w:val="22"/>
        </w:rPr>
        <w:t xml:space="preserve"> </w:t>
      </w:r>
      <w:r w:rsidRPr="00383F27">
        <w:rPr>
          <w:color w:val="231F20"/>
          <w:szCs w:val="22"/>
        </w:rPr>
        <w:t>provides telecommunications services to confinement and correctional facilities in 39 states,</w:t>
      </w:r>
      <w:r w:rsidRPr="00383F27">
        <w:rPr>
          <w:snapToGrid/>
          <w:kern w:val="0"/>
          <w:szCs w:val="22"/>
        </w:rPr>
        <w:t xml:space="preserve"> including inmate calling and video visitation services.</w:t>
      </w:r>
      <w:r>
        <w:rPr>
          <w:snapToGrid/>
          <w:kern w:val="0"/>
          <w:szCs w:val="22"/>
          <w:vertAlign w:val="superscript"/>
        </w:rPr>
        <w:footnoteReference w:id="9"/>
      </w:r>
      <w:r w:rsidRPr="00383F27">
        <w:rPr>
          <w:snapToGrid/>
          <w:kern w:val="0"/>
          <w:szCs w:val="22"/>
        </w:rPr>
        <w:t xml:space="preserve">  ICSolutions is a wholly-owned direct subsidiary of Keefe Group, LLC (Keefe), </w:t>
      </w:r>
      <w:r>
        <w:rPr>
          <w:snapToGrid/>
          <w:kern w:val="0"/>
          <w:szCs w:val="22"/>
        </w:rPr>
        <w:t xml:space="preserve">which is </w:t>
      </w:r>
      <w:r w:rsidRPr="00383F27">
        <w:rPr>
          <w:szCs w:val="22"/>
        </w:rPr>
        <w:t>in turn, is a wholly-owned direct subsidiary of TKC Holdings, Inc. (TKC Holdings), a holding company that provides products and services to correctional and lodging markets.</w:t>
      </w:r>
      <w:r>
        <w:rPr>
          <w:szCs w:val="22"/>
          <w:vertAlign w:val="superscript"/>
        </w:rPr>
        <w:footnoteReference w:id="10"/>
      </w:r>
      <w:r w:rsidRPr="00383F27">
        <w:rPr>
          <w:szCs w:val="22"/>
        </w:rPr>
        <w:t xml:space="preserve">  TKC Holdings is indirectly controlled by H.I.G. Capital, L.L.C. (H.I.G. Capital), a U.S-based private equity investment entity that is ultimately controlled by Sami Mnaymneh and Anthony Tamer, both U.S. citizens.</w:t>
      </w:r>
      <w:r>
        <w:rPr>
          <w:szCs w:val="22"/>
          <w:vertAlign w:val="superscript"/>
        </w:rPr>
        <w:footnoteReference w:id="11"/>
      </w:r>
      <w:r w:rsidRPr="00383F27">
        <w:rPr>
          <w:szCs w:val="22"/>
        </w:rPr>
        <w:t xml:space="preserve">  </w:t>
      </w:r>
    </w:p>
    <w:p w:rsidR="00EF479F" w:rsidP="00383F27" w14:paraId="1ACCFEC9" w14:textId="77777777">
      <w:pPr>
        <w:autoSpaceDE w:val="0"/>
        <w:autoSpaceDN w:val="0"/>
        <w:adjustRightInd w:val="0"/>
        <w:ind w:firstLine="720"/>
        <w:rPr>
          <w:szCs w:val="22"/>
        </w:rPr>
      </w:pPr>
    </w:p>
    <w:p w:rsidR="00EF479F" w:rsidRPr="00EF479F" w:rsidP="00EF479F" w14:paraId="4557199F" w14:textId="5190A2B2">
      <w:pPr>
        <w:widowControl/>
        <w:autoSpaceDE w:val="0"/>
        <w:autoSpaceDN w:val="0"/>
        <w:adjustRightInd w:val="0"/>
        <w:ind w:firstLine="720"/>
        <w:rPr>
          <w:snapToGrid/>
          <w:kern w:val="0"/>
          <w:szCs w:val="22"/>
        </w:rPr>
      </w:pPr>
      <w:r w:rsidRPr="00EF479F">
        <w:rPr>
          <w:snapToGrid/>
          <w:kern w:val="0"/>
          <w:szCs w:val="22"/>
        </w:rPr>
        <w:t xml:space="preserve">Pursuant to the terms of the proposed transaction, ICSolutions will acquire 100% of the stock of </w:t>
      </w:r>
      <w:r w:rsidRPr="00383F27" w:rsidR="00A960A7">
        <w:rPr>
          <w:szCs w:val="22"/>
        </w:rPr>
        <w:t>C</w:t>
      </w:r>
      <w:r w:rsidR="00A960A7">
        <w:rPr>
          <w:szCs w:val="22"/>
        </w:rPr>
        <w:t>enturyLink Public Communications</w:t>
      </w:r>
      <w:r w:rsidRPr="00EF479F" w:rsidR="00A960A7">
        <w:rPr>
          <w:snapToGrid/>
          <w:kern w:val="0"/>
          <w:szCs w:val="22"/>
        </w:rPr>
        <w:t xml:space="preserve"> </w:t>
      </w:r>
      <w:r w:rsidRPr="00EF479F">
        <w:rPr>
          <w:snapToGrid/>
          <w:kern w:val="0"/>
          <w:szCs w:val="22"/>
        </w:rPr>
        <w:t>from Embarq.</w:t>
      </w:r>
      <w:r>
        <w:rPr>
          <w:snapToGrid/>
          <w:kern w:val="0"/>
          <w:szCs w:val="22"/>
          <w:vertAlign w:val="superscript"/>
        </w:rPr>
        <w:footnoteReference w:id="12"/>
      </w:r>
      <w:r w:rsidRPr="00EF479F">
        <w:rPr>
          <w:snapToGrid/>
          <w:kern w:val="0"/>
          <w:szCs w:val="22"/>
        </w:rPr>
        <w:t xml:space="preserve">  As a result, </w:t>
      </w:r>
      <w:r w:rsidRPr="00383F27" w:rsidR="00A960A7">
        <w:rPr>
          <w:szCs w:val="22"/>
        </w:rPr>
        <w:t>C</w:t>
      </w:r>
      <w:r w:rsidR="00A960A7">
        <w:rPr>
          <w:szCs w:val="22"/>
        </w:rPr>
        <w:t>enturyLink Public Communications</w:t>
      </w:r>
      <w:r w:rsidRPr="00EF479F" w:rsidR="00A960A7">
        <w:rPr>
          <w:snapToGrid/>
          <w:kern w:val="0"/>
          <w:szCs w:val="22"/>
        </w:rPr>
        <w:t xml:space="preserve"> </w:t>
      </w:r>
      <w:r w:rsidRPr="00EF479F">
        <w:rPr>
          <w:snapToGrid/>
          <w:kern w:val="0"/>
          <w:szCs w:val="22"/>
        </w:rPr>
        <w:t>will become a wholly-owned, direct subsidiary of ICSolutions and be ultimately controlled by H.I.G. Capital.</w:t>
      </w:r>
      <w:r>
        <w:rPr>
          <w:snapToGrid/>
          <w:kern w:val="0"/>
          <w:szCs w:val="22"/>
          <w:vertAlign w:val="superscript"/>
        </w:rPr>
        <w:footnoteReference w:id="13"/>
      </w:r>
      <w:r w:rsidRPr="00EF479F">
        <w:rPr>
          <w:snapToGrid/>
          <w:kern w:val="0"/>
          <w:szCs w:val="22"/>
        </w:rPr>
        <w:t xml:space="preserve">  Embarq and </w:t>
      </w:r>
      <w:r w:rsidRPr="00383F27" w:rsidR="00A960A7">
        <w:rPr>
          <w:szCs w:val="22"/>
        </w:rPr>
        <w:t>C</w:t>
      </w:r>
      <w:r w:rsidR="00A960A7">
        <w:rPr>
          <w:szCs w:val="22"/>
        </w:rPr>
        <w:t>enturyLink Public Communications</w:t>
      </w:r>
      <w:r w:rsidRPr="00EF479F" w:rsidR="00A960A7">
        <w:rPr>
          <w:snapToGrid/>
          <w:kern w:val="0"/>
          <w:szCs w:val="22"/>
        </w:rPr>
        <w:t xml:space="preserve"> </w:t>
      </w:r>
      <w:r w:rsidRPr="00EF479F">
        <w:rPr>
          <w:snapToGrid/>
          <w:kern w:val="0"/>
          <w:szCs w:val="22"/>
        </w:rPr>
        <w:t xml:space="preserve">will undertake certain internal pre-closing transactions to facilitate the transfer of </w:t>
      </w:r>
      <w:r w:rsidR="00D37062">
        <w:rPr>
          <w:snapToGrid/>
          <w:kern w:val="0"/>
          <w:szCs w:val="22"/>
        </w:rPr>
        <w:t xml:space="preserve">CenturyLink Public Communications </w:t>
      </w:r>
      <w:r w:rsidRPr="00EF479F">
        <w:rPr>
          <w:snapToGrid/>
          <w:kern w:val="0"/>
          <w:szCs w:val="22"/>
        </w:rPr>
        <w:t xml:space="preserve">to ICSolutions.  Specifically, to the extent </w:t>
      </w:r>
      <w:r w:rsidRPr="00383F27" w:rsidR="00A960A7">
        <w:rPr>
          <w:szCs w:val="22"/>
        </w:rPr>
        <w:t>C</w:t>
      </w:r>
      <w:r w:rsidR="00A960A7">
        <w:rPr>
          <w:szCs w:val="22"/>
        </w:rPr>
        <w:t>enturyLink Public Communications</w:t>
      </w:r>
      <w:r w:rsidRPr="00EF479F" w:rsidR="00A960A7">
        <w:rPr>
          <w:snapToGrid/>
          <w:kern w:val="0"/>
          <w:szCs w:val="22"/>
        </w:rPr>
        <w:t xml:space="preserve"> </w:t>
      </w:r>
      <w:r w:rsidRPr="00EF479F">
        <w:rPr>
          <w:snapToGrid/>
          <w:kern w:val="0"/>
          <w:szCs w:val="22"/>
        </w:rPr>
        <w:t>owns any remaining payphones or provides payphone service outside correctional facilities, such business will cease or be transferred to another affiliate of Embarq prior to closing.</w:t>
      </w:r>
      <w:r>
        <w:rPr>
          <w:snapToGrid/>
          <w:kern w:val="0"/>
          <w:szCs w:val="22"/>
          <w:vertAlign w:val="superscript"/>
        </w:rPr>
        <w:footnoteReference w:id="14"/>
      </w:r>
      <w:r w:rsidRPr="00EF479F">
        <w:rPr>
          <w:snapToGrid/>
          <w:kern w:val="0"/>
          <w:szCs w:val="22"/>
        </w:rPr>
        <w:t xml:space="preserve">  In addition, prior to closing, </w:t>
      </w:r>
      <w:r w:rsidRPr="00383F27" w:rsidR="00A960A7">
        <w:rPr>
          <w:szCs w:val="22"/>
        </w:rPr>
        <w:t>C</w:t>
      </w:r>
      <w:r w:rsidR="00A960A7">
        <w:rPr>
          <w:szCs w:val="22"/>
        </w:rPr>
        <w:t>enturyLink Public Communications</w:t>
      </w:r>
      <w:r w:rsidRPr="00EF479F" w:rsidR="00A960A7">
        <w:rPr>
          <w:snapToGrid/>
          <w:kern w:val="0"/>
          <w:szCs w:val="22"/>
        </w:rPr>
        <w:t xml:space="preserve"> </w:t>
      </w:r>
      <w:r w:rsidRPr="00EF479F">
        <w:rPr>
          <w:snapToGrid/>
          <w:kern w:val="0"/>
          <w:szCs w:val="22"/>
        </w:rPr>
        <w:t xml:space="preserve">will transfer to another Embarq affiliate </w:t>
      </w:r>
      <w:r w:rsidRPr="00383F27" w:rsidR="00A960A7">
        <w:rPr>
          <w:szCs w:val="22"/>
        </w:rPr>
        <w:t>C</w:t>
      </w:r>
      <w:r w:rsidR="00A960A7">
        <w:rPr>
          <w:szCs w:val="22"/>
        </w:rPr>
        <w:t>enturyLink Public Communications’</w:t>
      </w:r>
      <w:r w:rsidRPr="00EF479F" w:rsidR="00A960A7">
        <w:rPr>
          <w:snapToGrid/>
          <w:kern w:val="0"/>
          <w:szCs w:val="22"/>
        </w:rPr>
        <w:t xml:space="preserve"> </w:t>
      </w:r>
      <w:r w:rsidRPr="00EF479F">
        <w:rPr>
          <w:snapToGrid/>
          <w:kern w:val="0"/>
          <w:szCs w:val="22"/>
        </w:rPr>
        <w:t xml:space="preserve">contract with the Texas Department of Criminal Justice to provide communications services to certain correctional institutions in Texas.  Neither </w:t>
      </w:r>
      <w:r w:rsidRPr="00383F27" w:rsidR="00A960A7">
        <w:rPr>
          <w:szCs w:val="22"/>
        </w:rPr>
        <w:t>C</w:t>
      </w:r>
      <w:r w:rsidR="00A960A7">
        <w:rPr>
          <w:szCs w:val="22"/>
        </w:rPr>
        <w:t>enturyLink Public Communications</w:t>
      </w:r>
      <w:r w:rsidR="00A960A7">
        <w:rPr>
          <w:snapToGrid/>
          <w:kern w:val="0"/>
          <w:szCs w:val="22"/>
        </w:rPr>
        <w:t xml:space="preserve">’ </w:t>
      </w:r>
      <w:r w:rsidRPr="00EF479F">
        <w:rPr>
          <w:snapToGrid/>
          <w:kern w:val="0"/>
          <w:szCs w:val="22"/>
        </w:rPr>
        <w:t>non-correctional payphone business nor the Texas D</w:t>
      </w:r>
      <w:r w:rsidR="00A960A7">
        <w:rPr>
          <w:snapToGrid/>
          <w:kern w:val="0"/>
          <w:szCs w:val="22"/>
        </w:rPr>
        <w:t xml:space="preserve">epartment of Criminal Justice </w:t>
      </w:r>
      <w:r w:rsidRPr="00EF479F">
        <w:rPr>
          <w:snapToGrid/>
          <w:kern w:val="0"/>
          <w:szCs w:val="22"/>
        </w:rPr>
        <w:t>contract will be transferred to ICSolutions.</w:t>
      </w:r>
      <w:r>
        <w:rPr>
          <w:snapToGrid/>
          <w:kern w:val="0"/>
          <w:szCs w:val="22"/>
          <w:vertAlign w:val="superscript"/>
        </w:rPr>
        <w:footnoteReference w:id="15"/>
      </w:r>
    </w:p>
    <w:p w:rsidR="00EF479F" w:rsidP="00383F27" w14:paraId="397EAFDF" w14:textId="77777777">
      <w:pPr>
        <w:autoSpaceDE w:val="0"/>
        <w:autoSpaceDN w:val="0"/>
        <w:adjustRightInd w:val="0"/>
        <w:ind w:firstLine="720"/>
        <w:rPr>
          <w:szCs w:val="22"/>
        </w:rPr>
      </w:pPr>
    </w:p>
    <w:p w:rsidR="005614FA" w:rsidP="005614FA" w14:paraId="284AD22D" w14:textId="1E949F91">
      <w:pPr>
        <w:widowControl/>
        <w:autoSpaceDE w:val="0"/>
        <w:autoSpaceDN w:val="0"/>
        <w:adjustRightInd w:val="0"/>
        <w:rPr>
          <w:b/>
          <w:color w:val="212121"/>
          <w:szCs w:val="22"/>
          <w:u w:val="single"/>
        </w:rPr>
      </w:pPr>
      <w:r w:rsidRPr="001330FF">
        <w:rPr>
          <w:b/>
          <w:color w:val="212121"/>
          <w:szCs w:val="22"/>
          <w:u w:val="single"/>
        </w:rPr>
        <w:t xml:space="preserve">Grant of </w:t>
      </w:r>
      <w:r>
        <w:rPr>
          <w:b/>
          <w:color w:val="212121"/>
          <w:szCs w:val="22"/>
          <w:u w:val="single"/>
        </w:rPr>
        <w:t>Applications</w:t>
      </w:r>
    </w:p>
    <w:p w:rsidR="005614FA" w:rsidP="005614FA" w14:paraId="596DDEF7" w14:textId="77777777">
      <w:pPr>
        <w:widowControl/>
        <w:autoSpaceDE w:val="0"/>
        <w:autoSpaceDN w:val="0"/>
        <w:adjustRightInd w:val="0"/>
        <w:rPr>
          <w:b/>
          <w:color w:val="212121"/>
          <w:szCs w:val="22"/>
          <w:u w:val="single"/>
        </w:rPr>
      </w:pPr>
    </w:p>
    <w:p w:rsidR="001A6DBC" w:rsidP="005614FA" w14:paraId="310D804C" w14:textId="77777777">
      <w:pPr>
        <w:widowControl/>
        <w:autoSpaceDE w:val="0"/>
        <w:autoSpaceDN w:val="0"/>
        <w:adjustRightInd w:val="0"/>
        <w:ind w:firstLine="720"/>
      </w:pPr>
      <w:r w:rsidRPr="00DB54CA">
        <w:rPr>
          <w:color w:val="000000"/>
        </w:rPr>
        <w:t>We find, upon consideration of the record, that the proposed transfer will serve the public interest, convenience, and necessity</w:t>
      </w:r>
      <w:r w:rsidRPr="00F66D37">
        <w:t xml:space="preserve">.  </w:t>
      </w:r>
      <w:r w:rsidR="00EC2B71">
        <w:t xml:space="preserve">While the Commission has found that the potential for public interest harm </w:t>
      </w:r>
      <w:r w:rsidR="00194549">
        <w:t xml:space="preserve">is unlikely </w:t>
      </w:r>
      <w:r w:rsidR="00EC2B71">
        <w:t>in transaction</w:t>
      </w:r>
      <w:r w:rsidR="00B7663F">
        <w:t>s</w:t>
      </w:r>
      <w:r w:rsidR="00EC2B71">
        <w:t xml:space="preserve"> involving non-domina</w:t>
      </w:r>
      <w:r w:rsidR="00194549">
        <w:t>n</w:t>
      </w:r>
      <w:r w:rsidR="00EC2B71">
        <w:t>t carr</w:t>
      </w:r>
      <w:r w:rsidR="00194549">
        <w:t xml:space="preserve">iers providing </w:t>
      </w:r>
      <w:r w:rsidR="00B7663F">
        <w:t xml:space="preserve">resold or facilities-based </w:t>
      </w:r>
      <w:bookmarkStart w:id="4" w:name="_Hlk47700201"/>
      <w:r w:rsidR="00194549">
        <w:t>interstate, interexchange services</w:t>
      </w:r>
      <w:bookmarkEnd w:id="4"/>
      <w:r w:rsidR="00273B5F">
        <w:t>,</w:t>
      </w:r>
      <w:r w:rsidR="00D304D1">
        <w:t xml:space="preserve"> </w:t>
      </w:r>
      <w:r w:rsidR="00194549">
        <w:t xml:space="preserve">similar to </w:t>
      </w:r>
      <w:r w:rsidR="00EC2B71">
        <w:t>Applicants</w:t>
      </w:r>
      <w:r w:rsidR="00194549">
        <w:t>,</w:t>
      </w:r>
      <w:r>
        <w:rPr>
          <w:rStyle w:val="FootnoteReference"/>
        </w:rPr>
        <w:footnoteReference w:id="16"/>
      </w:r>
      <w:r w:rsidR="00194549">
        <w:t xml:space="preserve"> </w:t>
      </w:r>
      <w:r w:rsidR="00D304D1">
        <w:t>the</w:t>
      </w:r>
      <w:r w:rsidR="004E153A">
        <w:t>se</w:t>
      </w:r>
      <w:r w:rsidR="00D304D1">
        <w:t xml:space="preserve"> carriers </w:t>
      </w:r>
      <w:r w:rsidR="004E153A">
        <w:t xml:space="preserve">in this transaction </w:t>
      </w:r>
      <w:r w:rsidR="00D304D1">
        <w:t xml:space="preserve">provide their interstate, </w:t>
      </w:r>
      <w:r w:rsidR="00D304D1">
        <w:t xml:space="preserve">interexchange services in the inmate calling services marketplace.  The Commission </w:t>
      </w:r>
      <w:r w:rsidR="00194549">
        <w:t>has historically recognized that the inmate calling services market is different from other telecommunications markets.</w:t>
      </w:r>
      <w:r>
        <w:rPr>
          <w:rStyle w:val="FootnoteReference"/>
        </w:rPr>
        <w:footnoteReference w:id="17"/>
      </w:r>
      <w:r w:rsidR="00194549">
        <w:t xml:space="preserve">  In light of this difference, we have considered whether the combination of </w:t>
      </w:r>
      <w:r w:rsidRPr="00383F27" w:rsidR="00A960A7">
        <w:rPr>
          <w:szCs w:val="22"/>
        </w:rPr>
        <w:t>C</w:t>
      </w:r>
      <w:r w:rsidR="00A960A7">
        <w:rPr>
          <w:szCs w:val="22"/>
        </w:rPr>
        <w:t>enturyLink Public Communications</w:t>
      </w:r>
      <w:r w:rsidR="00A960A7">
        <w:t xml:space="preserve"> </w:t>
      </w:r>
      <w:r w:rsidR="00194549">
        <w:t>and ICSolutions w</w:t>
      </w:r>
      <w:r w:rsidR="00A14064">
        <w:t>ould</w:t>
      </w:r>
      <w:r w:rsidR="00194549">
        <w:t xml:space="preserve"> result in anti-competitive harm</w:t>
      </w:r>
      <w:r w:rsidR="006B066A">
        <w:t xml:space="preserve"> in the inmate calling services market</w:t>
      </w:r>
      <w:r w:rsidR="00194549">
        <w:t xml:space="preserve">.  In this case, because </w:t>
      </w:r>
      <w:r w:rsidRPr="00383F27" w:rsidR="00A960A7">
        <w:rPr>
          <w:szCs w:val="22"/>
        </w:rPr>
        <w:t>C</w:t>
      </w:r>
      <w:r w:rsidR="00A960A7">
        <w:rPr>
          <w:szCs w:val="22"/>
        </w:rPr>
        <w:t>enturyLink Public Communications</w:t>
      </w:r>
      <w:r w:rsidR="00A960A7">
        <w:t xml:space="preserve"> </w:t>
      </w:r>
      <w:r w:rsidR="006B066A">
        <w:t xml:space="preserve">relies on </w:t>
      </w:r>
      <w:r w:rsidR="00194549">
        <w:t xml:space="preserve">ICSolutions </w:t>
      </w:r>
      <w:r w:rsidR="006B066A">
        <w:t>a</w:t>
      </w:r>
      <w:r w:rsidR="00B7663F">
        <w:t>s</w:t>
      </w:r>
      <w:r w:rsidR="00194549">
        <w:t xml:space="preserve"> </w:t>
      </w:r>
      <w:r w:rsidR="006B066A">
        <w:t>its</w:t>
      </w:r>
      <w:r w:rsidR="00831CCD">
        <w:t xml:space="preserve"> </w:t>
      </w:r>
      <w:r w:rsidR="00194549">
        <w:t xml:space="preserve">subcontractor for the </w:t>
      </w:r>
      <w:r w:rsidR="006B066A">
        <w:t xml:space="preserve">correctional facility </w:t>
      </w:r>
      <w:r w:rsidR="00194549">
        <w:t xml:space="preserve">contracts in which </w:t>
      </w:r>
      <w:r w:rsidRPr="00383F27" w:rsidR="00A960A7">
        <w:rPr>
          <w:szCs w:val="22"/>
        </w:rPr>
        <w:t>C</w:t>
      </w:r>
      <w:r w:rsidR="00A960A7">
        <w:rPr>
          <w:szCs w:val="22"/>
        </w:rPr>
        <w:t>enturyLink Public Communications</w:t>
      </w:r>
      <w:r w:rsidR="00A960A7">
        <w:t xml:space="preserve"> </w:t>
      </w:r>
      <w:r w:rsidR="00194549">
        <w:t>is the primary contractor</w:t>
      </w:r>
      <w:r w:rsidR="00DA4E72">
        <w:t xml:space="preserve"> and which will be transferred to ICSolutions</w:t>
      </w:r>
      <w:r w:rsidR="00E00B40">
        <w:t xml:space="preserve"> pursuant to</w:t>
      </w:r>
      <w:r w:rsidR="00D304D1">
        <w:t xml:space="preserve"> this transaction</w:t>
      </w:r>
      <w:r w:rsidR="00194549">
        <w:t xml:space="preserve">, we are persuaded </w:t>
      </w:r>
      <w:r w:rsidR="00625D42">
        <w:t xml:space="preserve">by Applicants’ assertion that </w:t>
      </w:r>
      <w:r w:rsidR="00194549">
        <w:t>in</w:t>
      </w:r>
      <w:r w:rsidR="00D304D1">
        <w:t xml:space="preserve">carcerated individuals </w:t>
      </w:r>
      <w:r w:rsidR="00194549">
        <w:t xml:space="preserve">and their families will continue to receive all services </w:t>
      </w:r>
      <w:r w:rsidR="004E7BFE">
        <w:t xml:space="preserve">post-merger </w:t>
      </w:r>
      <w:r w:rsidR="00194549">
        <w:t>without disruption and without the potential loss of an indep</w:t>
      </w:r>
      <w:r w:rsidR="00B7663F">
        <w:t>endent</w:t>
      </w:r>
      <w:r w:rsidR="00194549">
        <w:t xml:space="preserve"> competitor.</w:t>
      </w:r>
      <w:r>
        <w:rPr>
          <w:rStyle w:val="FootnoteReference"/>
        </w:rPr>
        <w:footnoteReference w:id="18"/>
      </w:r>
      <w:r w:rsidR="00194549">
        <w:t xml:space="preserve">  </w:t>
      </w:r>
      <w:r w:rsidR="00B7663F">
        <w:t>We also agree with A</w:t>
      </w:r>
      <w:r w:rsidR="00586114">
        <w:t>p</w:t>
      </w:r>
      <w:r w:rsidR="00B7663F">
        <w:t xml:space="preserve">plicants that </w:t>
      </w:r>
      <w:r w:rsidR="00586114">
        <w:t>post-</w:t>
      </w:r>
      <w:r w:rsidR="004E7BFE">
        <w:t>merger</w:t>
      </w:r>
      <w:r w:rsidR="00586114">
        <w:t xml:space="preserve">, ICSolutions will be better positioned to more </w:t>
      </w:r>
      <w:r w:rsidR="00DA4E72">
        <w:t xml:space="preserve">effectively </w:t>
      </w:r>
      <w:r w:rsidR="00586114">
        <w:t>competitively bid for service contracts</w:t>
      </w:r>
      <w:r w:rsidR="00D304D1">
        <w:t>, especially for larger state department of corrections</w:t>
      </w:r>
      <w:r w:rsidR="00586114">
        <w:t xml:space="preserve"> </w:t>
      </w:r>
      <w:r w:rsidR="00D304D1">
        <w:t>contracts</w:t>
      </w:r>
      <w:r w:rsidR="00E00B40">
        <w:t xml:space="preserve">, </w:t>
      </w:r>
      <w:r w:rsidR="00586114">
        <w:t>against the largest inmate calling service providers</w:t>
      </w:r>
      <w:r w:rsidR="003E1823">
        <w:t>,</w:t>
      </w:r>
      <w:r w:rsidR="00586114">
        <w:t xml:space="preserve"> Global Tel*Link Corporation (GTL) and Securus Technologies, Inc. (Securus), which could result in better </w:t>
      </w:r>
      <w:r w:rsidR="003E1823">
        <w:t>services and lower prices</w:t>
      </w:r>
      <w:r w:rsidR="00586114">
        <w:t xml:space="preserve"> for in</w:t>
      </w:r>
      <w:r w:rsidR="000755FA">
        <w:t xml:space="preserve">carcerated individuals </w:t>
      </w:r>
      <w:r w:rsidR="00586114">
        <w:t>and their families.</w:t>
      </w:r>
      <w:r>
        <w:rPr>
          <w:rStyle w:val="FootnoteReference"/>
        </w:rPr>
        <w:footnoteReference w:id="19"/>
      </w:r>
      <w:r w:rsidR="00586114">
        <w:t xml:space="preserve">  </w:t>
      </w:r>
      <w:r w:rsidR="00E00B40">
        <w:t>T</w:t>
      </w:r>
      <w:r w:rsidR="00A14064">
        <w:t>he Commission has found</w:t>
      </w:r>
      <w:r w:rsidR="004E153A">
        <w:t xml:space="preserve"> that</w:t>
      </w:r>
      <w:r w:rsidR="00A14064">
        <w:t xml:space="preserve"> there is</w:t>
      </w:r>
      <w:r w:rsidRPr="00F66D37">
        <w:rPr>
          <w:szCs w:val="22"/>
          <w:shd w:val="clear" w:color="auto" w:fill="FFFFFF"/>
        </w:rPr>
        <w:t xml:space="preserve"> no</w:t>
      </w:r>
      <w:r w:rsidR="00A14064">
        <w:t xml:space="preserve"> harm to competition where a </w:t>
      </w:r>
    </w:p>
    <w:p w:rsidR="001A6DBC" w:rsidP="001A6DBC" w14:paraId="06F9D79E" w14:textId="77777777">
      <w:pPr>
        <w:widowControl/>
        <w:autoSpaceDE w:val="0"/>
        <w:autoSpaceDN w:val="0"/>
        <w:adjustRightInd w:val="0"/>
      </w:pPr>
    </w:p>
    <w:p w:rsidR="001A6DBC" w:rsidP="001A6DBC" w14:paraId="344AD4E5" w14:textId="77777777">
      <w:pPr>
        <w:widowControl/>
        <w:autoSpaceDE w:val="0"/>
        <w:autoSpaceDN w:val="0"/>
        <w:adjustRightInd w:val="0"/>
      </w:pPr>
    </w:p>
    <w:p w:rsidR="001A6DBC" w:rsidP="001A6DBC" w14:paraId="711CC283" w14:textId="77777777">
      <w:pPr>
        <w:widowControl/>
        <w:autoSpaceDE w:val="0"/>
        <w:autoSpaceDN w:val="0"/>
        <w:adjustRightInd w:val="0"/>
      </w:pPr>
    </w:p>
    <w:p w:rsidR="005614FA" w:rsidRPr="00D12B3C" w:rsidP="001A6DBC" w14:paraId="670F82AB" w14:textId="530DC62B">
      <w:pPr>
        <w:widowControl/>
        <w:autoSpaceDE w:val="0"/>
        <w:autoSpaceDN w:val="0"/>
        <w:adjustRightInd w:val="0"/>
        <w:rPr>
          <w:rFonts w:ascii="TimesNewRomanPSMT" w:hAnsi="TimesNewRomanPSMT" w:cs="TimesNewRomanPSMT"/>
          <w:snapToGrid/>
          <w:kern w:val="0"/>
          <w:szCs w:val="22"/>
        </w:rPr>
      </w:pPr>
      <w:r>
        <w:t>transaction will result in</w:t>
      </w:r>
      <w:r w:rsidR="000755FA">
        <w:t xml:space="preserve"> a</w:t>
      </w:r>
      <w:r>
        <w:t xml:space="preserve"> newly</w:t>
      </w:r>
      <w:r w:rsidRPr="00516C98">
        <w:t xml:space="preserve"> combined firm </w:t>
      </w:r>
      <w:r>
        <w:t xml:space="preserve">that can be a </w:t>
      </w:r>
      <w:r w:rsidRPr="00516C98">
        <w:t>more effective</w:t>
      </w:r>
      <w:r w:rsidR="001A6DBC">
        <w:t xml:space="preserve"> </w:t>
      </w:r>
      <w:r w:rsidRPr="00516C98">
        <w:t>and</w:t>
      </w:r>
      <w:r w:rsidR="001A6DBC">
        <w:t xml:space="preserve"> </w:t>
      </w:r>
      <w:r w:rsidRPr="00516C98">
        <w:t>stronger</w:t>
      </w:r>
      <w:r w:rsidR="001A6DBC">
        <w:t xml:space="preserve"> </w:t>
      </w:r>
      <w:r w:rsidRPr="00516C98">
        <w:t>competitor</w:t>
      </w:r>
      <w:r w:rsidR="001A6DBC">
        <w:t xml:space="preserve"> </w:t>
      </w:r>
      <w:r w:rsidRPr="00516C98">
        <w:t>against</w:t>
      </w:r>
      <w:r w:rsidR="001A6DBC">
        <w:t xml:space="preserve"> </w:t>
      </w:r>
      <w:r w:rsidRPr="00516C98">
        <w:t xml:space="preserve">larger </w:t>
      </w:r>
      <w:r>
        <w:t>providers.</w:t>
      </w:r>
      <w:r>
        <w:rPr>
          <w:rStyle w:val="FootnoteReference"/>
        </w:rPr>
        <w:footnoteReference w:id="20"/>
      </w:r>
      <w:r>
        <w:t xml:space="preserve">   </w:t>
      </w:r>
      <w:r w:rsidR="00986813">
        <w:rPr>
          <w:color w:val="000000"/>
          <w:szCs w:val="22"/>
        </w:rPr>
        <w:t xml:space="preserve"> </w:t>
      </w:r>
    </w:p>
    <w:p w:rsidR="00625D42" w:rsidP="005614FA" w14:paraId="17F06012" w14:textId="77777777">
      <w:pPr>
        <w:pStyle w:val="ParaNum"/>
        <w:numPr>
          <w:ilvl w:val="0"/>
          <w:numId w:val="0"/>
        </w:numPr>
        <w:spacing w:after="0"/>
        <w:ind w:firstLine="720"/>
      </w:pPr>
    </w:p>
    <w:p w:rsidR="005614FA" w:rsidP="005614FA" w14:paraId="5914CB43" w14:textId="4AC5C418">
      <w:pPr>
        <w:pStyle w:val="ParaNum"/>
        <w:numPr>
          <w:ilvl w:val="0"/>
          <w:numId w:val="0"/>
        </w:numPr>
        <w:spacing w:after="0"/>
        <w:ind w:firstLine="720"/>
      </w:pPr>
      <w:r>
        <w:t>P</w:t>
      </w:r>
      <w:r w:rsidRPr="00C7200D">
        <w:t xml:space="preserve">ursuant to </w:t>
      </w:r>
      <w:r>
        <w:t>s</w:t>
      </w:r>
      <w:r w:rsidRPr="00C7200D">
        <w:t>ections 214(a)</w:t>
      </w:r>
      <w:r w:rsidR="00625D42">
        <w:t xml:space="preserve"> and </w:t>
      </w:r>
      <w:r w:rsidRPr="00C7200D">
        <w:t>214(c)</w:t>
      </w:r>
      <w:r w:rsidR="00625D42">
        <w:t xml:space="preserve"> </w:t>
      </w:r>
      <w:r w:rsidRPr="00C7200D">
        <w:t xml:space="preserve">of the </w:t>
      </w:r>
      <w:r>
        <w:t xml:space="preserve">Communications </w:t>
      </w:r>
      <w:r w:rsidRPr="00C7200D">
        <w:t>Act</w:t>
      </w:r>
      <w:r>
        <w:t xml:space="preserve"> of 1934</w:t>
      </w:r>
      <w:r w:rsidRPr="00C7200D">
        <w:t xml:space="preserve">, </w:t>
      </w:r>
      <w:r>
        <w:t xml:space="preserve">as amended, </w:t>
      </w:r>
      <w:r w:rsidRPr="00C7200D">
        <w:t xml:space="preserve">47 U.S.C. §§ 214(a), 214(c), and </w:t>
      </w:r>
      <w:r>
        <w:t>s</w:t>
      </w:r>
      <w:r w:rsidRPr="00B73C0C">
        <w:t>ection</w:t>
      </w:r>
      <w:r>
        <w:t>s</w:t>
      </w:r>
      <w:r w:rsidRPr="00B73C0C">
        <w:t xml:space="preserve"> </w:t>
      </w:r>
      <w:r>
        <w:t>63.</w:t>
      </w:r>
      <w:r w:rsidR="00413423">
        <w:t>03-</w:t>
      </w:r>
      <w:r>
        <w:t xml:space="preserve">04, 63.18, and 63.24 </w:t>
      </w:r>
      <w:r w:rsidRPr="00B73C0C">
        <w:t>of the Commission’s rules, 47 CFR §§</w:t>
      </w:r>
      <w:r>
        <w:t xml:space="preserve"> </w:t>
      </w:r>
      <w:r w:rsidRPr="00B73C0C">
        <w:t>63.</w:t>
      </w:r>
      <w:r w:rsidR="00EB2C44">
        <w:t>03-</w:t>
      </w:r>
      <w:r w:rsidRPr="00B73C0C">
        <w:t xml:space="preserve">04, </w:t>
      </w:r>
      <w:r>
        <w:t xml:space="preserve">63.18, </w:t>
      </w:r>
      <w:r w:rsidRPr="00B73C0C">
        <w:t xml:space="preserve">63.24, and pursuant to the authority delegated under </w:t>
      </w:r>
      <w:r>
        <w:t>s</w:t>
      </w:r>
      <w:r w:rsidRPr="00C7200D">
        <w:t>ections 0.51</w:t>
      </w:r>
      <w:r>
        <w:t xml:space="preserve">, </w:t>
      </w:r>
      <w:r w:rsidRPr="00C7200D">
        <w:t xml:space="preserve">0.91, 0.261, </w:t>
      </w:r>
      <w:r w:rsidR="00235FC2">
        <w:t xml:space="preserve">and </w:t>
      </w:r>
      <w:r w:rsidRPr="00C7200D">
        <w:t xml:space="preserve">0.291 of the Commission’s rules, </w:t>
      </w:r>
      <w:r w:rsidRPr="00235FC2">
        <w:t xml:space="preserve">47 CFR §§ 0.51, 0.91, 0.261, </w:t>
      </w:r>
      <w:r w:rsidRPr="00235FC2" w:rsidR="00235FC2">
        <w:t xml:space="preserve">and </w:t>
      </w:r>
      <w:r w:rsidRPr="00235FC2">
        <w:t>0.291, we grant the Applications listed in Attachment A to this Public Notice.</w:t>
      </w:r>
      <w:r w:rsidRPr="00C7200D">
        <w:t xml:space="preserve"> </w:t>
      </w:r>
    </w:p>
    <w:p w:rsidR="005614FA" w:rsidP="005614FA" w14:paraId="0DC6ADD2" w14:textId="77777777">
      <w:pPr>
        <w:widowControl/>
        <w:ind w:firstLine="720"/>
        <w:rPr>
          <w:rFonts w:ascii="Arial" w:hAnsi="Arial" w:cs="Arial"/>
          <w:color w:val="212121"/>
          <w:sz w:val="21"/>
          <w:szCs w:val="21"/>
        </w:rPr>
      </w:pPr>
    </w:p>
    <w:p w:rsidR="005614FA" w:rsidP="005614FA" w14:paraId="1A071B05" w14:textId="77777777">
      <w:pPr>
        <w:widowControl/>
        <w:ind w:firstLine="720"/>
        <w:rPr>
          <w:color w:val="000000"/>
        </w:rPr>
      </w:pPr>
      <w:r w:rsidRPr="00DB54CA">
        <w:rPr>
          <w:color w:val="000000"/>
        </w:rPr>
        <w:t>Pursuant to section 1.103 of the Commission’s rules, 47 CFR § 1.103, the consent granted herein is effective upon the release of this Public Notice.  Petitions for reconsideration under section 1.106 or applications for review under section 1.115 of the Commission’s rules, 47 CFR §§ 1.106, 1.115, may be filed within 30 days of the date of this Public Notice.</w:t>
      </w:r>
    </w:p>
    <w:p w:rsidR="005614FA" w:rsidP="005614FA" w14:paraId="1DA45E78" w14:textId="77777777">
      <w:pPr>
        <w:widowControl/>
        <w:ind w:firstLine="720"/>
        <w:rPr>
          <w:color w:val="000000"/>
        </w:rPr>
      </w:pPr>
    </w:p>
    <w:p w:rsidR="00625D42" w:rsidRPr="007E7363" w:rsidP="00625D42" w14:paraId="4B9A50E7" w14:textId="6B4BA75E">
      <w:pPr>
        <w:widowControl/>
        <w:autoSpaceDE w:val="0"/>
        <w:autoSpaceDN w:val="0"/>
        <w:adjustRightInd w:val="0"/>
        <w:ind w:firstLine="720"/>
        <w:rPr>
          <w:snapToGrid/>
          <w:kern w:val="0"/>
          <w:szCs w:val="22"/>
        </w:rPr>
      </w:pPr>
      <w:r w:rsidRPr="007E7363">
        <w:rPr>
          <w:snapToGrid/>
          <w:kern w:val="0"/>
          <w:szCs w:val="22"/>
        </w:rPr>
        <w:t xml:space="preserve">For further information, please contact </w:t>
      </w:r>
      <w:r>
        <w:rPr>
          <w:snapToGrid/>
          <w:kern w:val="0"/>
          <w:szCs w:val="22"/>
        </w:rPr>
        <w:t xml:space="preserve">Dennis Johnson, Wireline Competition Bureau, (202) 418-0809; </w:t>
      </w:r>
      <w:r w:rsidRPr="007E7363">
        <w:rPr>
          <w:snapToGrid/>
          <w:kern w:val="0"/>
          <w:szCs w:val="22"/>
        </w:rPr>
        <w:t>Jordan Reth</w:t>
      </w:r>
      <w:r w:rsidRPr="007E7363">
        <w:rPr>
          <w:szCs w:val="22"/>
        </w:rPr>
        <w:t>, Wireline Competition Bureau, (202) 418-1418; David Krech, International Bureau, (202) 418-7443</w:t>
      </w:r>
      <w:r>
        <w:rPr>
          <w:szCs w:val="22"/>
        </w:rPr>
        <w:t xml:space="preserve">; </w:t>
      </w:r>
      <w:r w:rsidRPr="007E7363">
        <w:rPr>
          <w:szCs w:val="22"/>
        </w:rPr>
        <w:t>or Sumita Mukhoty, International Bureau, (202) 418-7165.</w:t>
      </w:r>
    </w:p>
    <w:p w:rsidR="005614FA" w:rsidRPr="00577322" w:rsidP="005614FA" w14:paraId="3E13EB4E" w14:textId="77777777">
      <w:pPr>
        <w:keepNext/>
        <w:jc w:val="center"/>
        <w:rPr>
          <w:b/>
          <w:color w:val="000000"/>
          <w:szCs w:val="22"/>
        </w:rPr>
      </w:pPr>
      <w:r>
        <w:rPr>
          <w:b/>
          <w:color w:val="000000"/>
          <w:szCs w:val="22"/>
        </w:rPr>
        <w:br w:type="page"/>
      </w:r>
      <w:r w:rsidRPr="00577322">
        <w:rPr>
          <w:b/>
          <w:color w:val="000000"/>
          <w:szCs w:val="22"/>
        </w:rPr>
        <w:t>ATTACHMENT A</w:t>
      </w:r>
    </w:p>
    <w:p w:rsidR="005614FA" w:rsidRPr="00577322" w:rsidP="004C2475" w14:paraId="5F48AD42" w14:textId="7AB32220">
      <w:pPr>
        <w:keepNext/>
        <w:tabs>
          <w:tab w:val="left" w:pos="324"/>
        </w:tabs>
        <w:rPr>
          <w:b/>
          <w:color w:val="000000"/>
          <w:szCs w:val="22"/>
        </w:rPr>
      </w:pPr>
      <w:r>
        <w:rPr>
          <w:b/>
          <w:color w:val="000000"/>
          <w:szCs w:val="22"/>
        </w:rPr>
        <w:tab/>
      </w:r>
    </w:p>
    <w:p w:rsidR="005614FA" w:rsidRPr="00577322" w:rsidP="005614FA" w14:paraId="022BABA6" w14:textId="77777777">
      <w:pPr>
        <w:keepNext/>
        <w:rPr>
          <w:color w:val="000000"/>
          <w:szCs w:val="22"/>
        </w:rPr>
      </w:pPr>
      <w:r w:rsidRPr="00577322">
        <w:rPr>
          <w:b/>
          <w:color w:val="000000"/>
          <w:szCs w:val="22"/>
        </w:rPr>
        <w:t>SECTION 214 AUTHORIZATIONS</w:t>
      </w:r>
    </w:p>
    <w:p w:rsidR="005614FA" w:rsidRPr="00577322" w:rsidP="005614FA" w14:paraId="6064BDA5" w14:textId="77777777">
      <w:pPr>
        <w:keepNext/>
        <w:rPr>
          <w:color w:val="000000"/>
          <w:szCs w:val="22"/>
        </w:rPr>
      </w:pPr>
    </w:p>
    <w:p w:rsidR="00986813" w:rsidRPr="00986813" w:rsidP="00986813" w14:paraId="6E42793A" w14:textId="77777777">
      <w:pPr>
        <w:keepNext/>
        <w:ind w:firstLine="720"/>
        <w:rPr>
          <w:b/>
          <w:color w:val="000000"/>
          <w:szCs w:val="22"/>
        </w:rPr>
      </w:pPr>
      <w:r w:rsidRPr="00986813">
        <w:rPr>
          <w:b/>
          <w:color w:val="000000"/>
          <w:szCs w:val="22"/>
        </w:rPr>
        <w:t>A.</w:t>
      </w:r>
      <w:r w:rsidRPr="00986813">
        <w:rPr>
          <w:b/>
          <w:color w:val="000000"/>
          <w:szCs w:val="22"/>
        </w:rPr>
        <w:tab/>
        <w:t>International</w:t>
      </w:r>
    </w:p>
    <w:p w:rsidR="00986813" w:rsidRPr="00986813" w:rsidP="00986813" w14:paraId="0731A6CD" w14:textId="77777777">
      <w:pPr>
        <w:keepNext/>
        <w:rPr>
          <w:color w:val="000000"/>
          <w:szCs w:val="22"/>
        </w:rPr>
      </w:pPr>
    </w:p>
    <w:tbl>
      <w:tblPr>
        <w:tblW w:w="9738" w:type="dxa"/>
        <w:tblLook w:val="01E0"/>
      </w:tblPr>
      <w:tblGrid>
        <w:gridCol w:w="2880"/>
        <w:gridCol w:w="3888"/>
        <w:gridCol w:w="2970"/>
      </w:tblGrid>
      <w:tr w14:paraId="4E0FCEE4" w14:textId="77777777" w:rsidTr="00BE250E">
        <w:tblPrEx>
          <w:tblW w:w="9738" w:type="dxa"/>
          <w:tblLook w:val="01E0"/>
        </w:tblPrEx>
        <w:tc>
          <w:tcPr>
            <w:tcW w:w="2880" w:type="dxa"/>
          </w:tcPr>
          <w:p w:rsidR="00986813" w:rsidRPr="00986813" w:rsidP="00986813" w14:paraId="16D8BC59" w14:textId="77777777">
            <w:pPr>
              <w:rPr>
                <w:b/>
                <w:color w:val="000000"/>
                <w:szCs w:val="22"/>
              </w:rPr>
            </w:pPr>
            <w:r w:rsidRPr="00986813">
              <w:rPr>
                <w:b/>
                <w:color w:val="000000"/>
                <w:szCs w:val="22"/>
                <w:u w:val="single"/>
              </w:rPr>
              <w:t>File Number</w:t>
            </w:r>
          </w:p>
        </w:tc>
        <w:tc>
          <w:tcPr>
            <w:tcW w:w="3888" w:type="dxa"/>
          </w:tcPr>
          <w:p w:rsidR="00986813" w:rsidRPr="00986813" w:rsidP="00986813" w14:paraId="13BE6CD0" w14:textId="77777777">
            <w:pPr>
              <w:rPr>
                <w:b/>
                <w:color w:val="000000"/>
                <w:szCs w:val="22"/>
              </w:rPr>
            </w:pPr>
            <w:r w:rsidRPr="00986813">
              <w:rPr>
                <w:b/>
                <w:color w:val="000000"/>
                <w:szCs w:val="22"/>
                <w:u w:val="single"/>
              </w:rPr>
              <w:t>Authorization Holder</w:t>
            </w:r>
          </w:p>
        </w:tc>
        <w:tc>
          <w:tcPr>
            <w:tcW w:w="2970" w:type="dxa"/>
          </w:tcPr>
          <w:p w:rsidR="00986813" w:rsidRPr="00986813" w:rsidP="00986813" w14:paraId="0B61302C" w14:textId="77777777">
            <w:pPr>
              <w:rPr>
                <w:b/>
                <w:color w:val="000000"/>
                <w:szCs w:val="22"/>
                <w:u w:val="single"/>
              </w:rPr>
            </w:pPr>
            <w:r w:rsidRPr="00986813">
              <w:rPr>
                <w:b/>
                <w:color w:val="000000"/>
                <w:szCs w:val="22"/>
                <w:u w:val="single"/>
              </w:rPr>
              <w:t>Authorization Number</w:t>
            </w:r>
          </w:p>
          <w:p w:rsidR="00986813" w:rsidRPr="00986813" w:rsidP="00986813" w14:paraId="2A81BBD6" w14:textId="77777777">
            <w:pPr>
              <w:rPr>
                <w:b/>
                <w:color w:val="000000"/>
                <w:szCs w:val="22"/>
                <w:u w:val="single"/>
              </w:rPr>
            </w:pPr>
          </w:p>
        </w:tc>
      </w:tr>
      <w:tr w14:paraId="475477C7" w14:textId="77777777" w:rsidTr="00BE250E">
        <w:tblPrEx>
          <w:tblW w:w="9738" w:type="dxa"/>
          <w:tblLook w:val="01E0"/>
        </w:tblPrEx>
        <w:tc>
          <w:tcPr>
            <w:tcW w:w="2880" w:type="dxa"/>
          </w:tcPr>
          <w:p w:rsidR="00986813" w:rsidRPr="00986813" w:rsidP="00986813" w14:paraId="4F80EBFA" w14:textId="77777777">
            <w:pPr>
              <w:rPr>
                <w:color w:val="000000"/>
                <w:szCs w:val="22"/>
              </w:rPr>
            </w:pPr>
            <w:r w:rsidRPr="00986813">
              <w:rPr>
                <w:color w:val="000000"/>
                <w:szCs w:val="22"/>
              </w:rPr>
              <w:t>ITC-T/C-20200522-00080</w:t>
            </w:r>
          </w:p>
        </w:tc>
        <w:tc>
          <w:tcPr>
            <w:tcW w:w="3888" w:type="dxa"/>
          </w:tcPr>
          <w:p w:rsidR="00986813" w:rsidRPr="00986813" w:rsidP="00986813" w14:paraId="1FE9A5EC" w14:textId="77777777">
            <w:pPr>
              <w:rPr>
                <w:szCs w:val="22"/>
              </w:rPr>
            </w:pPr>
            <w:r w:rsidRPr="00986813">
              <w:rPr>
                <w:szCs w:val="22"/>
              </w:rPr>
              <w:t>CenturyLink Public Communications, Inc.</w:t>
            </w:r>
          </w:p>
        </w:tc>
        <w:tc>
          <w:tcPr>
            <w:tcW w:w="2970" w:type="dxa"/>
          </w:tcPr>
          <w:p w:rsidR="00986813" w:rsidRPr="00986813" w:rsidP="00986813" w14:paraId="618F08E1" w14:textId="77777777">
            <w:pPr>
              <w:rPr>
                <w:szCs w:val="22"/>
              </w:rPr>
            </w:pPr>
            <w:r w:rsidRPr="00986813">
              <w:rPr>
                <w:szCs w:val="22"/>
              </w:rPr>
              <w:t>ITC-214-20150420-00094</w:t>
            </w:r>
          </w:p>
        </w:tc>
      </w:tr>
      <w:tr w14:paraId="16A1EBAC" w14:textId="77777777" w:rsidTr="00BE250E">
        <w:tblPrEx>
          <w:tblW w:w="9738" w:type="dxa"/>
          <w:tblLook w:val="01E0"/>
        </w:tblPrEx>
        <w:tc>
          <w:tcPr>
            <w:tcW w:w="2880" w:type="dxa"/>
          </w:tcPr>
          <w:p w:rsidR="00986813" w:rsidRPr="00986813" w:rsidP="00986813" w14:paraId="0E83F78B" w14:textId="77777777">
            <w:pPr>
              <w:rPr>
                <w:color w:val="000000"/>
                <w:szCs w:val="22"/>
              </w:rPr>
            </w:pPr>
          </w:p>
        </w:tc>
        <w:tc>
          <w:tcPr>
            <w:tcW w:w="3888" w:type="dxa"/>
          </w:tcPr>
          <w:p w:rsidR="00986813" w:rsidRPr="00986813" w:rsidP="00986813" w14:paraId="77BC58B3" w14:textId="77777777">
            <w:pPr>
              <w:rPr>
                <w:szCs w:val="22"/>
              </w:rPr>
            </w:pPr>
          </w:p>
        </w:tc>
        <w:tc>
          <w:tcPr>
            <w:tcW w:w="2970" w:type="dxa"/>
          </w:tcPr>
          <w:p w:rsidR="00986813" w:rsidRPr="00986813" w:rsidP="00986813" w14:paraId="0FA3B6A1" w14:textId="77777777">
            <w:pPr>
              <w:rPr>
                <w:szCs w:val="22"/>
              </w:rPr>
            </w:pPr>
          </w:p>
        </w:tc>
      </w:tr>
      <w:tr w14:paraId="787E8F5A" w14:textId="77777777" w:rsidTr="00BE250E">
        <w:tblPrEx>
          <w:tblW w:w="9738" w:type="dxa"/>
          <w:tblLook w:val="01E0"/>
        </w:tblPrEx>
        <w:tc>
          <w:tcPr>
            <w:tcW w:w="2880" w:type="dxa"/>
          </w:tcPr>
          <w:p w:rsidR="00986813" w:rsidRPr="00986813" w:rsidP="00986813" w14:paraId="5CDAED44" w14:textId="77777777">
            <w:pPr>
              <w:rPr>
                <w:color w:val="000000"/>
                <w:szCs w:val="22"/>
              </w:rPr>
            </w:pPr>
          </w:p>
        </w:tc>
        <w:tc>
          <w:tcPr>
            <w:tcW w:w="3888" w:type="dxa"/>
          </w:tcPr>
          <w:p w:rsidR="00986813" w:rsidRPr="00986813" w:rsidP="00986813" w14:paraId="55CD23FE" w14:textId="77777777">
            <w:pPr>
              <w:rPr>
                <w:szCs w:val="22"/>
              </w:rPr>
            </w:pPr>
          </w:p>
        </w:tc>
        <w:tc>
          <w:tcPr>
            <w:tcW w:w="2970" w:type="dxa"/>
          </w:tcPr>
          <w:p w:rsidR="00986813" w:rsidRPr="00986813" w:rsidP="00986813" w14:paraId="39EA9C65" w14:textId="77777777">
            <w:pPr>
              <w:rPr>
                <w:szCs w:val="22"/>
              </w:rPr>
            </w:pPr>
          </w:p>
        </w:tc>
      </w:tr>
    </w:tbl>
    <w:p w:rsidR="00986813" w:rsidRPr="00986813" w:rsidP="00986813" w14:paraId="2A4E6689" w14:textId="77777777">
      <w:pPr>
        <w:keepNext/>
        <w:ind w:firstLine="720"/>
        <w:rPr>
          <w:b/>
          <w:color w:val="000000"/>
          <w:szCs w:val="22"/>
        </w:rPr>
      </w:pPr>
      <w:r w:rsidRPr="00986813">
        <w:rPr>
          <w:b/>
          <w:color w:val="000000"/>
          <w:szCs w:val="22"/>
        </w:rPr>
        <w:t>B.</w:t>
      </w:r>
      <w:r w:rsidRPr="00986813">
        <w:rPr>
          <w:b/>
          <w:color w:val="000000"/>
          <w:szCs w:val="22"/>
        </w:rPr>
        <w:tab/>
        <w:t>Domestic</w:t>
      </w:r>
    </w:p>
    <w:p w:rsidR="00986813" w:rsidRPr="00986813" w:rsidP="00986813" w14:paraId="1CC04C8B" w14:textId="77777777">
      <w:pPr>
        <w:keepNext/>
        <w:rPr>
          <w:color w:val="000000"/>
          <w:szCs w:val="22"/>
        </w:rPr>
      </w:pPr>
    </w:p>
    <w:p w:rsidR="00986813" w:rsidRPr="00986813" w:rsidP="00986813" w14:paraId="184541DF" w14:textId="278F9FF0">
      <w:pPr>
        <w:ind w:firstLine="720"/>
        <w:rPr>
          <w:szCs w:val="22"/>
        </w:rPr>
      </w:pPr>
      <w:r>
        <w:rPr>
          <w:color w:val="000000"/>
          <w:szCs w:val="22"/>
        </w:rPr>
        <w:t>The Wireline Competition Bureau grants the application to transfer control of domestic section 214 authority in connection with the proposed transaction – WC Docket No. 20-150.</w:t>
      </w:r>
      <w:r>
        <w:rPr>
          <w:snapToGrid/>
          <w:color w:val="000000"/>
          <w:kern w:val="0"/>
          <w:szCs w:val="22"/>
          <w:vertAlign w:val="superscript"/>
        </w:rPr>
        <w:footnoteReference w:id="21"/>
      </w:r>
    </w:p>
    <w:p w:rsidR="005614FA" w:rsidP="005614FA" w14:paraId="6B2777A4" w14:textId="77777777">
      <w:pPr>
        <w:rPr>
          <w:b/>
          <w:color w:val="000000"/>
          <w:szCs w:val="22"/>
        </w:rPr>
      </w:pPr>
    </w:p>
    <w:p w:rsidR="00930ECF" w:rsidRPr="00930ECF" w:rsidP="002B0207" w14:paraId="6425ACFC" w14:textId="77777777">
      <w:pPr>
        <w:jc w:val="center"/>
        <w:rPr>
          <w:sz w:val="24"/>
        </w:rPr>
      </w:pPr>
      <w:r w:rsidRPr="00D8472B">
        <w:rPr>
          <w:b/>
          <w:color w:val="000000"/>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80FD28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20D4D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3FAEA31" w14:textId="77777777">
    <w:pPr>
      <w:pStyle w:val="Footer"/>
      <w:jc w:val="center"/>
    </w:pPr>
    <w:r>
      <w:fldChar w:fldCharType="begin"/>
    </w:r>
    <w:r>
      <w:instrText xml:space="preserve"> PAGE   \* MERGEFORMAT </w:instrText>
    </w:r>
    <w:r>
      <w:fldChar w:fldCharType="separate"/>
    </w:r>
    <w:r w:rsidR="00631B71">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9298D1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700C" w14:paraId="3C3B41C6" w14:textId="77777777">
      <w:r>
        <w:separator/>
      </w:r>
    </w:p>
  </w:footnote>
  <w:footnote w:type="continuationSeparator" w:id="1">
    <w:p w:rsidR="00C6700C" w14:paraId="53DD5A38" w14:textId="77777777">
      <w:pPr>
        <w:rPr>
          <w:sz w:val="20"/>
        </w:rPr>
      </w:pPr>
      <w:r>
        <w:rPr>
          <w:sz w:val="20"/>
        </w:rPr>
        <w:t xml:space="preserve">(Continued from previous page)  </w:t>
      </w:r>
      <w:r>
        <w:rPr>
          <w:sz w:val="20"/>
        </w:rPr>
        <w:separator/>
      </w:r>
    </w:p>
  </w:footnote>
  <w:footnote w:type="continuationNotice" w:id="2">
    <w:p w:rsidR="00C6700C" w:rsidP="00910F12" w14:paraId="0279958B" w14:textId="77777777">
      <w:pPr>
        <w:jc w:val="right"/>
        <w:rPr>
          <w:sz w:val="20"/>
        </w:rPr>
      </w:pPr>
      <w:r>
        <w:rPr>
          <w:sz w:val="20"/>
        </w:rPr>
        <w:t>(continued….)</w:t>
      </w:r>
    </w:p>
  </w:footnote>
  <w:footnote w:id="3">
    <w:p w:rsidR="00383F27" w:rsidRPr="00487CA0" w:rsidP="00383F27" w14:paraId="347BA4F4" w14:textId="77777777">
      <w:pPr>
        <w:pStyle w:val="FootnoteText"/>
      </w:pPr>
      <w:r w:rsidRPr="00487CA0">
        <w:rPr>
          <w:rStyle w:val="FootnoteReference"/>
          <w:sz w:val="20"/>
        </w:rPr>
        <w:footnoteRef/>
      </w:r>
      <w:r w:rsidRPr="00487CA0">
        <w:t xml:space="preserve"> 47 U.S.C. §§ 214, 310(d); 47 CFR §§ 63.03-04, 63.18, 63.24.</w:t>
      </w:r>
    </w:p>
  </w:footnote>
  <w:footnote w:id="4">
    <w:p w:rsidR="00383F27" w:rsidRPr="00487CA0" w:rsidP="00383F27" w14:paraId="0673F3B2" w14:textId="1927EAD8">
      <w:pPr>
        <w:pStyle w:val="FootnoteText"/>
      </w:pPr>
      <w:r w:rsidRPr="009B4344">
        <w:rPr>
          <w:rStyle w:val="FootnoteReference"/>
          <w:sz w:val="20"/>
        </w:rPr>
        <w:footnoteRef/>
      </w:r>
      <w:r w:rsidRPr="009B4344">
        <w:t xml:space="preserve"> Joint Application of Embarq Corporation and Inmate Calling Solutions, LLC d/b/a ICSolutions for Consent to Transfer Control of Domestic and International Section 214 Authorizations, WC Docket No. 20-150 (filed May 22, 2020) (</w:t>
      </w:r>
      <w:r>
        <w:t xml:space="preserve">Lead </w:t>
      </w:r>
      <w:r w:rsidRPr="009B4344">
        <w:t>Application).  Applicants also filed a supplement to their application on June 12, 2020.   Letter from Howard M. Liberman</w:t>
      </w:r>
      <w:r w:rsidR="004C2475">
        <w:t xml:space="preserve"> and Jennifer L. Kostyu</w:t>
      </w:r>
      <w:r w:rsidRPr="009B4344">
        <w:t>, Counsel to ICSolutions, to Marlene H. Dortch, Secretary, FCC, WC Docket 20-150 (filed June 12, 2020) (Supplement Letter).</w:t>
      </w:r>
      <w:r w:rsidRPr="00487CA0">
        <w:t xml:space="preserve">  </w:t>
      </w:r>
    </w:p>
  </w:footnote>
  <w:footnote w:id="5">
    <w:p w:rsidR="005614FA" w:rsidP="001F1CB2" w14:paraId="295898FB" w14:textId="0B237087">
      <w:pPr>
        <w:pStyle w:val="FootnoteText"/>
      </w:pPr>
      <w:r>
        <w:rPr>
          <w:rStyle w:val="FootnoteReference"/>
        </w:rPr>
        <w:footnoteRef/>
      </w:r>
      <w:r>
        <w:t xml:space="preserve"> </w:t>
      </w:r>
      <w:r w:rsidRPr="004928F5">
        <w:rPr>
          <w:i/>
        </w:rPr>
        <w:t>Applications Filed for the Transfer of Control of</w:t>
      </w:r>
      <w:r>
        <w:rPr>
          <w:i/>
        </w:rPr>
        <w:t xml:space="preserve"> </w:t>
      </w:r>
      <w:r w:rsidR="00383F27">
        <w:rPr>
          <w:i/>
        </w:rPr>
        <w:t>CenturyLink Public Communications, Inc. to Inmate Calling Solutions, LLC D/B/A ICSolutions</w:t>
      </w:r>
      <w:r w:rsidR="00383F27">
        <w:rPr>
          <w:iCs/>
        </w:rPr>
        <w:t>, WC Docket No. 20-150, Public Notice, DA 20-673 (WCB/IB 2020)</w:t>
      </w:r>
      <w:r w:rsidR="00A14064">
        <w:rPr>
          <w:iCs/>
        </w:rPr>
        <w:t xml:space="preserve"> (Accepted-for-Filing Public Notice)</w:t>
      </w:r>
      <w:r w:rsidR="00383F27">
        <w:rPr>
          <w:iCs/>
        </w:rPr>
        <w:t xml:space="preserve">.  </w:t>
      </w:r>
      <w:r w:rsidR="00383F27">
        <w:rPr>
          <w:i/>
        </w:rPr>
        <w:t xml:space="preserve"> </w:t>
      </w:r>
      <w:r>
        <w:t xml:space="preserve">     </w:t>
      </w:r>
    </w:p>
  </w:footnote>
  <w:footnote w:id="6">
    <w:p w:rsidR="00383F27" w:rsidRPr="000276D6" w:rsidP="00383F27" w14:paraId="46F19A31" w14:textId="37D61AF1">
      <w:pPr>
        <w:autoSpaceDE w:val="0"/>
        <w:autoSpaceDN w:val="0"/>
        <w:adjustRightInd w:val="0"/>
        <w:spacing w:after="120"/>
        <w:rPr>
          <w:sz w:val="20"/>
        </w:rPr>
      </w:pPr>
      <w:r w:rsidRPr="00487CA0">
        <w:rPr>
          <w:rStyle w:val="FootnoteReference"/>
          <w:sz w:val="20"/>
        </w:rPr>
        <w:footnoteRef/>
      </w:r>
      <w:r w:rsidRPr="00487CA0">
        <w:rPr>
          <w:sz w:val="20"/>
        </w:rPr>
        <w:t xml:space="preserve"> </w:t>
      </w:r>
      <w:r w:rsidR="00EC6BAD">
        <w:rPr>
          <w:sz w:val="20"/>
        </w:rPr>
        <w:t xml:space="preserve">Lead </w:t>
      </w:r>
      <w:r>
        <w:rPr>
          <w:sz w:val="20"/>
        </w:rPr>
        <w:t>Application</w:t>
      </w:r>
      <w:r w:rsidRPr="00487CA0">
        <w:rPr>
          <w:sz w:val="20"/>
        </w:rPr>
        <w:t xml:space="preserve"> at 3, 5-6</w:t>
      </w:r>
      <w:r>
        <w:rPr>
          <w:sz w:val="20"/>
        </w:rPr>
        <w:t>; Supplement Letter at 1</w:t>
      </w:r>
      <w:r w:rsidRPr="00487CA0">
        <w:rPr>
          <w:sz w:val="20"/>
        </w:rPr>
        <w:t xml:space="preserve">.  </w:t>
      </w:r>
      <w:r w:rsidRPr="004E153A" w:rsidR="00A960A7">
        <w:rPr>
          <w:sz w:val="20"/>
        </w:rPr>
        <w:t>CenturyLink Public Communications</w:t>
      </w:r>
      <w:r w:rsidRPr="00487CA0" w:rsidR="00A960A7">
        <w:rPr>
          <w:sz w:val="20"/>
        </w:rPr>
        <w:t xml:space="preserve"> </w:t>
      </w:r>
      <w:r w:rsidRPr="00487CA0">
        <w:rPr>
          <w:sz w:val="20"/>
        </w:rPr>
        <w:t xml:space="preserve">also historically provided public payphone services, although Applicants state that today these reflect a very small portion of </w:t>
      </w:r>
      <w:r w:rsidR="00D37062">
        <w:rPr>
          <w:sz w:val="20"/>
        </w:rPr>
        <w:t>CenturyLink Public Communications</w:t>
      </w:r>
      <w:r w:rsidRPr="00487CA0">
        <w:rPr>
          <w:sz w:val="20"/>
        </w:rPr>
        <w:t xml:space="preserve">’ business.  </w:t>
      </w:r>
      <w:r w:rsidR="00EC6BAD">
        <w:rPr>
          <w:sz w:val="20"/>
        </w:rPr>
        <w:t xml:space="preserve">Lead </w:t>
      </w:r>
      <w:r w:rsidRPr="00C275E6">
        <w:rPr>
          <w:sz w:val="20"/>
        </w:rPr>
        <w:t xml:space="preserve">Application </w:t>
      </w:r>
      <w:r w:rsidRPr="00487CA0">
        <w:rPr>
          <w:sz w:val="20"/>
        </w:rPr>
        <w:t xml:space="preserve">at </w:t>
      </w:r>
      <w:r>
        <w:rPr>
          <w:sz w:val="20"/>
        </w:rPr>
        <w:t xml:space="preserve">3, </w:t>
      </w:r>
      <w:r w:rsidRPr="00487CA0">
        <w:rPr>
          <w:sz w:val="20"/>
        </w:rPr>
        <w:t>n.3.</w:t>
      </w:r>
    </w:p>
  </w:footnote>
  <w:footnote w:id="7">
    <w:p w:rsidR="00383F27" w:rsidRPr="00487CA0" w:rsidP="00383F27" w14:paraId="3DB52ECE" w14:textId="433A542E">
      <w:pPr>
        <w:pStyle w:val="FootnoteText"/>
      </w:pPr>
      <w:r w:rsidRPr="00487CA0">
        <w:rPr>
          <w:rStyle w:val="FootnoteReference"/>
          <w:sz w:val="20"/>
        </w:rPr>
        <w:footnoteRef/>
      </w:r>
      <w:r w:rsidRPr="00487CA0">
        <w:t xml:space="preserve"> </w:t>
      </w:r>
      <w:r w:rsidR="004B0FC7">
        <w:t xml:space="preserve">Lead </w:t>
      </w:r>
      <w:r>
        <w:t>Application</w:t>
      </w:r>
      <w:r w:rsidRPr="00487CA0">
        <w:t xml:space="preserve"> at 10.</w:t>
      </w:r>
    </w:p>
  </w:footnote>
  <w:footnote w:id="8">
    <w:p w:rsidR="00383F27" w:rsidRPr="00487CA0" w:rsidP="00383F27" w14:paraId="6AD168FA" w14:textId="77777777">
      <w:pPr>
        <w:pStyle w:val="FootnoteText"/>
      </w:pPr>
      <w:r w:rsidRPr="00487CA0">
        <w:rPr>
          <w:rStyle w:val="FootnoteReference"/>
          <w:sz w:val="20"/>
        </w:rPr>
        <w:footnoteRef/>
      </w:r>
      <w:r w:rsidRPr="00487CA0">
        <w:t xml:space="preserve"> </w:t>
      </w:r>
      <w:r w:rsidRPr="0018455C">
        <w:rPr>
          <w:i/>
          <w:iCs/>
        </w:rPr>
        <w:t>Id</w:t>
      </w:r>
      <w:r>
        <w:t>.</w:t>
      </w:r>
      <w:r w:rsidRPr="00487CA0">
        <w:t xml:space="preserve"> at 2.</w:t>
      </w:r>
    </w:p>
  </w:footnote>
  <w:footnote w:id="9">
    <w:p w:rsidR="00383F27" w:rsidRPr="00487CA0" w:rsidP="00383F27" w14:paraId="7EB53E58" w14:textId="77777777">
      <w:pPr>
        <w:autoSpaceDE w:val="0"/>
        <w:autoSpaceDN w:val="0"/>
        <w:adjustRightInd w:val="0"/>
        <w:spacing w:after="120"/>
        <w:rPr>
          <w:sz w:val="20"/>
        </w:rPr>
      </w:pPr>
      <w:r w:rsidRPr="00487CA0">
        <w:rPr>
          <w:rStyle w:val="FootnoteReference"/>
          <w:sz w:val="20"/>
        </w:rPr>
        <w:footnoteRef/>
      </w:r>
      <w:r w:rsidRPr="00487CA0">
        <w:rPr>
          <w:sz w:val="20"/>
        </w:rPr>
        <w:t xml:space="preserve"> </w:t>
      </w:r>
      <w:r w:rsidRPr="00487CA0">
        <w:rPr>
          <w:i/>
          <w:iCs/>
          <w:sz w:val="20"/>
        </w:rPr>
        <w:t>Id</w:t>
      </w:r>
      <w:r w:rsidRPr="00487CA0">
        <w:rPr>
          <w:sz w:val="20"/>
        </w:rPr>
        <w:t>. at 3</w:t>
      </w:r>
      <w:r>
        <w:rPr>
          <w:sz w:val="20"/>
        </w:rPr>
        <w:t>, n.4</w:t>
      </w:r>
      <w:r w:rsidRPr="00487CA0">
        <w:rPr>
          <w:sz w:val="20"/>
        </w:rPr>
        <w:t xml:space="preserve">.  ICSolutions provides telecommunications to correctional facilities in Alabama, Arizona, Arkansas, California, Colorado, Florida, Georgia, Idaho, Illinois, Indiana, Iowa, Kansas, Louisiana, Maryland, Massachusetts, Michigan, Minnesota, Mississippi, Missouri, Montana, Nebraska, Nevada, New Hampshire, New Mexico, New York, North Carolina, Ohio, Oregon, Pennsylvania, South Carolina, South Dakota, Tennessee, Texas, Utah, Virginia, Washington, West Virginia, Wisconsin, and Wyoming.  </w:t>
      </w:r>
    </w:p>
  </w:footnote>
  <w:footnote w:id="10">
    <w:p w:rsidR="00383F27" w:rsidRPr="00487CA0" w:rsidP="00383F27" w14:paraId="0A25BC2B" w14:textId="77777777">
      <w:pPr>
        <w:pStyle w:val="FootnoteText"/>
      </w:pPr>
      <w:r w:rsidRPr="00487CA0">
        <w:rPr>
          <w:rStyle w:val="FootnoteReference"/>
          <w:sz w:val="20"/>
        </w:rPr>
        <w:footnoteRef/>
      </w:r>
      <w:r w:rsidRPr="00487CA0">
        <w:t xml:space="preserve"> </w:t>
      </w:r>
      <w:r w:rsidRPr="00487CA0">
        <w:rPr>
          <w:i/>
          <w:iCs/>
        </w:rPr>
        <w:t>Id</w:t>
      </w:r>
      <w:r w:rsidRPr="00487CA0">
        <w:t>. at 4.</w:t>
      </w:r>
    </w:p>
  </w:footnote>
  <w:footnote w:id="11">
    <w:p w:rsidR="00383F27" w:rsidRPr="00487CA0" w:rsidP="00383F27" w14:paraId="64B07D62" w14:textId="7706ABD6">
      <w:pPr>
        <w:pStyle w:val="FootnoteText"/>
      </w:pPr>
      <w:r w:rsidRPr="00487CA0">
        <w:rPr>
          <w:rStyle w:val="FootnoteReference"/>
          <w:sz w:val="20"/>
        </w:rPr>
        <w:footnoteRef/>
      </w:r>
      <w:r w:rsidRPr="00487CA0">
        <w:t xml:space="preserve"> </w:t>
      </w:r>
      <w:r w:rsidRPr="00487CA0">
        <w:rPr>
          <w:i/>
          <w:iCs/>
        </w:rPr>
        <w:t>Id</w:t>
      </w:r>
      <w:r w:rsidRPr="00487CA0">
        <w:t>. at 8-9</w:t>
      </w:r>
      <w:r>
        <w:t>; Supplement Letter at 2</w:t>
      </w:r>
      <w:r w:rsidRPr="00487CA0">
        <w:t xml:space="preserve">. </w:t>
      </w:r>
      <w:r w:rsidRPr="00487CA0">
        <w:rPr>
          <w:i/>
          <w:iCs/>
        </w:rPr>
        <w:t xml:space="preserve"> </w:t>
      </w:r>
      <w:r w:rsidRPr="00487CA0">
        <w:t xml:space="preserve">Applicants provided charts depicting pre-closing and post-closing ownership structures.  </w:t>
      </w:r>
      <w:r w:rsidR="004B0FC7">
        <w:t xml:space="preserve">Lead </w:t>
      </w:r>
      <w:r>
        <w:t>Application at</w:t>
      </w:r>
      <w:r w:rsidRPr="00487CA0">
        <w:t xml:space="preserve"> Exh. A.</w:t>
      </w:r>
    </w:p>
  </w:footnote>
  <w:footnote w:id="12">
    <w:p w:rsidR="00EF479F" w:rsidRPr="00487CA0" w:rsidP="00EF479F" w14:paraId="61C7088B" w14:textId="5EB1FC35">
      <w:pPr>
        <w:pStyle w:val="FootnoteText"/>
      </w:pPr>
      <w:r w:rsidRPr="00272AFF">
        <w:rPr>
          <w:rStyle w:val="FootnoteReference"/>
          <w:sz w:val="20"/>
        </w:rPr>
        <w:footnoteRef/>
      </w:r>
      <w:r w:rsidRPr="00272AFF">
        <w:t xml:space="preserve"> </w:t>
      </w:r>
      <w:r w:rsidR="004B0FC7">
        <w:t xml:space="preserve">Lead </w:t>
      </w:r>
      <w:r>
        <w:t>Application</w:t>
      </w:r>
      <w:r w:rsidRPr="00272AFF">
        <w:t xml:space="preserve"> at 4.</w:t>
      </w:r>
    </w:p>
  </w:footnote>
  <w:footnote w:id="13">
    <w:p w:rsidR="00EF479F" w:rsidRPr="00487CA0" w:rsidP="00EF479F" w14:paraId="2B9FA493" w14:textId="77777777">
      <w:pPr>
        <w:autoSpaceDE w:val="0"/>
        <w:autoSpaceDN w:val="0"/>
        <w:adjustRightInd w:val="0"/>
        <w:spacing w:after="120"/>
        <w:rPr>
          <w:sz w:val="20"/>
        </w:rPr>
      </w:pPr>
      <w:r w:rsidRPr="00487CA0">
        <w:rPr>
          <w:rStyle w:val="FootnoteReference"/>
          <w:sz w:val="20"/>
        </w:rPr>
        <w:footnoteRef/>
      </w:r>
      <w:r w:rsidRPr="00487CA0">
        <w:rPr>
          <w:sz w:val="20"/>
        </w:rPr>
        <w:t xml:space="preserve"> </w:t>
      </w:r>
      <w:r w:rsidRPr="00487CA0">
        <w:rPr>
          <w:i/>
          <w:iCs/>
          <w:sz w:val="20"/>
        </w:rPr>
        <w:t>Id</w:t>
      </w:r>
      <w:r w:rsidRPr="00487CA0">
        <w:rPr>
          <w:sz w:val="20"/>
        </w:rPr>
        <w:t>.</w:t>
      </w:r>
    </w:p>
  </w:footnote>
  <w:footnote w:id="14">
    <w:p w:rsidR="00EF479F" w:rsidRPr="00487CA0" w:rsidP="00EF479F" w14:paraId="26795A58" w14:textId="77777777">
      <w:pPr>
        <w:pStyle w:val="FootnoteText"/>
      </w:pPr>
      <w:r w:rsidRPr="00487CA0">
        <w:rPr>
          <w:rStyle w:val="FootnoteReference"/>
          <w:sz w:val="20"/>
        </w:rPr>
        <w:footnoteRef/>
      </w:r>
      <w:r w:rsidRPr="00487CA0">
        <w:t xml:space="preserve"> </w:t>
      </w:r>
      <w:r w:rsidRPr="00487CA0">
        <w:rPr>
          <w:i/>
          <w:iCs/>
        </w:rPr>
        <w:t>Id</w:t>
      </w:r>
      <w:r w:rsidRPr="00487CA0">
        <w:t>. at 4-5.</w:t>
      </w:r>
    </w:p>
  </w:footnote>
  <w:footnote w:id="15">
    <w:p w:rsidR="00EF479F" w:rsidRPr="00487CA0" w:rsidP="00EF479F" w14:paraId="188BABA0" w14:textId="77777777">
      <w:pPr>
        <w:pStyle w:val="FootnoteText"/>
      </w:pPr>
      <w:r w:rsidRPr="00487CA0">
        <w:rPr>
          <w:rStyle w:val="FootnoteReference"/>
          <w:sz w:val="20"/>
        </w:rPr>
        <w:footnoteRef/>
      </w:r>
      <w:r w:rsidRPr="00487CA0">
        <w:t xml:space="preserve"> </w:t>
      </w:r>
      <w:r w:rsidRPr="00487CA0">
        <w:rPr>
          <w:i/>
          <w:iCs/>
        </w:rPr>
        <w:t>Id</w:t>
      </w:r>
      <w:r w:rsidRPr="00487CA0">
        <w:t>.</w:t>
      </w:r>
    </w:p>
  </w:footnote>
  <w:footnote w:id="16">
    <w:p w:rsidR="00B7663F" w14:paraId="2008921B" w14:textId="2BD45AC8">
      <w:pPr>
        <w:pStyle w:val="FootnoteText"/>
      </w:pPr>
      <w:r>
        <w:rPr>
          <w:rStyle w:val="FootnoteReference"/>
        </w:rPr>
        <w:footnoteRef/>
      </w:r>
      <w:r>
        <w:t xml:space="preserve"> </w:t>
      </w:r>
      <w:r w:rsidR="00C41C27">
        <w:rPr>
          <w:i/>
          <w:iCs/>
        </w:rPr>
        <w:t>Implementation of Further Streamlining Measures for Domestic Section 214 Authorizations</w:t>
      </w:r>
      <w:r w:rsidR="00C41C27">
        <w:t xml:space="preserve">, CC Docket No. 01-150, Report and Order, 17 FCC Rcd 5517, 5533, paras. 29-30 (2002).  </w:t>
      </w:r>
      <w:r>
        <w:t>Applicant</w:t>
      </w:r>
      <w:r w:rsidR="00A14064">
        <w:t>s</w:t>
      </w:r>
      <w:r>
        <w:t xml:space="preserve"> state that in accordance with the Commission’s presumption that an application qualifies for streamlining, upon closing of </w:t>
      </w:r>
      <w:r w:rsidR="00A14064">
        <w:t xml:space="preserve">the </w:t>
      </w:r>
      <w:r>
        <w:t xml:space="preserve">proposed transaction, ICSolutions and </w:t>
      </w:r>
      <w:r w:rsidR="00A960A7">
        <w:t>CenturyLink Public Communications</w:t>
      </w:r>
      <w:r w:rsidR="00164B90">
        <w:t>,</w:t>
      </w:r>
      <w:r>
        <w:t xml:space="preserve"> collectively</w:t>
      </w:r>
      <w:r w:rsidR="00164B90">
        <w:t>,</w:t>
      </w:r>
      <w:r>
        <w:t xml:space="preserve"> would have a market share in the </w:t>
      </w:r>
      <w:r w:rsidR="00A14064">
        <w:t>i</w:t>
      </w:r>
      <w:r>
        <w:t xml:space="preserve">nterstate, interexchange market of less than 10% and not be dominant with respect to any telecommunications service.  Lead Application at 10-11 (citing 47 CFR § 63.03(b)(2)(i)).  </w:t>
      </w:r>
      <w:r w:rsidR="00A14064">
        <w:t xml:space="preserve">Because the proposed transaction involves multiple applications and because of the public interest review associated with them, the Bureaus exercised their discretion to accept the Applications for non-streamlined fling.  </w:t>
      </w:r>
      <w:r w:rsidR="0096671F">
        <w:t>Ac</w:t>
      </w:r>
      <w:r w:rsidR="00A14064">
        <w:t xml:space="preserve">cepted-for-Filing Public Notice at 5.  </w:t>
      </w:r>
    </w:p>
  </w:footnote>
  <w:footnote w:id="17">
    <w:p w:rsidR="00B7663F" w14:paraId="78704232" w14:textId="696F8FA6">
      <w:pPr>
        <w:pStyle w:val="FootnoteText"/>
      </w:pPr>
      <w:r w:rsidRPr="00235FC2">
        <w:rPr>
          <w:rStyle w:val="FootnoteReference"/>
        </w:rPr>
        <w:footnoteRef/>
      </w:r>
      <w:r w:rsidRPr="00235FC2">
        <w:t xml:space="preserve"> </w:t>
      </w:r>
      <w:r w:rsidR="00FD3ABE">
        <w:rPr>
          <w:i/>
          <w:iCs/>
        </w:rPr>
        <w:t xml:space="preserve">See </w:t>
      </w:r>
      <w:r w:rsidR="00C41C27">
        <w:rPr>
          <w:i/>
          <w:iCs/>
        </w:rPr>
        <w:t>Rates for</w:t>
      </w:r>
      <w:r w:rsidRPr="00235FC2" w:rsidR="00875F60">
        <w:rPr>
          <w:i/>
          <w:iCs/>
        </w:rPr>
        <w:t xml:space="preserve"> Interstate Calling Services</w:t>
      </w:r>
      <w:r w:rsidRPr="00235FC2" w:rsidR="00875F60">
        <w:t xml:space="preserve">, WC Docket 12-375, Report and Order on Remand and Fourth Further Notice of Proposed Rulemaking, </w:t>
      </w:r>
      <w:bookmarkStart w:id="5" w:name="_Hlk47438008"/>
      <w:r w:rsidRPr="00235FC2" w:rsidR="00875F60">
        <w:t>FCC</w:t>
      </w:r>
      <w:r w:rsidR="00BF4751">
        <w:t xml:space="preserve"> 20-111,</w:t>
      </w:r>
      <w:r w:rsidRPr="00235FC2" w:rsidR="00875F60">
        <w:rPr>
          <w:szCs w:val="22"/>
        </w:rPr>
        <w:t xml:space="preserve"> at para. 5</w:t>
      </w:r>
      <w:r w:rsidR="00235FC2">
        <w:rPr>
          <w:szCs w:val="22"/>
        </w:rPr>
        <w:t xml:space="preserve"> (2020)</w:t>
      </w:r>
      <w:r w:rsidRPr="00235FC2" w:rsidR="00875F60">
        <w:rPr>
          <w:szCs w:val="22"/>
        </w:rPr>
        <w:t xml:space="preserve"> </w:t>
      </w:r>
      <w:bookmarkEnd w:id="5"/>
      <w:r w:rsidRPr="00235FC2" w:rsidR="00875F60">
        <w:rPr>
          <w:szCs w:val="22"/>
        </w:rPr>
        <w:t>(</w:t>
      </w:r>
      <w:r w:rsidR="00C41C27">
        <w:rPr>
          <w:szCs w:val="22"/>
        </w:rPr>
        <w:t xml:space="preserve">2020 </w:t>
      </w:r>
      <w:r w:rsidRPr="00235FC2" w:rsidR="00875F60">
        <w:rPr>
          <w:i/>
          <w:iCs/>
          <w:szCs w:val="22"/>
        </w:rPr>
        <w:t>ICS Order and NPRM</w:t>
      </w:r>
      <w:r w:rsidRPr="00235FC2" w:rsidR="00875F60">
        <w:rPr>
          <w:szCs w:val="22"/>
        </w:rPr>
        <w:t xml:space="preserve">) (stating that “. . . </w:t>
      </w:r>
      <w:r w:rsidR="00BF4751">
        <w:rPr>
          <w:szCs w:val="22"/>
        </w:rPr>
        <w:t>incarcerated people</w:t>
      </w:r>
      <w:r w:rsidRPr="00235FC2" w:rsidR="00875F60">
        <w:rPr>
          <w:szCs w:val="22"/>
        </w:rPr>
        <w:t xml:space="preserve"> and the individuals they call have no choice in their telephone service provider.  Instead, their only option is typically an inmate calling services provider chosen by the correctional facility that, once chosen, operates as a monopolist.”)</w:t>
      </w:r>
      <w:r w:rsidR="00235FC2">
        <w:rPr>
          <w:szCs w:val="22"/>
        </w:rPr>
        <w:t xml:space="preserve">; </w:t>
      </w:r>
      <w:r w:rsidRPr="00FD3ABE" w:rsidR="00FD3ABE">
        <w:rPr>
          <w:i/>
          <w:iCs/>
        </w:rPr>
        <w:t>Rates for Inmate Calling Services</w:t>
      </w:r>
      <w:r w:rsidR="00FD3ABE">
        <w:t>, WC Docket No. 12-375, Report and Order and Further Notice of Proposed Rulemaking, 28 FCC Rcd 14107, 14128-29, paras. 39-41 (2013) (</w:t>
      </w:r>
      <w:r w:rsidR="00235FC2">
        <w:rPr>
          <w:szCs w:val="22"/>
        </w:rPr>
        <w:t>finding that market forces were not operating to ensure just</w:t>
      </w:r>
      <w:r w:rsidR="00FD3ABE">
        <w:rPr>
          <w:szCs w:val="22"/>
        </w:rPr>
        <w:t xml:space="preserve">, </w:t>
      </w:r>
      <w:r w:rsidR="00235FC2">
        <w:rPr>
          <w:szCs w:val="22"/>
        </w:rPr>
        <w:t>reasonable</w:t>
      </w:r>
      <w:r w:rsidR="00FD3ABE">
        <w:rPr>
          <w:szCs w:val="22"/>
        </w:rPr>
        <w:t>, and fair</w:t>
      </w:r>
      <w:r w:rsidR="00235FC2">
        <w:rPr>
          <w:szCs w:val="22"/>
        </w:rPr>
        <w:t xml:space="preserve"> rates for inmate calling services, and that </w:t>
      </w:r>
      <w:r w:rsidR="00FD3ABE">
        <w:rPr>
          <w:szCs w:val="22"/>
        </w:rPr>
        <w:t>the</w:t>
      </w:r>
      <w:r w:rsidR="00235FC2">
        <w:rPr>
          <w:szCs w:val="22"/>
        </w:rPr>
        <w:t xml:space="preserve"> absence</w:t>
      </w:r>
      <w:r w:rsidR="00FD3ABE">
        <w:rPr>
          <w:szCs w:val="22"/>
        </w:rPr>
        <w:t xml:space="preserve"> </w:t>
      </w:r>
      <w:r w:rsidR="00235FC2">
        <w:rPr>
          <w:szCs w:val="22"/>
        </w:rPr>
        <w:t xml:space="preserve">of competitive pressures necessitated rate regulation).  </w:t>
      </w:r>
    </w:p>
  </w:footnote>
  <w:footnote w:id="18">
    <w:p w:rsidR="005F1BA6" w14:paraId="535F8A56" w14:textId="15522C33">
      <w:pPr>
        <w:pStyle w:val="FootnoteText"/>
      </w:pPr>
      <w:r>
        <w:rPr>
          <w:rStyle w:val="FootnoteReference"/>
        </w:rPr>
        <w:footnoteRef/>
      </w:r>
      <w:r>
        <w:t xml:space="preserve"> Lead Application at 6 (stating that “the transaction will not result in any interruption, reduction, loss, impairment, or disruption of services.  Post-closing, ICSolutions will continue to honor CPCI’s </w:t>
      </w:r>
      <w:r w:rsidR="00BE250E">
        <w:t>[CenturyLink Public Communications]</w:t>
      </w:r>
      <w:r w:rsidR="00A960A7">
        <w:t xml:space="preserve"> </w:t>
      </w:r>
      <w:r>
        <w:t xml:space="preserve">correctional facility customer contracts. </w:t>
      </w:r>
      <w:r w:rsidR="006B066A">
        <w:t xml:space="preserve"> </w:t>
      </w:r>
      <w:r>
        <w:t xml:space="preserve">For correctional facilities and for inmates and inmate families, it will continue to provide services at the same rates and on the same terms and conditions as are currently in effect.  Because ICSolutions is already a subcontractor to the vast majority of CPCI’s </w:t>
      </w:r>
      <w:r w:rsidR="00BE250E">
        <w:t xml:space="preserve">[CenturyLink Public Communications] </w:t>
      </w:r>
      <w:r>
        <w:t xml:space="preserve">contracts, its customers are already very familiar and have worked with ICSolutions and vice versa. </w:t>
      </w:r>
      <w:r w:rsidR="002F78A0">
        <w:t xml:space="preserve"> </w:t>
      </w:r>
      <w:r>
        <w:t xml:space="preserve">Thus, other than changing the name of CPCI </w:t>
      </w:r>
      <w:r w:rsidR="00D37062">
        <w:t>[</w:t>
      </w:r>
      <w:r w:rsidR="00A960A7">
        <w:t>CenturyLink Public Communications</w:t>
      </w:r>
      <w:r w:rsidR="00BE250E">
        <w:t>]</w:t>
      </w:r>
      <w:r w:rsidR="00A960A7">
        <w:t xml:space="preserve"> </w:t>
      </w:r>
      <w:r>
        <w:t xml:space="preserve">post-closing (of which customers will be notified), the transaction will in no way affect CPCI’s </w:t>
      </w:r>
      <w:r w:rsidR="004E153A">
        <w:t xml:space="preserve">[CenturyLink Public Communications] </w:t>
      </w:r>
      <w:r>
        <w:t>customers or the services they receive.”).</w:t>
      </w:r>
    </w:p>
  </w:footnote>
  <w:footnote w:id="19">
    <w:p w:rsidR="00586114" w:rsidRPr="009457E4" w:rsidP="00586114" w14:paraId="63493336" w14:textId="74C4DFC4">
      <w:pPr>
        <w:pStyle w:val="FootnoteText"/>
      </w:pPr>
      <w:r w:rsidRPr="00164B90">
        <w:rPr>
          <w:rStyle w:val="FootnoteReference"/>
        </w:rPr>
        <w:footnoteRef/>
      </w:r>
      <w:r w:rsidRPr="00164B90">
        <w:t xml:space="preserve"> </w:t>
      </w:r>
      <w:r w:rsidR="00CC4323">
        <w:rPr>
          <w:i/>
          <w:iCs/>
        </w:rPr>
        <w:t>Id</w:t>
      </w:r>
      <w:r w:rsidR="00CC4323">
        <w:t>.</w:t>
      </w:r>
      <w:r w:rsidRPr="00164B90">
        <w:t xml:space="preserve"> at 5</w:t>
      </w:r>
      <w:r w:rsidRPr="00164B90" w:rsidR="009457E4">
        <w:t xml:space="preserve"> (stating that</w:t>
      </w:r>
      <w:r w:rsidRPr="00164B90">
        <w:t xml:space="preserve"> </w:t>
      </w:r>
      <w:r w:rsidRPr="00164B90" w:rsidR="009813B7">
        <w:t xml:space="preserve">“post-closing, ICSolutions will be better positioned to more competitively bid for service contracts against the largest inmate calling service providers such </w:t>
      </w:r>
      <w:r w:rsidRPr="00164B90" w:rsidR="008A6493">
        <w:t>as Global Tel*Link Corporation (“GTL”)</w:t>
      </w:r>
      <w:r w:rsidRPr="00164B90" w:rsidR="009813B7">
        <w:t xml:space="preserve"> and Securus Technologies, Inc. (</w:t>
      </w:r>
      <w:r w:rsidR="009F20BD">
        <w:t>‘</w:t>
      </w:r>
      <w:r w:rsidRPr="00164B90" w:rsidR="009813B7">
        <w:t>Securus</w:t>
      </w:r>
      <w:r w:rsidR="009F20BD">
        <w:t>’</w:t>
      </w:r>
      <w:r w:rsidRPr="00164B90" w:rsidR="009813B7">
        <w:t xml:space="preserve">), which will result in better telecommunications prices for inmates and their families.  Today, for example, </w:t>
      </w:r>
      <w:r w:rsidRPr="00164B90">
        <w:t xml:space="preserve">CPCI </w:t>
      </w:r>
      <w:r w:rsidR="004E153A">
        <w:t xml:space="preserve">[CenturyLink Public Communications] </w:t>
      </w:r>
      <w:r w:rsidRPr="00164B90">
        <w:t>primarily competes for contracts with state department of corrections (</w:t>
      </w:r>
      <w:r w:rsidR="00CC4323">
        <w:t>‘</w:t>
      </w:r>
      <w:r w:rsidRPr="00164B90">
        <w:t>DOC</w:t>
      </w:r>
      <w:r w:rsidR="00CC4323">
        <w:t>’</w:t>
      </w:r>
      <w:r w:rsidRPr="00164B90">
        <w:t>) and larger county or municipal institutions, while ICSolutions typically focuses on smaller/individual facilities</w:t>
      </w:r>
      <w:r w:rsidRPr="00164B90" w:rsidR="009813B7">
        <w:t>.</w:t>
      </w:r>
      <w:r w:rsidRPr="00164B90" w:rsidR="00081979">
        <w:t xml:space="preserve">  </w:t>
      </w:r>
      <w:r w:rsidRPr="00164B90">
        <w:t>ICSolutions anticipates that the transaction will enable it to better compete for DOC and other contracts against other providers, particularly GTL and Securus</w:t>
      </w:r>
      <w:r w:rsidRPr="00164B90" w:rsidR="009813B7">
        <w:t xml:space="preserve"> as ICSolutions maintains an earned reputation for integrity in serving inmate families</w:t>
      </w:r>
      <w:r w:rsidRPr="00164B90">
        <w:t>.</w:t>
      </w:r>
      <w:r w:rsidRPr="00164B90" w:rsidR="009813B7">
        <w:t>”</w:t>
      </w:r>
      <w:r w:rsidRPr="00164B90" w:rsidR="009457E4">
        <w:t>).</w:t>
      </w:r>
      <w:r w:rsidRPr="00164B90">
        <w:t xml:space="preserve"> </w:t>
      </w:r>
      <w:r w:rsidRPr="00164B90" w:rsidR="00625D42">
        <w:t xml:space="preserve"> </w:t>
      </w:r>
      <w:bookmarkStart w:id="6" w:name="_Hlk48033229"/>
      <w:r w:rsidRPr="00164B90" w:rsidR="000755FA">
        <w:rPr>
          <w:i/>
          <w:iCs/>
        </w:rPr>
        <w:t>2020</w:t>
      </w:r>
      <w:r w:rsidRPr="00164B90" w:rsidR="000755FA">
        <w:t xml:space="preserve"> </w:t>
      </w:r>
      <w:r w:rsidRPr="00164B90" w:rsidR="00CB1286">
        <w:rPr>
          <w:i/>
          <w:iCs/>
          <w:szCs w:val="22"/>
        </w:rPr>
        <w:t>ICS Order and NPRM</w:t>
      </w:r>
      <w:r w:rsidRPr="00164B90" w:rsidR="004E7BFE">
        <w:rPr>
          <w:i/>
          <w:iCs/>
          <w:szCs w:val="22"/>
        </w:rPr>
        <w:t xml:space="preserve"> </w:t>
      </w:r>
      <w:bookmarkEnd w:id="6"/>
      <w:r w:rsidRPr="00164B90" w:rsidR="00CB1286">
        <w:rPr>
          <w:szCs w:val="22"/>
        </w:rPr>
        <w:t xml:space="preserve">at para. </w:t>
      </w:r>
      <w:r w:rsidRPr="00164B90" w:rsidR="00FB2027">
        <w:rPr>
          <w:szCs w:val="22"/>
        </w:rPr>
        <w:t>94</w:t>
      </w:r>
      <w:r w:rsidRPr="00164B90" w:rsidR="00786972">
        <w:rPr>
          <w:szCs w:val="22"/>
        </w:rPr>
        <w:t xml:space="preserve"> </w:t>
      </w:r>
      <w:r w:rsidRPr="00164B90" w:rsidR="000501DF">
        <w:rPr>
          <w:szCs w:val="22"/>
        </w:rPr>
        <w:t xml:space="preserve">(observing that GTL is the largest </w:t>
      </w:r>
      <w:r w:rsidR="00CC4323">
        <w:rPr>
          <w:szCs w:val="22"/>
        </w:rPr>
        <w:t>inmate calling services</w:t>
      </w:r>
      <w:r w:rsidRPr="00164B90" w:rsidR="000501DF">
        <w:rPr>
          <w:szCs w:val="22"/>
        </w:rPr>
        <w:t xml:space="preserve"> provider); </w:t>
      </w:r>
      <w:r w:rsidRPr="00164B90" w:rsidR="00E00B40">
        <w:rPr>
          <w:szCs w:val="22"/>
        </w:rPr>
        <w:t xml:space="preserve">News Release, U.S. Department of Justice, Securus Technologies Abandons Proposed Acquisition of Inmate Calling Solutions After Justice Department and the Federal Communications Commission Informed Parties of Concerns (rel. Apr. 3, 2019), </w:t>
      </w:r>
      <w:hyperlink r:id="rId1" w:history="1">
        <w:r w:rsidRPr="00164B90" w:rsidR="00E00B40">
          <w:rPr>
            <w:rStyle w:val="Hyperlink"/>
            <w:szCs w:val="22"/>
          </w:rPr>
          <w:t>https://www.justice.gov/opa/pr/securus-technologies-abandons-proposed-acquisition-inmate-calling-solutions-after-justice</w:t>
        </w:r>
      </w:hyperlink>
      <w:r w:rsidRPr="00164B90" w:rsidR="00E00B40">
        <w:rPr>
          <w:szCs w:val="22"/>
        </w:rPr>
        <w:t xml:space="preserve"> (observing that Securus is one of the two largest inmate calling services providers in the nation</w:t>
      </w:r>
      <w:r w:rsidR="00E00B40">
        <w:rPr>
          <w:szCs w:val="22"/>
        </w:rPr>
        <w:t>);</w:t>
      </w:r>
      <w:r w:rsidRPr="00164B90" w:rsidR="00E00B40">
        <w:rPr>
          <w:i/>
          <w:iCs/>
          <w:szCs w:val="22"/>
        </w:rPr>
        <w:t xml:space="preserve"> </w:t>
      </w:r>
      <w:r w:rsidRPr="00164B90" w:rsidR="000501DF">
        <w:rPr>
          <w:i/>
          <w:iCs/>
          <w:szCs w:val="22"/>
        </w:rPr>
        <w:t>see also</w:t>
      </w:r>
      <w:r w:rsidRPr="00164B90" w:rsidR="000501DF">
        <w:rPr>
          <w:szCs w:val="22"/>
        </w:rPr>
        <w:t xml:space="preserve"> </w:t>
      </w:r>
      <w:r w:rsidRPr="00164B90" w:rsidR="00CC4323">
        <w:rPr>
          <w:i/>
          <w:iCs/>
        </w:rPr>
        <w:t>2020</w:t>
      </w:r>
      <w:r w:rsidRPr="00164B90" w:rsidR="00CC4323">
        <w:t xml:space="preserve"> </w:t>
      </w:r>
      <w:r w:rsidRPr="00164B90" w:rsidR="00CC4323">
        <w:rPr>
          <w:i/>
          <w:iCs/>
          <w:szCs w:val="22"/>
        </w:rPr>
        <w:t xml:space="preserve">ICS Order and NPRM </w:t>
      </w:r>
      <w:r w:rsidR="00CC4323">
        <w:rPr>
          <w:szCs w:val="22"/>
        </w:rPr>
        <w:t xml:space="preserve"> at n.226 and </w:t>
      </w:r>
      <w:r w:rsidRPr="00164B90" w:rsidR="00CB1286">
        <w:rPr>
          <w:szCs w:val="22"/>
        </w:rPr>
        <w:t>Appx</w:t>
      </w:r>
      <w:r w:rsidR="00CC4323">
        <w:rPr>
          <w:szCs w:val="22"/>
        </w:rPr>
        <w:t>.</w:t>
      </w:r>
      <w:r w:rsidRPr="00164B90" w:rsidR="00CB1286">
        <w:rPr>
          <w:szCs w:val="22"/>
        </w:rPr>
        <w:t xml:space="preserve"> E (Analysis of Responses to the Second Mandatory Data Collection</w:t>
      </w:r>
      <w:r w:rsidRPr="00164B90" w:rsidR="005B1C38">
        <w:rPr>
          <w:szCs w:val="22"/>
        </w:rPr>
        <w:t xml:space="preserve">) at Table 1 </w:t>
      </w:r>
      <w:r w:rsidRPr="00164B90" w:rsidR="004E7BFE">
        <w:rPr>
          <w:szCs w:val="22"/>
        </w:rPr>
        <w:t>(</w:t>
      </w:r>
      <w:r w:rsidRPr="00164B90" w:rsidR="005B1C38">
        <w:rPr>
          <w:szCs w:val="22"/>
        </w:rPr>
        <w:t>Selected Statistics of Responding Providers</w:t>
      </w:r>
      <w:r w:rsidRPr="00164B90" w:rsidR="004E7BFE">
        <w:rPr>
          <w:szCs w:val="22"/>
        </w:rPr>
        <w:t>)</w:t>
      </w:r>
      <w:r w:rsidRPr="00164B90" w:rsidR="005B1C38">
        <w:rPr>
          <w:szCs w:val="22"/>
        </w:rPr>
        <w:t xml:space="preserve"> and Table 6 </w:t>
      </w:r>
      <w:r w:rsidRPr="00164B90" w:rsidR="004E7BFE">
        <w:rPr>
          <w:szCs w:val="22"/>
        </w:rPr>
        <w:t>(</w:t>
      </w:r>
      <w:r w:rsidRPr="00164B90" w:rsidR="005B1C38">
        <w:rPr>
          <w:szCs w:val="22"/>
        </w:rPr>
        <w:t>Inmate Calling Services Revenues and Costs by Provider and for Industry (in $ millions)</w:t>
      </w:r>
      <w:r w:rsidR="00273B5F">
        <w:rPr>
          <w:szCs w:val="22"/>
        </w:rPr>
        <w:t>; Letter from Brian D. Oliver, Global Tel*Link Corporation, Richard A. Smith, Securus Technologies, Inc., Kevin O’Neil, Telmate, LLC</w:t>
      </w:r>
      <w:r w:rsidR="00CC4323">
        <w:rPr>
          <w:szCs w:val="22"/>
        </w:rPr>
        <w:t xml:space="preserve">, </w:t>
      </w:r>
      <w:r w:rsidR="00273B5F">
        <w:rPr>
          <w:szCs w:val="22"/>
        </w:rPr>
        <w:t>to FCC Chairman and Commissioners, WC Docket No. 12-375, at 1 (filed Sept. 15, 2014) (stating that GTL, Securus, and Telmate are the “primary providers of inmate calling services (</w:t>
      </w:r>
      <w:r w:rsidR="00CC4323">
        <w:rPr>
          <w:szCs w:val="22"/>
        </w:rPr>
        <w:t>‘</w:t>
      </w:r>
      <w:r w:rsidR="00273B5F">
        <w:rPr>
          <w:szCs w:val="22"/>
        </w:rPr>
        <w:t>ICS</w:t>
      </w:r>
      <w:r w:rsidR="00CC4323">
        <w:rPr>
          <w:szCs w:val="22"/>
        </w:rPr>
        <w:t>’</w:t>
      </w:r>
      <w:r w:rsidR="00273B5F">
        <w:rPr>
          <w:szCs w:val="22"/>
        </w:rPr>
        <w:t xml:space="preserve">) in the United States and represented 85% of the industry revenue in 2013…”) </w:t>
      </w:r>
      <w:r w:rsidR="00E00B40">
        <w:rPr>
          <w:szCs w:val="22"/>
        </w:rPr>
        <w:t>.</w:t>
      </w:r>
      <w:r w:rsidRPr="00164B90" w:rsidR="00E24FE3">
        <w:rPr>
          <w:szCs w:val="22"/>
        </w:rPr>
        <w:t xml:space="preserve"> </w:t>
      </w:r>
    </w:p>
  </w:footnote>
  <w:footnote w:id="20">
    <w:p w:rsidR="00A14064" w14:paraId="6CC94A20" w14:textId="0AAF64D3">
      <w:pPr>
        <w:pStyle w:val="FootnoteText"/>
      </w:pPr>
      <w:r>
        <w:rPr>
          <w:rStyle w:val="FootnoteReference"/>
        </w:rPr>
        <w:footnoteRef/>
      </w:r>
      <w:r>
        <w:t xml:space="preserve"> </w:t>
      </w:r>
      <w:r>
        <w:rPr>
          <w:i/>
          <w:iCs/>
        </w:rPr>
        <w:t>See</w:t>
      </w:r>
      <w:r>
        <w:t xml:space="preserve"> </w:t>
      </w:r>
      <w:r w:rsidRPr="004F4239">
        <w:rPr>
          <w:i/>
        </w:rPr>
        <w:t>Applications of Level 3 Communications, Inc. and CenturyLink, Inc. for Consent to Transfer Control of Licenses and Authorizations</w:t>
      </w:r>
      <w:r>
        <w:t>, Memorandum Opinion and Order, 32 FCC Rcd 9581, 9594, 9605, paras. 26 and 52 (2017) (</w:t>
      </w:r>
      <w:bookmarkStart w:id="7" w:name="_Hlk47434163"/>
      <w:r>
        <w:t>finding no harm to competition where applicants competed for certain services and stating that the t</w:t>
      </w:r>
      <w:r w:rsidRPr="00516C98">
        <w:t xml:space="preserve">ransaction </w:t>
      </w:r>
      <w:r>
        <w:t>would result in a newly</w:t>
      </w:r>
      <w:r w:rsidRPr="00516C98">
        <w:t xml:space="preserve"> combined firm </w:t>
      </w:r>
      <w:r>
        <w:t xml:space="preserve">that can be a </w:t>
      </w:r>
      <w:r w:rsidRPr="00516C98">
        <w:t xml:space="preserve">more effective and stronger competitor against larger </w:t>
      </w:r>
      <w:r>
        <w:t>providers</w:t>
      </w:r>
      <w:bookmarkEnd w:id="7"/>
      <w:r>
        <w:t>).</w:t>
      </w:r>
    </w:p>
  </w:footnote>
  <w:footnote w:id="21">
    <w:p w:rsidR="00986813" w:rsidRPr="00487CA0" w:rsidP="00986813" w14:paraId="33FCC587" w14:textId="77777777">
      <w:pPr>
        <w:pStyle w:val="FootnoteText"/>
        <w:rPr>
          <w:color w:val="000000"/>
        </w:rPr>
      </w:pPr>
      <w:r w:rsidRPr="00487CA0">
        <w:rPr>
          <w:rStyle w:val="FootnoteReference"/>
          <w:color w:val="000000"/>
          <w:sz w:val="20"/>
        </w:rPr>
        <w:footnoteRef/>
      </w:r>
      <w:r w:rsidRPr="00487CA0">
        <w:rPr>
          <w:color w:val="000000"/>
        </w:rPr>
        <w:t xml:space="preserve"> 47 CFR § 63.03.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59C84F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10A5F51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4515A18"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32DAF2D9" w14:textId="77777777">
                    <w:pPr>
                      <w:rPr>
                        <w:rFonts w:ascii="Arial" w:hAnsi="Arial"/>
                        <w:b/>
                      </w:rPr>
                    </w:pPr>
                    <w:r>
                      <w:rPr>
                        <w:rFonts w:ascii="Arial" w:hAnsi="Arial"/>
                        <w:b/>
                      </w:rPr>
                      <w:t>Federal Communications Commission</w:t>
                    </w:r>
                  </w:p>
                  <w:p w:rsidR="009838BC" w:rsidP="009838BC" w14:paraId="14A333F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40E63D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77919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FF9EA6A"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35A18EFF" w14:textId="77777777">
                    <w:pPr>
                      <w:spacing w:before="40"/>
                      <w:jc w:val="right"/>
                      <w:rPr>
                        <w:rFonts w:ascii="Arial" w:hAnsi="Arial"/>
                        <w:b/>
                        <w:sz w:val="16"/>
                      </w:rPr>
                    </w:pPr>
                    <w:r>
                      <w:rPr>
                        <w:rFonts w:ascii="Arial" w:hAnsi="Arial"/>
                        <w:b/>
                        <w:sz w:val="16"/>
                      </w:rPr>
                      <w:t>News Media Information 202 / 418-0500</w:t>
                    </w:r>
                  </w:p>
                  <w:p w:rsidR="009838BC" w:rsidP="009838BC" w14:paraId="11F7A548" w14:textId="77777777">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9838BC" w:rsidP="009838BC" w14:paraId="648C6A0F" w14:textId="77777777">
                    <w:pPr>
                      <w:jc w:val="right"/>
                    </w:pPr>
                    <w:r>
                      <w:rPr>
                        <w:rFonts w:ascii="Arial" w:hAnsi="Arial"/>
                        <w:b/>
                        <w:sz w:val="16"/>
                      </w:rPr>
                      <w:t>TTY: 1-888-835-5322</w:t>
                    </w:r>
                  </w:p>
                </w:txbxContent>
              </v:textbox>
            </v:shape>
          </w:pict>
        </mc:Fallback>
      </mc:AlternateContent>
    </w:r>
  </w:p>
  <w:p w:rsidR="006F7393" w:rsidRPr="009838BC" w:rsidP="009838BC" w14:paraId="71A2B7F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FA"/>
    <w:rsid w:val="000072CE"/>
    <w:rsid w:val="00013A8B"/>
    <w:rsid w:val="00021445"/>
    <w:rsid w:val="000276D6"/>
    <w:rsid w:val="00036039"/>
    <w:rsid w:val="00037F90"/>
    <w:rsid w:val="000501DF"/>
    <w:rsid w:val="000513B7"/>
    <w:rsid w:val="0007304F"/>
    <w:rsid w:val="000755FA"/>
    <w:rsid w:val="00081979"/>
    <w:rsid w:val="000875BF"/>
    <w:rsid w:val="00090879"/>
    <w:rsid w:val="00094BB8"/>
    <w:rsid w:val="00096D8C"/>
    <w:rsid w:val="000A719C"/>
    <w:rsid w:val="000C0B65"/>
    <w:rsid w:val="000E3D42"/>
    <w:rsid w:val="000E5884"/>
    <w:rsid w:val="000E6601"/>
    <w:rsid w:val="000F7AFB"/>
    <w:rsid w:val="00122BD5"/>
    <w:rsid w:val="001330FF"/>
    <w:rsid w:val="001415BA"/>
    <w:rsid w:val="001539F3"/>
    <w:rsid w:val="001541A8"/>
    <w:rsid w:val="00164B90"/>
    <w:rsid w:val="0018455C"/>
    <w:rsid w:val="00194549"/>
    <w:rsid w:val="001979D9"/>
    <w:rsid w:val="001A6361"/>
    <w:rsid w:val="001A6DBC"/>
    <w:rsid w:val="001B158F"/>
    <w:rsid w:val="001D6BCF"/>
    <w:rsid w:val="001E01CA"/>
    <w:rsid w:val="001F1CB2"/>
    <w:rsid w:val="001F1FF1"/>
    <w:rsid w:val="002060D9"/>
    <w:rsid w:val="002078DE"/>
    <w:rsid w:val="0021655B"/>
    <w:rsid w:val="0022664E"/>
    <w:rsid w:val="00226822"/>
    <w:rsid w:val="002334CD"/>
    <w:rsid w:val="00235FC2"/>
    <w:rsid w:val="00240A9F"/>
    <w:rsid w:val="0025072B"/>
    <w:rsid w:val="0025082C"/>
    <w:rsid w:val="00260594"/>
    <w:rsid w:val="00272AFF"/>
    <w:rsid w:val="00273B5F"/>
    <w:rsid w:val="00285017"/>
    <w:rsid w:val="0028560B"/>
    <w:rsid w:val="002A2D2E"/>
    <w:rsid w:val="002A6D6A"/>
    <w:rsid w:val="002B0207"/>
    <w:rsid w:val="002C71F0"/>
    <w:rsid w:val="002D62DD"/>
    <w:rsid w:val="002F2339"/>
    <w:rsid w:val="002F7221"/>
    <w:rsid w:val="002F78A0"/>
    <w:rsid w:val="00307030"/>
    <w:rsid w:val="0031328E"/>
    <w:rsid w:val="00343749"/>
    <w:rsid w:val="00357D50"/>
    <w:rsid w:val="003602FC"/>
    <w:rsid w:val="00383F27"/>
    <w:rsid w:val="003925DC"/>
    <w:rsid w:val="00395F38"/>
    <w:rsid w:val="003A27F5"/>
    <w:rsid w:val="003A3FC6"/>
    <w:rsid w:val="003B0550"/>
    <w:rsid w:val="003B694F"/>
    <w:rsid w:val="003C2436"/>
    <w:rsid w:val="003E1823"/>
    <w:rsid w:val="003E7B6C"/>
    <w:rsid w:val="003F171C"/>
    <w:rsid w:val="00412FC5"/>
    <w:rsid w:val="00413423"/>
    <w:rsid w:val="00422276"/>
    <w:rsid w:val="004242F1"/>
    <w:rsid w:val="004243FE"/>
    <w:rsid w:val="00445A00"/>
    <w:rsid w:val="00451B0F"/>
    <w:rsid w:val="0046125F"/>
    <w:rsid w:val="00466B8E"/>
    <w:rsid w:val="00487524"/>
    <w:rsid w:val="004876D1"/>
    <w:rsid w:val="00487CA0"/>
    <w:rsid w:val="004903BF"/>
    <w:rsid w:val="004928F5"/>
    <w:rsid w:val="004943CA"/>
    <w:rsid w:val="00496106"/>
    <w:rsid w:val="004B091D"/>
    <w:rsid w:val="004B0FC7"/>
    <w:rsid w:val="004B3B21"/>
    <w:rsid w:val="004C12D0"/>
    <w:rsid w:val="004C2475"/>
    <w:rsid w:val="004C2EE3"/>
    <w:rsid w:val="004D22C3"/>
    <w:rsid w:val="004D6BB1"/>
    <w:rsid w:val="004E153A"/>
    <w:rsid w:val="004E3FDC"/>
    <w:rsid w:val="004E4A22"/>
    <w:rsid w:val="004E7BFE"/>
    <w:rsid w:val="004F4239"/>
    <w:rsid w:val="00511968"/>
    <w:rsid w:val="00516C98"/>
    <w:rsid w:val="00550354"/>
    <w:rsid w:val="0055614C"/>
    <w:rsid w:val="005614FA"/>
    <w:rsid w:val="00577322"/>
    <w:rsid w:val="00581C61"/>
    <w:rsid w:val="00586114"/>
    <w:rsid w:val="005B1C38"/>
    <w:rsid w:val="005B345C"/>
    <w:rsid w:val="005C680A"/>
    <w:rsid w:val="005D0403"/>
    <w:rsid w:val="005E74A9"/>
    <w:rsid w:val="005F1BA6"/>
    <w:rsid w:val="00607BA5"/>
    <w:rsid w:val="00620DBB"/>
    <w:rsid w:val="00620F82"/>
    <w:rsid w:val="00625D42"/>
    <w:rsid w:val="00626EB6"/>
    <w:rsid w:val="006275B0"/>
    <w:rsid w:val="00631B71"/>
    <w:rsid w:val="006353A3"/>
    <w:rsid w:val="0063601B"/>
    <w:rsid w:val="00642E7B"/>
    <w:rsid w:val="00655D03"/>
    <w:rsid w:val="00664AB4"/>
    <w:rsid w:val="00683F84"/>
    <w:rsid w:val="006A6A81"/>
    <w:rsid w:val="006B066A"/>
    <w:rsid w:val="006B6F46"/>
    <w:rsid w:val="006D241D"/>
    <w:rsid w:val="006D40DD"/>
    <w:rsid w:val="006D72B1"/>
    <w:rsid w:val="006E26AF"/>
    <w:rsid w:val="006F3879"/>
    <w:rsid w:val="006F7393"/>
    <w:rsid w:val="0070224F"/>
    <w:rsid w:val="007115F7"/>
    <w:rsid w:val="00715046"/>
    <w:rsid w:val="00785689"/>
    <w:rsid w:val="00786972"/>
    <w:rsid w:val="0079754B"/>
    <w:rsid w:val="007A1E6D"/>
    <w:rsid w:val="007B3130"/>
    <w:rsid w:val="007C2228"/>
    <w:rsid w:val="007C674D"/>
    <w:rsid w:val="007D3761"/>
    <w:rsid w:val="007D6054"/>
    <w:rsid w:val="007E7363"/>
    <w:rsid w:val="008068FD"/>
    <w:rsid w:val="00822CE0"/>
    <w:rsid w:val="00825E7D"/>
    <w:rsid w:val="0083155B"/>
    <w:rsid w:val="00831CCD"/>
    <w:rsid w:val="00837C62"/>
    <w:rsid w:val="00841AB1"/>
    <w:rsid w:val="00845944"/>
    <w:rsid w:val="00851E64"/>
    <w:rsid w:val="008670A1"/>
    <w:rsid w:val="00875F60"/>
    <w:rsid w:val="00880549"/>
    <w:rsid w:val="00890537"/>
    <w:rsid w:val="008A6493"/>
    <w:rsid w:val="008C22FD"/>
    <w:rsid w:val="008C2513"/>
    <w:rsid w:val="008D3674"/>
    <w:rsid w:val="008F67EE"/>
    <w:rsid w:val="00910F12"/>
    <w:rsid w:val="00921194"/>
    <w:rsid w:val="00926503"/>
    <w:rsid w:val="00930ECF"/>
    <w:rsid w:val="00943B23"/>
    <w:rsid w:val="009457E4"/>
    <w:rsid w:val="0096671F"/>
    <w:rsid w:val="00976129"/>
    <w:rsid w:val="009813B7"/>
    <w:rsid w:val="009838BC"/>
    <w:rsid w:val="00986813"/>
    <w:rsid w:val="009A65B8"/>
    <w:rsid w:val="009B3988"/>
    <w:rsid w:val="009B4344"/>
    <w:rsid w:val="009B63B0"/>
    <w:rsid w:val="009D36AB"/>
    <w:rsid w:val="009E0A80"/>
    <w:rsid w:val="009F20BD"/>
    <w:rsid w:val="00A14064"/>
    <w:rsid w:val="00A15495"/>
    <w:rsid w:val="00A3112C"/>
    <w:rsid w:val="00A45F4F"/>
    <w:rsid w:val="00A600A9"/>
    <w:rsid w:val="00A6263A"/>
    <w:rsid w:val="00A866AC"/>
    <w:rsid w:val="00A9123C"/>
    <w:rsid w:val="00A950E2"/>
    <w:rsid w:val="00A960A7"/>
    <w:rsid w:val="00AA55B7"/>
    <w:rsid w:val="00AA5B9E"/>
    <w:rsid w:val="00AB2407"/>
    <w:rsid w:val="00AB53DF"/>
    <w:rsid w:val="00AD50D4"/>
    <w:rsid w:val="00B07E5C"/>
    <w:rsid w:val="00B326E3"/>
    <w:rsid w:val="00B339CC"/>
    <w:rsid w:val="00B36901"/>
    <w:rsid w:val="00B42442"/>
    <w:rsid w:val="00B44339"/>
    <w:rsid w:val="00B52758"/>
    <w:rsid w:val="00B7124D"/>
    <w:rsid w:val="00B72A04"/>
    <w:rsid w:val="00B73C0C"/>
    <w:rsid w:val="00B7663F"/>
    <w:rsid w:val="00B811F7"/>
    <w:rsid w:val="00B82285"/>
    <w:rsid w:val="00B84BD2"/>
    <w:rsid w:val="00B959E6"/>
    <w:rsid w:val="00BA5DC6"/>
    <w:rsid w:val="00BA6196"/>
    <w:rsid w:val="00BC6D8C"/>
    <w:rsid w:val="00BD1F31"/>
    <w:rsid w:val="00BE250E"/>
    <w:rsid w:val="00BF07B3"/>
    <w:rsid w:val="00BF4751"/>
    <w:rsid w:val="00C07140"/>
    <w:rsid w:val="00C16AF2"/>
    <w:rsid w:val="00C275E6"/>
    <w:rsid w:val="00C34006"/>
    <w:rsid w:val="00C35272"/>
    <w:rsid w:val="00C367FB"/>
    <w:rsid w:val="00C41C27"/>
    <w:rsid w:val="00C426B1"/>
    <w:rsid w:val="00C50A2E"/>
    <w:rsid w:val="00C6700C"/>
    <w:rsid w:val="00C7200D"/>
    <w:rsid w:val="00C82B6B"/>
    <w:rsid w:val="00C90D6A"/>
    <w:rsid w:val="00CB1286"/>
    <w:rsid w:val="00CC4323"/>
    <w:rsid w:val="00CC6A10"/>
    <w:rsid w:val="00CC72B6"/>
    <w:rsid w:val="00D0218D"/>
    <w:rsid w:val="00D04868"/>
    <w:rsid w:val="00D12B3C"/>
    <w:rsid w:val="00D216CD"/>
    <w:rsid w:val="00D238CC"/>
    <w:rsid w:val="00D304D1"/>
    <w:rsid w:val="00D37062"/>
    <w:rsid w:val="00D8081B"/>
    <w:rsid w:val="00D8472B"/>
    <w:rsid w:val="00D851AB"/>
    <w:rsid w:val="00DA2529"/>
    <w:rsid w:val="00DA455F"/>
    <w:rsid w:val="00DA4E72"/>
    <w:rsid w:val="00DA77F0"/>
    <w:rsid w:val="00DB130A"/>
    <w:rsid w:val="00DB54CA"/>
    <w:rsid w:val="00DC10A1"/>
    <w:rsid w:val="00DC655F"/>
    <w:rsid w:val="00DD0F22"/>
    <w:rsid w:val="00DD7EBD"/>
    <w:rsid w:val="00DE4B07"/>
    <w:rsid w:val="00DF1B24"/>
    <w:rsid w:val="00DF62B6"/>
    <w:rsid w:val="00E00B40"/>
    <w:rsid w:val="00E04716"/>
    <w:rsid w:val="00E07225"/>
    <w:rsid w:val="00E155B7"/>
    <w:rsid w:val="00E24FE3"/>
    <w:rsid w:val="00E5409F"/>
    <w:rsid w:val="00E72298"/>
    <w:rsid w:val="00E96B4B"/>
    <w:rsid w:val="00EB2C44"/>
    <w:rsid w:val="00EC0185"/>
    <w:rsid w:val="00EC2B71"/>
    <w:rsid w:val="00EC6BAD"/>
    <w:rsid w:val="00ED33DB"/>
    <w:rsid w:val="00ED6F96"/>
    <w:rsid w:val="00EE0028"/>
    <w:rsid w:val="00EF479F"/>
    <w:rsid w:val="00F021FA"/>
    <w:rsid w:val="00F14D69"/>
    <w:rsid w:val="00F37BD3"/>
    <w:rsid w:val="00F57ACA"/>
    <w:rsid w:val="00F62E97"/>
    <w:rsid w:val="00F64209"/>
    <w:rsid w:val="00F66D37"/>
    <w:rsid w:val="00F72B31"/>
    <w:rsid w:val="00F73399"/>
    <w:rsid w:val="00F93BF5"/>
    <w:rsid w:val="00F96F63"/>
    <w:rsid w:val="00FA3284"/>
    <w:rsid w:val="00FB0646"/>
    <w:rsid w:val="00FB2027"/>
    <w:rsid w:val="00FB3EDD"/>
    <w:rsid w:val="00FC565D"/>
    <w:rsid w:val="00FD3A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1745E62-4918-408B-BC0D-678FF1CB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0E3D42"/>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semiHidden/>
    <w:unhideWhenUsed/>
    <w:rsid w:val="00642E7B"/>
    <w:rPr>
      <w:sz w:val="20"/>
    </w:rPr>
  </w:style>
  <w:style w:type="character" w:customStyle="1" w:styleId="CommentTextChar">
    <w:name w:val="Comment Text Char"/>
    <w:link w:val="CommentText"/>
    <w:uiPriority w:val="99"/>
    <w:semiHidden/>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383F27"/>
  </w:style>
  <w:style w:type="paragraph" w:styleId="NormalWeb">
    <w:name w:val="Normal (Web)"/>
    <w:basedOn w:val="Normal"/>
    <w:uiPriority w:val="99"/>
    <w:semiHidden/>
    <w:unhideWhenUsed/>
    <w:rsid w:val="00BF07B3"/>
    <w:pPr>
      <w:widowControl/>
      <w:spacing w:before="100" w:beforeAutospacing="1" w:after="100" w:afterAutospacing="1"/>
    </w:pPr>
    <w:rPr>
      <w:rFonts w:ascii="Calibri" w:hAnsi="Calibri" w:eastAsiaTheme="minorHAnsi" w:cs="Calibri"/>
      <w:snapToGrid/>
      <w:kern w:val="0"/>
      <w:szCs w:val="22"/>
    </w:rPr>
  </w:style>
  <w:style w:type="character" w:customStyle="1" w:styleId="UnresolvedMention">
    <w:name w:val="Unresolved Mention"/>
    <w:basedOn w:val="DefaultParagraphFont"/>
    <w:uiPriority w:val="99"/>
    <w:rsid w:val="00E24FE3"/>
    <w:rPr>
      <w:color w:val="605E5C"/>
      <w:shd w:val="clear" w:color="auto" w:fill="E1DFDD"/>
    </w:rPr>
  </w:style>
  <w:style w:type="paragraph" w:styleId="Revision">
    <w:name w:val="Revision"/>
    <w:hidden/>
    <w:uiPriority w:val="99"/>
    <w:semiHidden/>
    <w:rsid w:val="00A960A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justice.gov/opa/pr/securus-technologies-abandons-proposed-acquisition-inmate-calling-solutions-after-justice"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