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8E1431" w:rsidP="008E1431" w14:paraId="05077192" w14:textId="4F0B883B">
      <w:pPr>
        <w:jc w:val="right"/>
        <w:rPr>
          <w:b/>
        </w:rPr>
      </w:pPr>
      <w:bookmarkStart w:id="0" w:name="_Hlk44075464"/>
      <w:r>
        <w:tab/>
      </w:r>
      <w:r>
        <w:tab/>
      </w:r>
      <w:r>
        <w:tab/>
      </w:r>
      <w:r>
        <w:tab/>
      </w:r>
      <w:r>
        <w:tab/>
      </w:r>
      <w:r>
        <w:tab/>
      </w:r>
      <w:r>
        <w:tab/>
      </w:r>
      <w:r>
        <w:tab/>
      </w:r>
      <w:r>
        <w:tab/>
      </w:r>
      <w:r>
        <w:tab/>
      </w:r>
      <w:r>
        <w:tab/>
      </w:r>
      <w:r>
        <w:rPr>
          <w:b/>
        </w:rPr>
        <w:t xml:space="preserve">DA </w:t>
      </w:r>
      <w:r w:rsidR="0014734A">
        <w:rPr>
          <w:b/>
        </w:rPr>
        <w:t>20-878</w:t>
      </w:r>
    </w:p>
    <w:p w:rsidR="008E1431" w:rsidP="008E1431" w14:paraId="099C971A" w14:textId="50985A13">
      <w:pPr>
        <w:jc w:val="right"/>
        <w:rPr>
          <w:b/>
        </w:rPr>
      </w:pPr>
      <w:r>
        <w:rPr>
          <w:b/>
        </w:rPr>
        <w:tab/>
      </w:r>
      <w:r>
        <w:rPr>
          <w:b/>
        </w:rPr>
        <w:tab/>
      </w:r>
      <w:r>
        <w:rPr>
          <w:b/>
        </w:rPr>
        <w:tab/>
      </w:r>
      <w:r>
        <w:rPr>
          <w:b/>
        </w:rPr>
        <w:tab/>
      </w:r>
      <w:r>
        <w:rPr>
          <w:b/>
        </w:rPr>
        <w:tab/>
      </w:r>
      <w:r>
        <w:rPr>
          <w:b/>
        </w:rPr>
        <w:tab/>
      </w:r>
      <w:r>
        <w:rPr>
          <w:b/>
        </w:rPr>
        <w:tab/>
      </w:r>
      <w:r>
        <w:rPr>
          <w:b/>
        </w:rPr>
        <w:tab/>
      </w:r>
      <w:r>
        <w:rPr>
          <w:b/>
        </w:rPr>
        <w:tab/>
        <w:t xml:space="preserve">Released </w:t>
      </w:r>
      <w:r w:rsidR="006D429A">
        <w:rPr>
          <w:b/>
        </w:rPr>
        <w:t xml:space="preserve">August </w:t>
      </w:r>
      <w:r w:rsidR="009351CF">
        <w:rPr>
          <w:b/>
        </w:rPr>
        <w:t>13</w:t>
      </w:r>
      <w:r w:rsidR="006D429A">
        <w:rPr>
          <w:b/>
        </w:rPr>
        <w:t>,</w:t>
      </w:r>
      <w:r>
        <w:rPr>
          <w:b/>
        </w:rPr>
        <w:t xml:space="preserve"> 2020</w:t>
      </w:r>
    </w:p>
    <w:p w:rsidR="008E1431" w:rsidP="008E1431" w14:paraId="575D889A" w14:textId="77777777">
      <w:pPr>
        <w:rPr>
          <w:b/>
        </w:rPr>
      </w:pPr>
    </w:p>
    <w:p w:rsidR="008E1431" w:rsidP="008E1431" w14:paraId="3A4E52B7" w14:textId="77777777">
      <w:pPr>
        <w:spacing w:after="120"/>
        <w:contextualSpacing/>
        <w:jc w:val="center"/>
        <w:rPr>
          <w:b/>
          <w:szCs w:val="22"/>
        </w:rPr>
      </w:pPr>
      <w:r>
        <w:rPr>
          <w:b/>
          <w:szCs w:val="22"/>
        </w:rPr>
        <w:t>CHAIRMAN PAI ANNOUNCES THE NEW MEMBERS OF THE</w:t>
      </w:r>
    </w:p>
    <w:p w:rsidR="008E1431" w:rsidP="00481DA5" w14:paraId="69C7F6FE" w14:textId="77777777">
      <w:pPr>
        <w:tabs>
          <w:tab w:val="left" w:pos="1152"/>
          <w:tab w:val="center" w:pos="4680"/>
        </w:tabs>
        <w:rPr>
          <w:b/>
          <w:szCs w:val="22"/>
        </w:rPr>
      </w:pPr>
      <w:r>
        <w:rPr>
          <w:b/>
          <w:szCs w:val="22"/>
        </w:rPr>
        <w:tab/>
      </w:r>
      <w:r>
        <w:rPr>
          <w:b/>
          <w:szCs w:val="22"/>
        </w:rPr>
        <w:tab/>
      </w:r>
      <w:r>
        <w:rPr>
          <w:b/>
          <w:szCs w:val="22"/>
        </w:rPr>
        <w:t>INTERGOVERNMENTAL ADVISORY COMMITTEE</w:t>
      </w:r>
    </w:p>
    <w:p w:rsidR="008E1431" w:rsidP="008E1431" w14:paraId="375B572D" w14:textId="77777777">
      <w:pPr>
        <w:rPr>
          <w:b/>
          <w:szCs w:val="22"/>
        </w:rPr>
      </w:pPr>
    </w:p>
    <w:p w:rsidR="008E1431" w:rsidP="008E1431" w14:paraId="462C1836" w14:textId="318F2320">
      <w:pPr>
        <w:spacing w:after="120"/>
        <w:ind w:firstLine="720"/>
        <w:contextualSpacing/>
      </w:pPr>
      <w:r>
        <w:t xml:space="preserve">Chairman Ajit Pai today announced the new members of the FCC’s Intergovernmental Advisory Committee (IAC) and named Paul J. </w:t>
      </w:r>
      <w:r>
        <w:t>TenHaken</w:t>
      </w:r>
      <w:r>
        <w:t>, Mayor of Sioux Falls, SD, Chair of the IAC</w:t>
      </w:r>
      <w:r w:rsidR="00381F95">
        <w:t xml:space="preserve"> and </w:t>
      </w:r>
      <w:r w:rsidRPr="00381F95" w:rsidR="00381F95">
        <w:t>Peter J. Larkin, Chairman of the Board of the Massachusetts Broadband Institute</w:t>
      </w:r>
      <w:r w:rsidR="00381F95">
        <w:t>, as Vice-Chair</w:t>
      </w:r>
      <w:r>
        <w:t>.  The IAC is comprised of elected and appointed officials of municipal, county, state, and Tribal governments and provides guidance, expertise, and recommendations to the Commission on a range of telecommunication issues for which local, state, and Tribal governments explicitly or inherently share responsibility or administration with the Commission.</w:t>
      </w:r>
      <w:bookmarkStart w:id="1" w:name="_Hlk41563981"/>
    </w:p>
    <w:p w:rsidR="008E1431" w:rsidP="008E1431" w14:paraId="24A9B8AB" w14:textId="77777777"/>
    <w:bookmarkEnd w:id="1"/>
    <w:p w:rsidR="008E1431" w:rsidP="008E1431" w14:paraId="1E1E44ED" w14:textId="77777777">
      <w:pPr>
        <w:jc w:val="center"/>
        <w:rPr>
          <w:b/>
          <w:szCs w:val="22"/>
        </w:rPr>
      </w:pPr>
      <w:r>
        <w:rPr>
          <w:b/>
          <w:szCs w:val="22"/>
        </w:rPr>
        <w:t>BACKGROUND AND MISSION</w:t>
      </w:r>
    </w:p>
    <w:p w:rsidR="008E1431" w:rsidP="008E1431" w14:paraId="0A46F28C" w14:textId="77777777">
      <w:pPr>
        <w:rPr>
          <w:b/>
          <w:szCs w:val="22"/>
        </w:rPr>
      </w:pPr>
    </w:p>
    <w:p w:rsidR="008E1431" w:rsidP="008C7903" w14:paraId="5ED38C0C" w14:textId="77777777">
      <w:pPr>
        <w:spacing w:after="120"/>
        <w:ind w:firstLine="720"/>
        <w:contextualSpacing/>
        <w:rPr>
          <w:color w:val="010101"/>
        </w:rPr>
      </w:pPr>
      <w:r>
        <w:t>On November 6, 2019, the Commission announced the reauthorization of the IAC, whose prior term expired September 24, 2019, and sought nominations for membership to the committee</w:t>
      </w:r>
      <w:r>
        <w:rPr>
          <w:szCs w:val="22"/>
        </w:rPr>
        <w:t>.</w:t>
      </w:r>
      <w:r>
        <w:rPr>
          <w:rStyle w:val="FootnoteReference"/>
        </w:rPr>
        <w:footnoteReference w:id="3"/>
      </w:r>
      <w:r>
        <w:rPr>
          <w:szCs w:val="22"/>
        </w:rPr>
        <w:t xml:space="preserve">  </w:t>
      </w:r>
      <w:r>
        <w:t>The reauthorized IAC will operate for two years, with an option for the Commission to reauthorize it at the end of the two-year period.</w:t>
      </w:r>
      <w:r>
        <w:rPr>
          <w:rStyle w:val="FootnoteReference"/>
        </w:rPr>
        <w:footnoteReference w:id="4"/>
      </w:r>
      <w:r>
        <w:t xml:space="preserve">  The term will commence </w:t>
      </w:r>
      <w:r>
        <w:rPr>
          <w:color w:val="010101"/>
        </w:rPr>
        <w:t>with the new IAC’s first meeting.</w:t>
      </w:r>
    </w:p>
    <w:p w:rsidR="008E1431" w:rsidP="008E1431" w14:paraId="74B0821F" w14:textId="77777777">
      <w:pPr>
        <w:rPr>
          <w:color w:val="010101"/>
        </w:rPr>
      </w:pPr>
    </w:p>
    <w:p w:rsidR="008E1431" w:rsidP="008E1431" w14:paraId="327CD054" w14:textId="77777777">
      <w:pPr>
        <w:spacing w:after="120"/>
        <w:ind w:firstLine="720"/>
        <w:contextualSpacing/>
      </w:pPr>
      <w:r>
        <w:t>During its two-year term, the IAC may be tasked by the Chairman to produce specific deliverables that will further the Commission’s mission and objectives, which may include, but not be limited to, those related to increasing deployment and adoption of broadband services, strengthening public safety communications infrastructure and emergency response capabilities, and any other task necessary to help local, state, and Tribal government officials clarify or explain Commission rules and policies to their constituents and other members of the public.  The Office of Intergovernmental Affairs (IGA) within the Consumer &amp; Governmental Affairs Bureau is the Chairman’s designee to serve as liaison to the IAC and provide oversight of the committee.</w:t>
      </w:r>
    </w:p>
    <w:p w:rsidR="008E1431" w:rsidP="008E1431" w14:paraId="79510419" w14:textId="77777777"/>
    <w:p w:rsidR="008E1431" w:rsidP="008E1431" w14:paraId="34172E44" w14:textId="77777777">
      <w:pPr>
        <w:jc w:val="center"/>
        <w:rPr>
          <w:b/>
          <w:szCs w:val="22"/>
        </w:rPr>
      </w:pPr>
      <w:r>
        <w:rPr>
          <w:b/>
          <w:szCs w:val="22"/>
        </w:rPr>
        <w:t>COMPOSITION OF THE IAC</w:t>
      </w:r>
    </w:p>
    <w:p w:rsidR="008E1431" w:rsidP="008E1431" w14:paraId="7856B1DA" w14:textId="77777777">
      <w:pPr>
        <w:jc w:val="center"/>
        <w:rPr>
          <w:b/>
          <w:szCs w:val="22"/>
        </w:rPr>
      </w:pPr>
    </w:p>
    <w:p w:rsidR="008E1431" w:rsidP="008E1431" w14:paraId="30F1FF84" w14:textId="72A0F746">
      <w:pPr>
        <w:widowControl/>
        <w:spacing w:after="120"/>
        <w:ind w:firstLine="720"/>
        <w:contextualSpacing/>
      </w:pPr>
      <w:r>
        <w:t>Pursuant to Section 0.701(b) of the Commission’s rules, the IAC consists of thirty members (or their designated employees)</w:t>
      </w:r>
      <w:r w:rsidR="000856CC">
        <w:t>,</w:t>
      </w:r>
      <w:r w:rsidRPr="000856CC" w:rsidR="000856CC">
        <w:t xml:space="preserve"> with a minimum </w:t>
      </w:r>
      <w:r>
        <w:t xml:space="preserve">of </w:t>
      </w:r>
      <w:r>
        <w:rPr>
          <w:color w:val="010101"/>
          <w:szCs w:val="22"/>
        </w:rPr>
        <w:t xml:space="preserve">four elected municipal officials (city mayors and city council members); two elected county officials (county commissioners or council members); one elected or appointed local government attorney; one elected state executive (governor or lieutenant governor); </w:t>
      </w:r>
      <w:r>
        <w:rPr>
          <w:color w:val="010101"/>
          <w:szCs w:val="22"/>
        </w:rPr>
        <w:t>three elected state legislators; one elected or appointed public utilities or public service commissioner; and three elected or appointed Tribal representatives.</w:t>
      </w:r>
      <w:r>
        <w:rPr>
          <w:rStyle w:val="FootnoteReference"/>
          <w:color w:val="010101"/>
          <w:szCs w:val="22"/>
        </w:rPr>
        <w:footnoteReference w:id="5"/>
      </w:r>
    </w:p>
    <w:p w:rsidR="008E1431" w:rsidP="008E1431" w14:paraId="4EE44697" w14:textId="77777777">
      <w:pPr>
        <w:spacing w:after="120"/>
        <w:contextualSpacing/>
        <w:rPr>
          <w:b/>
          <w:szCs w:val="22"/>
        </w:rPr>
      </w:pPr>
    </w:p>
    <w:p w:rsidR="008E1431" w:rsidP="008E1431" w14:paraId="2674EE51" w14:textId="77777777">
      <w:pPr>
        <w:spacing w:after="120"/>
        <w:contextualSpacing/>
        <w:jc w:val="center"/>
        <w:rPr>
          <w:b/>
          <w:szCs w:val="22"/>
        </w:rPr>
      </w:pPr>
      <w:r>
        <w:rPr>
          <w:b/>
          <w:szCs w:val="22"/>
        </w:rPr>
        <w:t>MEMBERS OF THE IAC</w:t>
      </w:r>
    </w:p>
    <w:p w:rsidR="008E1431" w:rsidP="008E1431" w14:paraId="6EE75CA2" w14:textId="77777777">
      <w:pPr>
        <w:pStyle w:val="ListParagraph"/>
        <w:spacing w:after="120"/>
        <w:ind w:left="0"/>
        <w:rPr>
          <w:b/>
          <w:color w:val="010101"/>
          <w:szCs w:val="22"/>
        </w:rPr>
      </w:pPr>
      <w:r>
        <w:rPr>
          <w:b/>
          <w:szCs w:val="22"/>
        </w:rPr>
        <w:t>The newly appointed IAC members are:</w:t>
      </w:r>
    </w:p>
    <w:p w:rsidR="008E1431" w:rsidP="008E1431" w14:paraId="3CD9B06F" w14:textId="77777777">
      <w:pPr>
        <w:pStyle w:val="ListParagraph"/>
        <w:spacing w:after="120"/>
        <w:ind w:left="0"/>
        <w:contextualSpacing/>
        <w:rPr>
          <w:b/>
          <w:szCs w:val="22"/>
        </w:rPr>
      </w:pPr>
      <w:r>
        <w:rPr>
          <w:b/>
          <w:szCs w:val="22"/>
        </w:rPr>
        <w:t>State Executive Representatives (3)</w:t>
      </w:r>
    </w:p>
    <w:p w:rsidR="008E1431" w:rsidP="008E1431" w14:paraId="0652564A" w14:textId="77777777">
      <w:pPr>
        <w:spacing w:after="120"/>
        <w:ind w:left="720"/>
        <w:contextualSpacing/>
        <w:rPr>
          <w:szCs w:val="22"/>
        </w:rPr>
      </w:pPr>
      <w:r>
        <w:rPr>
          <w:szCs w:val="22"/>
        </w:rPr>
        <w:t>Eric Holcomb, Governor, Indiana</w:t>
      </w:r>
      <w:bookmarkStart w:id="4" w:name="_Hlk41562497"/>
    </w:p>
    <w:bookmarkEnd w:id="4"/>
    <w:p w:rsidR="008E1431" w:rsidP="008E1431" w14:paraId="1FC4FEB2" w14:textId="243B2647">
      <w:pPr>
        <w:spacing w:after="120"/>
        <w:ind w:left="720"/>
        <w:rPr>
          <w:szCs w:val="22"/>
        </w:rPr>
      </w:pPr>
      <w:r>
        <w:rPr>
          <w:szCs w:val="22"/>
        </w:rPr>
        <w:tab/>
        <w:t>Designee:  Robert E. Carter, Commissioner, State of Indiana Department of Corrections</w:t>
      </w:r>
    </w:p>
    <w:p w:rsidR="008E1431" w:rsidP="008E1431" w14:paraId="636BB3C6" w14:textId="77777777">
      <w:pPr>
        <w:spacing w:after="120"/>
        <w:ind w:left="720"/>
      </w:pPr>
      <w:r>
        <w:t>John Husted, Lieutenant Governor, Ohio</w:t>
      </w:r>
    </w:p>
    <w:p w:rsidR="008E1431" w:rsidP="008E1431" w14:paraId="35DCAD37" w14:textId="77777777">
      <w:pPr>
        <w:spacing w:after="120"/>
        <w:ind w:left="720"/>
        <w:contextualSpacing/>
        <w:rPr>
          <w:szCs w:val="22"/>
        </w:rPr>
      </w:pPr>
      <w:r>
        <w:rPr>
          <w:szCs w:val="22"/>
        </w:rPr>
        <w:t>Karyn E. Polito, Lieutenant Governor, Massachusetts</w:t>
      </w:r>
    </w:p>
    <w:p w:rsidR="008E1431" w:rsidP="008E1431" w14:paraId="6DEDDB3D" w14:textId="77777777">
      <w:pPr>
        <w:spacing w:after="120"/>
        <w:ind w:left="1440"/>
        <w:contextualSpacing/>
      </w:pPr>
      <w:r>
        <w:t xml:space="preserve">Designee:  </w:t>
      </w:r>
      <w:bookmarkStart w:id="5" w:name="_Hlk46388341"/>
      <w:r>
        <w:t>Peter J. Larkin, Chairman of the Board of the Massachusetts Broadband Institute</w:t>
      </w:r>
      <w:bookmarkEnd w:id="5"/>
      <w:r>
        <w:t xml:space="preserve"> at the Massachusetts Technology Collaborative and Special Advisor to the Executive Office of Housing and Economic Development</w:t>
      </w:r>
      <w:r w:rsidR="00481DA5">
        <w:t xml:space="preserve"> (IAC Vice-Chair)</w:t>
      </w:r>
    </w:p>
    <w:p w:rsidR="008E1431" w:rsidP="008E1431" w14:paraId="59009F35" w14:textId="77777777">
      <w:pPr>
        <w:contextualSpacing/>
      </w:pPr>
    </w:p>
    <w:p w:rsidR="008E1431" w:rsidP="008E1431" w14:paraId="07E88B66" w14:textId="77777777">
      <w:pPr>
        <w:pStyle w:val="ListParagraph"/>
        <w:spacing w:after="120"/>
        <w:ind w:left="0"/>
        <w:contextualSpacing/>
        <w:rPr>
          <w:b/>
          <w:szCs w:val="22"/>
        </w:rPr>
      </w:pPr>
      <w:r>
        <w:rPr>
          <w:b/>
          <w:szCs w:val="22"/>
        </w:rPr>
        <w:t>Municipal Representatives (12)</w:t>
      </w:r>
    </w:p>
    <w:p w:rsidR="008E1431" w:rsidP="008E1431" w14:paraId="7F38850B" w14:textId="77777777">
      <w:pPr>
        <w:spacing w:after="120"/>
        <w:ind w:left="720"/>
        <w:rPr>
          <w:szCs w:val="22"/>
        </w:rPr>
      </w:pPr>
      <w:r>
        <w:rPr>
          <w:szCs w:val="22"/>
        </w:rPr>
        <w:t xml:space="preserve">Paul </w:t>
      </w:r>
      <w:r>
        <w:rPr>
          <w:szCs w:val="22"/>
        </w:rPr>
        <w:t>TenHaken</w:t>
      </w:r>
      <w:r>
        <w:rPr>
          <w:szCs w:val="22"/>
        </w:rPr>
        <w:t>, Mayor, City of Sioux Falls, South Dakota (IAC Chair)</w:t>
      </w:r>
    </w:p>
    <w:p w:rsidR="008E1431" w:rsidP="008E1431" w14:paraId="3654F1A8" w14:textId="77777777">
      <w:pPr>
        <w:spacing w:after="120"/>
        <w:ind w:left="720"/>
        <w:rPr>
          <w:szCs w:val="22"/>
        </w:rPr>
      </w:pPr>
      <w:r>
        <w:rPr>
          <w:szCs w:val="22"/>
        </w:rPr>
        <w:t>Steve Adler, Mayor, City of Austin, Texas</w:t>
      </w:r>
    </w:p>
    <w:p w:rsidR="008E1431" w:rsidP="008E1431" w14:paraId="73C77AD7" w14:textId="77777777">
      <w:pPr>
        <w:spacing w:after="120"/>
        <w:ind w:left="720"/>
        <w:rPr>
          <w:szCs w:val="22"/>
        </w:rPr>
      </w:pPr>
      <w:r>
        <w:rPr>
          <w:szCs w:val="22"/>
        </w:rPr>
        <w:t>James R Clark, Town Council Member, Town of Orleans, Indiana</w:t>
      </w:r>
    </w:p>
    <w:p w:rsidR="008E1431" w:rsidP="008E1431" w14:paraId="46C08EE1" w14:textId="77777777">
      <w:pPr>
        <w:spacing w:after="120"/>
        <w:ind w:left="720"/>
        <w:rPr>
          <w:szCs w:val="22"/>
        </w:rPr>
      </w:pPr>
      <w:r>
        <w:rPr>
          <w:szCs w:val="22"/>
        </w:rPr>
        <w:t>Jenn Daniels, Mayor, Town of Gilbert, Arizona</w:t>
      </w:r>
    </w:p>
    <w:p w:rsidR="008E1431" w:rsidP="008E1431" w14:paraId="6436227B" w14:textId="77777777">
      <w:pPr>
        <w:spacing w:after="120"/>
        <w:ind w:left="720"/>
        <w:rPr>
          <w:szCs w:val="22"/>
        </w:rPr>
      </w:pPr>
      <w:r>
        <w:rPr>
          <w:szCs w:val="22"/>
        </w:rPr>
        <w:t>Alix Desulme, City Councilman, City of North Miami, Florida</w:t>
      </w:r>
    </w:p>
    <w:p w:rsidR="008E1431" w:rsidP="008E1431" w14:paraId="0BD5B33C" w14:textId="77777777">
      <w:pPr>
        <w:spacing w:after="120"/>
        <w:ind w:left="720"/>
        <w:contextualSpacing/>
        <w:rPr>
          <w:szCs w:val="22"/>
        </w:rPr>
      </w:pPr>
      <w:r>
        <w:rPr>
          <w:szCs w:val="22"/>
        </w:rPr>
        <w:t>Mike Duggan, Mayor, City of Detroit, Michigan</w:t>
      </w:r>
    </w:p>
    <w:p w:rsidR="008E1431" w:rsidP="008E1431" w14:paraId="2049C384" w14:textId="77777777">
      <w:pPr>
        <w:spacing w:after="120"/>
        <w:ind w:left="720"/>
        <w:rPr>
          <w:szCs w:val="22"/>
        </w:rPr>
      </w:pPr>
      <w:r>
        <w:rPr>
          <w:szCs w:val="22"/>
        </w:rPr>
        <w:tab/>
        <w:t>Designee:  Joshua Edmonds, Director of Digital Inclusion, City of Detroit</w:t>
      </w:r>
    </w:p>
    <w:p w:rsidR="008E1431" w:rsidP="008E1431" w14:paraId="48DE53B4" w14:textId="77777777">
      <w:pPr>
        <w:spacing w:after="120"/>
        <w:ind w:left="720"/>
        <w:rPr>
          <w:szCs w:val="22"/>
        </w:rPr>
      </w:pPr>
      <w:r>
        <w:rPr>
          <w:szCs w:val="22"/>
        </w:rPr>
        <w:t xml:space="preserve">Scott A. </w:t>
      </w:r>
      <w:r>
        <w:rPr>
          <w:szCs w:val="22"/>
        </w:rPr>
        <w:t>Fadness</w:t>
      </w:r>
      <w:r>
        <w:rPr>
          <w:szCs w:val="22"/>
        </w:rPr>
        <w:t>, Mayor, City of Fishers, Indiana</w:t>
      </w:r>
    </w:p>
    <w:p w:rsidR="008E1431" w:rsidP="008E1431" w14:paraId="143DF570" w14:textId="77777777">
      <w:pPr>
        <w:spacing w:after="120"/>
        <w:ind w:left="720"/>
        <w:rPr>
          <w:szCs w:val="22"/>
        </w:rPr>
      </w:pPr>
      <w:r>
        <w:rPr>
          <w:szCs w:val="22"/>
        </w:rPr>
        <w:t>John Fogle, City Councilor, City of Loveland, Colorado</w:t>
      </w:r>
    </w:p>
    <w:p w:rsidR="008E1431" w:rsidP="008E1431" w14:paraId="27FD8362" w14:textId="77777777">
      <w:pPr>
        <w:spacing w:after="120"/>
        <w:ind w:left="720"/>
        <w:rPr>
          <w:szCs w:val="22"/>
        </w:rPr>
      </w:pPr>
      <w:r>
        <w:rPr>
          <w:szCs w:val="22"/>
        </w:rPr>
        <w:t>Brian J. O’Neill, Philadelphia City Council Member, Pennsylvania</w:t>
      </w:r>
    </w:p>
    <w:p w:rsidR="008E1431" w:rsidP="008E1431" w14:paraId="43A61B32" w14:textId="77777777">
      <w:pPr>
        <w:spacing w:after="120"/>
        <w:ind w:left="720"/>
        <w:rPr>
          <w:szCs w:val="22"/>
        </w:rPr>
      </w:pPr>
      <w:r>
        <w:rPr>
          <w:szCs w:val="22"/>
        </w:rPr>
        <w:t>Adrian Perkins, Mayor, City of Shreveport, Louisiana</w:t>
      </w:r>
    </w:p>
    <w:p w:rsidR="008E1431" w:rsidP="008E1431" w14:paraId="566E29C6" w14:textId="77777777">
      <w:pPr>
        <w:spacing w:after="120"/>
        <w:ind w:left="720"/>
        <w:rPr>
          <w:szCs w:val="22"/>
        </w:rPr>
      </w:pPr>
      <w:r>
        <w:rPr>
          <w:szCs w:val="22"/>
        </w:rPr>
        <w:t>Timothy A. Scott, Mayor, Borough of Carlisle, Pennsylvania</w:t>
      </w:r>
    </w:p>
    <w:p w:rsidR="008E1431" w:rsidP="008E1431" w14:paraId="5B457E40" w14:textId="77777777">
      <w:pPr>
        <w:spacing w:after="120"/>
        <w:ind w:left="720"/>
        <w:contextualSpacing/>
        <w:rPr>
          <w:szCs w:val="22"/>
        </w:rPr>
      </w:pPr>
      <w:r>
        <w:rPr>
          <w:szCs w:val="22"/>
        </w:rPr>
        <w:t>Tony Singh, Council Member, District 2, Town of Little Elm, Texas</w:t>
      </w:r>
    </w:p>
    <w:p w:rsidR="008E1431" w:rsidP="008E1431" w14:paraId="1409379E" w14:textId="77777777">
      <w:pPr>
        <w:pStyle w:val="ListParagraph"/>
        <w:spacing w:after="120"/>
        <w:ind w:left="0"/>
        <w:contextualSpacing/>
        <w:rPr>
          <w:b/>
          <w:szCs w:val="22"/>
        </w:rPr>
      </w:pPr>
    </w:p>
    <w:p w:rsidR="008E1431" w:rsidP="008E1431" w14:paraId="40A75E1F" w14:textId="77777777">
      <w:pPr>
        <w:pStyle w:val="ListParagraph"/>
        <w:spacing w:after="120"/>
        <w:ind w:left="0"/>
        <w:contextualSpacing/>
        <w:rPr>
          <w:b/>
          <w:szCs w:val="22"/>
        </w:rPr>
      </w:pPr>
      <w:r>
        <w:rPr>
          <w:b/>
          <w:szCs w:val="22"/>
        </w:rPr>
        <w:t>County Representatives (3)</w:t>
      </w:r>
    </w:p>
    <w:p w:rsidR="008E1431" w:rsidP="008E1431" w14:paraId="6FD2AE2A" w14:textId="77777777">
      <w:pPr>
        <w:spacing w:after="120"/>
        <w:ind w:left="720"/>
        <w:rPr>
          <w:szCs w:val="22"/>
        </w:rPr>
      </w:pPr>
      <w:r>
        <w:rPr>
          <w:szCs w:val="22"/>
        </w:rPr>
        <w:t>Pamela Carter, Member of the Augusta County Board of Supervisors, Virginia</w:t>
      </w:r>
    </w:p>
    <w:p w:rsidR="008E1431" w:rsidP="008E1431" w14:paraId="00707879" w14:textId="77777777">
      <w:pPr>
        <w:spacing w:after="120"/>
        <w:ind w:left="720"/>
        <w:rPr>
          <w:szCs w:val="22"/>
        </w:rPr>
      </w:pPr>
      <w:r>
        <w:rPr>
          <w:szCs w:val="22"/>
        </w:rPr>
        <w:t>Paul M. Wendel,</w:t>
      </w:r>
      <w:r w:rsidRPr="005665C3">
        <w:rPr>
          <w:szCs w:val="22"/>
        </w:rPr>
        <w:t xml:space="preserve"> </w:t>
      </w:r>
      <w:r>
        <w:rPr>
          <w:szCs w:val="22"/>
        </w:rPr>
        <w:t>Jr., Chautauqua County Executive, Mayville, NY</w:t>
      </w:r>
    </w:p>
    <w:p w:rsidR="008E1431" w:rsidP="008E1431" w14:paraId="75CA6D21" w14:textId="77777777">
      <w:pPr>
        <w:spacing w:after="120"/>
        <w:ind w:left="720"/>
        <w:contextualSpacing/>
        <w:rPr>
          <w:szCs w:val="22"/>
        </w:rPr>
      </w:pPr>
      <w:r>
        <w:rPr>
          <w:szCs w:val="22"/>
        </w:rPr>
        <w:t>B. Glen Whitley, County Judge, Tarrant County, Texas</w:t>
      </w:r>
    </w:p>
    <w:p w:rsidR="008E1431" w:rsidP="008E1431" w14:paraId="71C98D83" w14:textId="77777777">
      <w:pPr>
        <w:contextualSpacing/>
        <w:rPr>
          <w:szCs w:val="22"/>
        </w:rPr>
      </w:pPr>
    </w:p>
    <w:p w:rsidR="008E1431" w:rsidP="008E1431" w14:paraId="5C46D000" w14:textId="77777777">
      <w:pPr>
        <w:pStyle w:val="ListParagraph"/>
        <w:spacing w:after="120"/>
        <w:ind w:left="0"/>
        <w:contextualSpacing/>
        <w:rPr>
          <w:b/>
          <w:szCs w:val="22"/>
        </w:rPr>
      </w:pPr>
      <w:r>
        <w:rPr>
          <w:b/>
          <w:szCs w:val="22"/>
        </w:rPr>
        <w:t>City Attorney Representative (1)</w:t>
      </w:r>
    </w:p>
    <w:p w:rsidR="008E1431" w:rsidP="008E1431" w14:paraId="23A6821E" w14:textId="77777777">
      <w:pPr>
        <w:ind w:left="720"/>
        <w:rPr>
          <w:szCs w:val="22"/>
        </w:rPr>
      </w:pPr>
      <w:r>
        <w:rPr>
          <w:szCs w:val="22"/>
        </w:rPr>
        <w:t>Debra M. Bryan, Associate City Attorney, City of Virginia Beach, Virginia</w:t>
      </w:r>
    </w:p>
    <w:p w:rsidR="008E1431" w:rsidP="008E1431" w14:paraId="45DA84E0" w14:textId="77777777">
      <w:pPr>
        <w:contextualSpacing/>
        <w:rPr>
          <w:szCs w:val="22"/>
        </w:rPr>
      </w:pPr>
    </w:p>
    <w:p w:rsidR="004E381B" w14:paraId="7B9E4E47" w14:textId="77777777">
      <w:pPr>
        <w:widowControl/>
        <w:rPr>
          <w:b/>
          <w:szCs w:val="22"/>
        </w:rPr>
      </w:pPr>
      <w:r>
        <w:rPr>
          <w:b/>
          <w:szCs w:val="22"/>
        </w:rPr>
        <w:br w:type="page"/>
      </w:r>
    </w:p>
    <w:p w:rsidR="008E1431" w:rsidP="008E1431" w14:paraId="6B286641" w14:textId="28666786">
      <w:pPr>
        <w:pStyle w:val="ListParagraph"/>
        <w:spacing w:after="120"/>
        <w:ind w:left="0"/>
        <w:contextualSpacing/>
        <w:rPr>
          <w:b/>
          <w:szCs w:val="22"/>
        </w:rPr>
      </w:pPr>
      <w:bookmarkStart w:id="6" w:name="_GoBack"/>
      <w:bookmarkEnd w:id="6"/>
      <w:r>
        <w:rPr>
          <w:b/>
          <w:szCs w:val="22"/>
        </w:rPr>
        <w:t>State Legislative Representatives (5)</w:t>
      </w:r>
    </w:p>
    <w:p w:rsidR="008E1431" w:rsidP="008E1431" w14:paraId="07E7C680" w14:textId="77777777">
      <w:pPr>
        <w:spacing w:after="120"/>
        <w:ind w:left="720"/>
        <w:rPr>
          <w:szCs w:val="22"/>
        </w:rPr>
      </w:pPr>
      <w:r>
        <w:rPr>
          <w:bCs/>
          <w:szCs w:val="22"/>
        </w:rPr>
        <w:t>Spencer Hawks, State Representative, Arkansas House of Representatives</w:t>
      </w:r>
    </w:p>
    <w:p w:rsidR="008E1431" w:rsidP="008E1431" w14:paraId="61B6CBC7" w14:textId="77777777">
      <w:pPr>
        <w:spacing w:after="120"/>
        <w:ind w:left="720"/>
        <w:rPr>
          <w:szCs w:val="22"/>
        </w:rPr>
      </w:pPr>
      <w:r>
        <w:rPr>
          <w:bCs/>
          <w:szCs w:val="22"/>
        </w:rPr>
        <w:t>Kristin Phillips-Hill, State Senator, Pennsylvania State Senate</w:t>
      </w:r>
    </w:p>
    <w:p w:rsidR="008E1431" w:rsidP="008E1431" w14:paraId="3CB482BC" w14:textId="77777777">
      <w:pPr>
        <w:spacing w:after="120"/>
        <w:ind w:left="720"/>
        <w:rPr>
          <w:szCs w:val="22"/>
        </w:rPr>
      </w:pPr>
      <w:r>
        <w:rPr>
          <w:bCs/>
          <w:szCs w:val="22"/>
        </w:rPr>
        <w:t xml:space="preserve">Robert H. </w:t>
      </w:r>
      <w:r>
        <w:rPr>
          <w:bCs/>
          <w:szCs w:val="22"/>
        </w:rPr>
        <w:t>Plymale</w:t>
      </w:r>
      <w:r>
        <w:rPr>
          <w:bCs/>
          <w:szCs w:val="22"/>
        </w:rPr>
        <w:t>, State Senator, West Virginia State Senate</w:t>
      </w:r>
    </w:p>
    <w:p w:rsidR="008E1431" w:rsidP="008E1431" w14:paraId="74084048" w14:textId="77777777">
      <w:pPr>
        <w:spacing w:after="120"/>
        <w:ind w:left="720"/>
        <w:rPr>
          <w:szCs w:val="22"/>
        </w:rPr>
      </w:pPr>
      <w:r>
        <w:rPr>
          <w:szCs w:val="22"/>
        </w:rPr>
        <w:t>Angelo J. Puppolo, Massachusetts State Representative</w:t>
      </w:r>
    </w:p>
    <w:p w:rsidR="008E1431" w:rsidP="008E1431" w14:paraId="7B971020" w14:textId="77777777">
      <w:pPr>
        <w:ind w:firstLine="720"/>
        <w:rPr>
          <w:bCs/>
          <w:szCs w:val="22"/>
        </w:rPr>
      </w:pPr>
      <w:r>
        <w:rPr>
          <w:bCs/>
          <w:szCs w:val="22"/>
        </w:rPr>
        <w:t>Jason Saine, State Representative, North Carolina General Assembly</w:t>
      </w:r>
    </w:p>
    <w:p w:rsidR="008E1431" w:rsidP="008E1431" w14:paraId="6D529322" w14:textId="77777777">
      <w:pPr>
        <w:rPr>
          <w:bCs/>
          <w:szCs w:val="22"/>
        </w:rPr>
      </w:pPr>
    </w:p>
    <w:p w:rsidR="008E1431" w:rsidP="008E1431" w14:paraId="13E374C4" w14:textId="77777777">
      <w:pPr>
        <w:spacing w:after="120"/>
        <w:rPr>
          <w:szCs w:val="22"/>
        </w:rPr>
      </w:pPr>
      <w:r>
        <w:rPr>
          <w:b/>
          <w:szCs w:val="22"/>
        </w:rPr>
        <w:t>State Public Utility Commission Representatives (2)</w:t>
      </w:r>
    </w:p>
    <w:p w:rsidR="008E1431" w:rsidP="008E1431" w14:paraId="18034EF5" w14:textId="77777777">
      <w:pPr>
        <w:spacing w:after="120"/>
        <w:ind w:left="720"/>
        <w:rPr>
          <w:szCs w:val="22"/>
        </w:rPr>
      </w:pPr>
      <w:r>
        <w:rPr>
          <w:szCs w:val="22"/>
        </w:rPr>
        <w:t xml:space="preserve">Upendra J. </w:t>
      </w:r>
      <w:r>
        <w:rPr>
          <w:szCs w:val="22"/>
        </w:rPr>
        <w:t>Chivukula</w:t>
      </w:r>
      <w:r>
        <w:rPr>
          <w:szCs w:val="22"/>
        </w:rPr>
        <w:t>, Commissioner, New Jersey Board of Public Utilities</w:t>
      </w:r>
    </w:p>
    <w:p w:rsidR="008E1431" w:rsidP="008E1431" w14:paraId="51F8D8FB" w14:textId="77777777">
      <w:pPr>
        <w:ind w:left="720"/>
        <w:rPr>
          <w:szCs w:val="22"/>
        </w:rPr>
      </w:pPr>
      <w:r>
        <w:rPr>
          <w:szCs w:val="22"/>
        </w:rPr>
        <w:t>Alexandra Fernández Navarro, Associate Member, Puerto Rico Public Service Regulatory Board</w:t>
      </w:r>
    </w:p>
    <w:p w:rsidR="008E1431" w:rsidP="008E1431" w14:paraId="52A8F611" w14:textId="77777777">
      <w:pPr>
        <w:rPr>
          <w:szCs w:val="22"/>
        </w:rPr>
      </w:pPr>
    </w:p>
    <w:p w:rsidR="008E1431" w:rsidP="008E1431" w14:paraId="36F4BEB2" w14:textId="77777777">
      <w:pPr>
        <w:pStyle w:val="ListParagraph"/>
        <w:spacing w:after="120"/>
        <w:ind w:left="0"/>
        <w:contextualSpacing/>
        <w:rPr>
          <w:b/>
          <w:szCs w:val="22"/>
        </w:rPr>
      </w:pPr>
      <w:r>
        <w:rPr>
          <w:b/>
          <w:szCs w:val="22"/>
        </w:rPr>
        <w:t>Tribal Representatives (4)</w:t>
      </w:r>
    </w:p>
    <w:p w:rsidR="008E1431" w:rsidP="008E1431" w14:paraId="6644884E" w14:textId="77777777">
      <w:pPr>
        <w:spacing w:after="120"/>
        <w:ind w:left="720"/>
        <w:rPr>
          <w:szCs w:val="22"/>
        </w:rPr>
      </w:pPr>
      <w:r>
        <w:rPr>
          <w:szCs w:val="22"/>
        </w:rPr>
        <w:t>Clifford Agee, Under Secretary of Subsidiary Services and Support, Chickasaw Nation, Ada, Oklahoma</w:t>
      </w:r>
    </w:p>
    <w:p w:rsidR="008E1431" w:rsidP="008E1431" w14:paraId="6E2E09C6" w14:textId="77777777">
      <w:pPr>
        <w:spacing w:after="120"/>
        <w:ind w:left="720"/>
        <w:rPr>
          <w:szCs w:val="22"/>
        </w:rPr>
      </w:pPr>
      <w:r>
        <w:rPr>
          <w:szCs w:val="22"/>
        </w:rPr>
        <w:t>Godfrey Enjady, General Manager for Mescalero Apache Telecom, Inc, New Mexico</w:t>
      </w:r>
    </w:p>
    <w:p w:rsidR="008E1431" w:rsidP="008E1431" w14:paraId="7739F147" w14:textId="77777777">
      <w:pPr>
        <w:spacing w:after="120"/>
        <w:ind w:left="720"/>
        <w:rPr>
          <w:szCs w:val="22"/>
        </w:rPr>
      </w:pPr>
      <w:r>
        <w:rPr>
          <w:szCs w:val="22"/>
        </w:rPr>
        <w:t>Tina Glory Jordan, Secretary of State, Cherokee Nation, Tahlequah, Oklahoma</w:t>
      </w:r>
    </w:p>
    <w:p w:rsidR="008E1431" w:rsidP="008E1431" w14:paraId="04EA36D8" w14:textId="77777777">
      <w:pPr>
        <w:spacing w:after="120"/>
        <w:ind w:left="720"/>
        <w:contextualSpacing/>
        <w:rPr>
          <w:szCs w:val="22"/>
        </w:rPr>
      </w:pPr>
      <w:r>
        <w:rPr>
          <w:szCs w:val="22"/>
        </w:rPr>
        <w:t xml:space="preserve">Danae Wilson, Manager Department of Technology Services, Nez Perce Tribe, </w:t>
      </w:r>
      <w:r>
        <w:rPr>
          <w:szCs w:val="22"/>
        </w:rPr>
        <w:t>Lapwai</w:t>
      </w:r>
      <w:r>
        <w:rPr>
          <w:szCs w:val="22"/>
        </w:rPr>
        <w:t>, Idaho</w:t>
      </w:r>
    </w:p>
    <w:p w:rsidR="008E1431" w:rsidP="008E1431" w14:paraId="2846AE4C" w14:textId="77777777">
      <w:pPr>
        <w:rPr>
          <w:szCs w:val="22"/>
        </w:rPr>
      </w:pPr>
    </w:p>
    <w:p w:rsidR="008E1431" w:rsidP="008E1431" w14:paraId="3A996B6F" w14:textId="77777777">
      <w:pPr>
        <w:pStyle w:val="ListParagraph"/>
        <w:ind w:left="0"/>
        <w:contextualSpacing/>
        <w:jc w:val="center"/>
        <w:rPr>
          <w:b/>
          <w:szCs w:val="22"/>
        </w:rPr>
      </w:pPr>
      <w:r>
        <w:rPr>
          <w:b/>
          <w:szCs w:val="22"/>
        </w:rPr>
        <w:t>EXEMPTION FROM THE FEDERAL ADVISORY COMMITTEE ACT</w:t>
      </w:r>
    </w:p>
    <w:p w:rsidR="008E1431" w:rsidP="008E1431" w14:paraId="2ABB424A" w14:textId="77777777">
      <w:pPr>
        <w:pStyle w:val="ListParagraph"/>
        <w:ind w:left="0"/>
        <w:contextualSpacing/>
        <w:rPr>
          <w:b/>
          <w:szCs w:val="22"/>
        </w:rPr>
      </w:pPr>
    </w:p>
    <w:p w:rsidR="008E1431" w:rsidP="008E1431" w14:paraId="6CEAD6DD" w14:textId="77777777">
      <w:pPr>
        <w:autoSpaceDE w:val="0"/>
        <w:autoSpaceDN w:val="0"/>
        <w:adjustRightInd w:val="0"/>
        <w:rPr>
          <w:szCs w:val="22"/>
        </w:rPr>
      </w:pPr>
      <w:r>
        <w:rPr>
          <w:b/>
          <w:szCs w:val="22"/>
        </w:rPr>
        <w:tab/>
      </w:r>
      <w:r>
        <w:rPr>
          <w:szCs w:val="22"/>
        </w:rPr>
        <w:t>Pursuant to the “intergovernmental communication” exemption of UMRA,</w:t>
      </w:r>
      <w:r>
        <w:rPr>
          <w:rStyle w:val="FootnoteReference"/>
          <w:szCs w:val="22"/>
        </w:rPr>
        <w:footnoteReference w:id="6"/>
      </w:r>
      <w:r>
        <w:rPr>
          <w:szCs w:val="22"/>
        </w:rPr>
        <w:t xml:space="preserve"> the IAC is not subject to, and is not required to follow, the procedures set forth in the Federal Advisory Committee Act (FACA), 5 U.S.C. App 2 (1988).</w:t>
      </w:r>
      <w:r>
        <w:rPr>
          <w:rStyle w:val="FootnoteReference"/>
          <w:szCs w:val="22"/>
        </w:rPr>
        <w:footnoteReference w:id="7"/>
      </w:r>
    </w:p>
    <w:p w:rsidR="008E1431" w:rsidP="008E1431" w14:paraId="0841CF27" w14:textId="77777777">
      <w:pPr>
        <w:autoSpaceDE w:val="0"/>
        <w:autoSpaceDN w:val="0"/>
        <w:adjustRightInd w:val="0"/>
        <w:rPr>
          <w:szCs w:val="22"/>
        </w:rPr>
      </w:pPr>
    </w:p>
    <w:p w:rsidR="008E1431" w:rsidP="008E1431" w14:paraId="5FB4D02D" w14:textId="77777777">
      <w:pPr>
        <w:autoSpaceDE w:val="0"/>
        <w:autoSpaceDN w:val="0"/>
        <w:adjustRightInd w:val="0"/>
        <w:jc w:val="center"/>
        <w:rPr>
          <w:b/>
          <w:szCs w:val="22"/>
        </w:rPr>
      </w:pPr>
      <w:r>
        <w:rPr>
          <w:b/>
          <w:szCs w:val="22"/>
        </w:rPr>
        <w:t>ACCESSIBLE FORMATS</w:t>
      </w:r>
    </w:p>
    <w:p w:rsidR="008E1431" w:rsidP="008E1431" w14:paraId="36A3335A" w14:textId="77777777">
      <w:pPr>
        <w:autoSpaceDE w:val="0"/>
        <w:autoSpaceDN w:val="0"/>
        <w:adjustRightInd w:val="0"/>
        <w:rPr>
          <w:szCs w:val="22"/>
        </w:rPr>
      </w:pPr>
    </w:p>
    <w:p w:rsidR="008E1431" w:rsidP="008E1431" w14:paraId="2DF5D7D7" w14:textId="77777777">
      <w:pPr>
        <w:autoSpaceDE w:val="0"/>
        <w:autoSpaceDN w:val="0"/>
        <w:adjustRightInd w:val="0"/>
        <w:ind w:firstLine="720"/>
        <w:rPr>
          <w:szCs w:val="22"/>
        </w:rPr>
      </w:pPr>
      <w:r>
        <w:rPr>
          <w:szCs w:val="22"/>
        </w:rPr>
        <w:t xml:space="preserve">To request materials in accessible formats for people with disabilities (Braille, large print, electronic files, audio format), send an e-mail to </w:t>
      </w:r>
      <w:hyperlink r:id="rId5" w:history="1">
        <w:r>
          <w:rPr>
            <w:rStyle w:val="Hyperlink"/>
            <w:szCs w:val="22"/>
          </w:rPr>
          <w:t>fcc504@fcc.gov</w:t>
        </w:r>
      </w:hyperlink>
      <w:r>
        <w:rPr>
          <w:szCs w:val="22"/>
        </w:rPr>
        <w:t xml:space="preserve"> or call the Consumer and Governmental Affairs Bureau at (202) 418-0530 (voice) or (202) 418-0432 (TTY).</w:t>
      </w:r>
    </w:p>
    <w:p w:rsidR="008E1431" w:rsidP="008E1431" w14:paraId="4B662C45" w14:textId="77777777">
      <w:pPr>
        <w:autoSpaceDE w:val="0"/>
        <w:autoSpaceDN w:val="0"/>
        <w:adjustRightInd w:val="0"/>
        <w:ind w:firstLine="720"/>
        <w:rPr>
          <w:szCs w:val="22"/>
        </w:rPr>
      </w:pPr>
    </w:p>
    <w:p w:rsidR="008E1431" w:rsidP="008E1431" w14:paraId="29BD32C0" w14:textId="77777777">
      <w:pPr>
        <w:autoSpaceDE w:val="0"/>
        <w:autoSpaceDN w:val="0"/>
        <w:adjustRightInd w:val="0"/>
        <w:jc w:val="center"/>
        <w:rPr>
          <w:b/>
          <w:szCs w:val="22"/>
        </w:rPr>
      </w:pPr>
      <w:r>
        <w:rPr>
          <w:b/>
          <w:szCs w:val="22"/>
        </w:rPr>
        <w:t>FURTHER INFORMATION</w:t>
      </w:r>
    </w:p>
    <w:p w:rsidR="008E1431" w:rsidP="008E1431" w14:paraId="5A50C7DD" w14:textId="77777777">
      <w:pPr>
        <w:autoSpaceDE w:val="0"/>
        <w:autoSpaceDN w:val="0"/>
        <w:adjustRightInd w:val="0"/>
        <w:jc w:val="center"/>
        <w:rPr>
          <w:b/>
          <w:color w:val="010101"/>
          <w:szCs w:val="22"/>
        </w:rPr>
      </w:pPr>
    </w:p>
    <w:p w:rsidR="008E1431" w:rsidP="008E1431" w14:paraId="68105A80" w14:textId="77777777">
      <w:pPr>
        <w:spacing w:after="120"/>
        <w:ind w:firstLine="720"/>
        <w:contextualSpacing/>
        <w:rPr>
          <w:szCs w:val="22"/>
        </w:rPr>
      </w:pPr>
      <w:r>
        <w:rPr>
          <w:szCs w:val="22"/>
        </w:rPr>
        <w:t xml:space="preserve">For further information, please contact:  Carmen Scanlon, Attorney Advisor, Office of Intergovernmental Affairs, Consumer and Governmental Affairs Bureau, Federal Communications Commission, (202) 418-0544, </w:t>
      </w:r>
      <w:hyperlink r:id="rId6" w:history="1">
        <w:r>
          <w:rPr>
            <w:rStyle w:val="Hyperlink"/>
            <w:szCs w:val="22"/>
          </w:rPr>
          <w:t>carmen.scanlon@fcc.gov</w:t>
        </w:r>
      </w:hyperlink>
      <w:r>
        <w:rPr>
          <w:szCs w:val="22"/>
        </w:rPr>
        <w:t xml:space="preserve">. </w:t>
      </w:r>
    </w:p>
    <w:bookmarkEnd w:id="0"/>
    <w:p w:rsidR="00930ECF" w:rsidRPr="008E1431" w:rsidP="008E1431" w14:paraId="566CCBF2" w14:textId="77777777"/>
    <w:sectPr w:rsidSect="000E5884">
      <w:headerReference w:type="default" r:id="rId7"/>
      <w:footerReference w:type="even" r:id="rId8"/>
      <w:footerReference w:type="default" r:id="rId9"/>
      <w:head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E3EDF65"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D0CDAF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78CE" w:rsidP="009351CF" w14:paraId="07B2E807" w14:textId="4C7C345B">
    <w:pPr>
      <w:pStyle w:val="Footer"/>
      <w:jc w:val="center"/>
      <w:rPr>
        <w:noProof/>
      </w:rPr>
    </w:pPr>
    <w:r>
      <w:fldChar w:fldCharType="begin"/>
    </w:r>
    <w:r>
      <w:instrText xml:space="preserve"> PAGE   \* MERGEFORMAT </w:instrText>
    </w:r>
    <w:r>
      <w:fldChar w:fldCharType="separate"/>
    </w:r>
    <w:r w:rsidR="004E381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802A0" w14:paraId="51F80607" w14:textId="77777777">
      <w:r>
        <w:separator/>
      </w:r>
    </w:p>
  </w:footnote>
  <w:footnote w:type="continuationSeparator" w:id="1">
    <w:p w:rsidR="00E802A0" w14:paraId="72A78E91" w14:textId="77777777">
      <w:pPr>
        <w:rPr>
          <w:sz w:val="20"/>
        </w:rPr>
      </w:pPr>
      <w:r>
        <w:rPr>
          <w:sz w:val="20"/>
        </w:rPr>
        <w:t xml:space="preserve">(Continued from previous page)  </w:t>
      </w:r>
      <w:r>
        <w:rPr>
          <w:sz w:val="20"/>
        </w:rPr>
        <w:separator/>
      </w:r>
    </w:p>
  </w:footnote>
  <w:footnote w:type="continuationNotice" w:id="2">
    <w:p w:rsidR="00E802A0" w:rsidP="00910F12" w14:paraId="46266397" w14:textId="77777777">
      <w:pPr>
        <w:jc w:val="right"/>
        <w:rPr>
          <w:sz w:val="20"/>
        </w:rPr>
      </w:pPr>
      <w:r>
        <w:rPr>
          <w:sz w:val="20"/>
        </w:rPr>
        <w:t>(continued….)</w:t>
      </w:r>
    </w:p>
  </w:footnote>
  <w:footnote w:id="3">
    <w:p w:rsidR="008E1431" w:rsidP="008E1431" w14:paraId="26D8EEE3" w14:textId="77777777">
      <w:pPr>
        <w:pStyle w:val="FootnoteText"/>
      </w:pPr>
      <w:r>
        <w:rPr>
          <w:rStyle w:val="FootnoteReference"/>
        </w:rPr>
        <w:footnoteRef/>
      </w:r>
      <w:r>
        <w:t xml:space="preserve"> </w:t>
      </w:r>
      <w:bookmarkStart w:id="2" w:name="_Hlk34846722"/>
      <w:r>
        <w:rPr>
          <w:i/>
          <w:iCs/>
        </w:rPr>
        <w:t>FCC Announces Reauthorization of Its Intergovernmental Advisory Committee and Solicits Nominations for Membership on the Committee</w:t>
      </w:r>
      <w:r>
        <w:t>, Public Notice, 34 FCC Rcd 10332 (2019).</w:t>
      </w:r>
      <w:bookmarkEnd w:id="2"/>
      <w:r>
        <w:t xml:space="preserve">  Subsequently, in order to provide all interested parties with the opportunity to apply for membership, </w:t>
      </w:r>
      <w:bookmarkStart w:id="3" w:name="_Hlk33797571"/>
      <w:r>
        <w:t>the deadline for submitting applications was twice extended, to January 13, 2020 and January 27, 2020, respectively</w:t>
      </w:r>
      <w:bookmarkEnd w:id="3"/>
      <w:r>
        <w:t xml:space="preserve">.  </w:t>
      </w:r>
      <w:r>
        <w:rPr>
          <w:i/>
          <w:iCs/>
        </w:rPr>
        <w:t>FCC Announces Extension of Deadline to Submit Nominations for Membership on the Intergovernmental Advisory Committee</w:t>
      </w:r>
      <w:r>
        <w:t xml:space="preserve">, 34 FCC Rcd 11208 (2019); </w:t>
      </w:r>
      <w:r>
        <w:rPr>
          <w:i/>
          <w:iCs/>
        </w:rPr>
        <w:t>FCC Further Extends Deadline to Submit Nominations for Membership on the Intergovernmental Advisory Committee</w:t>
      </w:r>
      <w:r>
        <w:t>, Public Notice, DA 20-37 2020, WL 133096 (CGB Jan. 10, 2020).</w:t>
      </w:r>
    </w:p>
  </w:footnote>
  <w:footnote w:id="4">
    <w:p w:rsidR="008E1431" w:rsidP="008E1431" w14:paraId="6B514A7C" w14:textId="77777777">
      <w:pPr>
        <w:pStyle w:val="FootnoteText"/>
      </w:pPr>
      <w:r>
        <w:rPr>
          <w:rStyle w:val="FootnoteReference"/>
        </w:rPr>
        <w:footnoteRef/>
      </w:r>
      <w:r>
        <w:t xml:space="preserve"> </w:t>
      </w:r>
      <w:r>
        <w:rPr>
          <w:i/>
        </w:rPr>
        <w:t>See</w:t>
      </w:r>
      <w:r>
        <w:t xml:space="preserve"> 47 CFR § 0.701(a)</w:t>
      </w:r>
    </w:p>
  </w:footnote>
  <w:footnote w:id="5">
    <w:p w:rsidR="008E1431" w:rsidP="008E1431" w14:paraId="28A376F4" w14:textId="3BB92FD5">
      <w:pPr>
        <w:pStyle w:val="FootnoteText"/>
      </w:pPr>
      <w:r>
        <w:rPr>
          <w:rStyle w:val="FootnoteReference"/>
        </w:rPr>
        <w:footnoteRef/>
      </w:r>
      <w:r>
        <w:t xml:space="preserve"> </w:t>
      </w:r>
      <w:r>
        <w:rPr>
          <w:i/>
        </w:rPr>
        <w:t>See</w:t>
      </w:r>
      <w:r>
        <w:t xml:space="preserve"> 47 CFR § 0.701 (b).</w:t>
      </w:r>
    </w:p>
  </w:footnote>
  <w:footnote w:id="6">
    <w:p w:rsidR="008E1431" w:rsidP="008E1431" w14:paraId="22172484" w14:textId="77777777">
      <w:pPr>
        <w:pStyle w:val="FootnoteText"/>
      </w:pPr>
      <w:r>
        <w:rPr>
          <w:rStyle w:val="FootnoteReference"/>
        </w:rPr>
        <w:footnoteRef/>
      </w:r>
      <w:r>
        <w:t xml:space="preserve"> </w:t>
      </w:r>
      <w:r>
        <w:rPr>
          <w:i/>
        </w:rPr>
        <w:t>See</w:t>
      </w:r>
      <w:r>
        <w:t xml:space="preserve"> 2 U.S.C. § 1534 (b).</w:t>
      </w:r>
    </w:p>
  </w:footnote>
  <w:footnote w:id="7">
    <w:p w:rsidR="008E1431" w:rsidP="008E1431" w14:paraId="6CE0A66E" w14:textId="77777777">
      <w:pPr>
        <w:pStyle w:val="FootnoteText"/>
      </w:pPr>
      <w:r>
        <w:rPr>
          <w:rStyle w:val="FootnoteReference"/>
        </w:rPr>
        <w:footnoteRef/>
      </w:r>
      <w:r>
        <w:t xml:space="preserve"> </w:t>
      </w:r>
      <w:r>
        <w:rPr>
          <w:i/>
        </w:rPr>
        <w:t xml:space="preserve">See </w:t>
      </w:r>
      <w:r>
        <w:t>47 CFR § 0.701(a).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39AA8D85" w14:textId="30806252">
    <w:pPr>
      <w:tabs>
        <w:tab w:val="center" w:pos="4680"/>
        <w:tab w:val="right" w:pos="9360"/>
      </w:tabs>
    </w:pPr>
    <w:r w:rsidRPr="009838BC">
      <w:rPr>
        <w:b/>
      </w:rPr>
      <w:tab/>
      <w:t>Federal Communications Commission</w:t>
    </w:r>
    <w:r w:rsidRPr="009838BC">
      <w:rPr>
        <w:b/>
      </w:rPr>
      <w:tab/>
    </w:r>
    <w:r w:rsidR="0014734A">
      <w:rPr>
        <w:b/>
      </w:rPr>
      <w:t>DA 20-878</w:t>
    </w:r>
  </w:p>
  <w:p w:rsidR="009838BC" w:rsidRPr="009838BC" w:rsidP="009838BC" w14:paraId="5F040C3E" w14:textId="3DE3B57E">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9838BC" w:rsidRPr="009838BC" w:rsidP="009838BC" w14:paraId="39569A10"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52618A8" w14:textId="1D2E95B1">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015DB8EF" w14:textId="77777777">
                    <w:pPr>
                      <w:rPr>
                        <w:rFonts w:ascii="Arial" w:hAnsi="Arial"/>
                        <w:b/>
                      </w:rPr>
                    </w:pPr>
                    <w:r>
                      <w:rPr>
                        <w:rFonts w:ascii="Arial" w:hAnsi="Arial"/>
                        <w:b/>
                      </w:rPr>
                      <w:t>Federal Communications Commission</w:t>
                    </w:r>
                  </w:p>
                  <w:p w:rsidR="009838BC" w:rsidP="009838BC" w14:paraId="038C5CC1"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3ACF06DF"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7777170"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6598F4DB" w:rsidR="6598F4DB">
      <w:rPr>
        <w:rFonts w:ascii="Arial" w:hAnsi="Arial" w:cs="Arial"/>
        <w:b/>
        <w:bCs/>
        <w:sz w:val="96"/>
        <w:szCs w:val="96"/>
      </w:rPr>
      <w:t>PUBLIC NOTICE</w:t>
    </w:r>
  </w:p>
  <w:p w:rsidR="009838BC" w:rsidRPr="00357D50" w:rsidP="009838BC" w14:paraId="018CDB92" w14:textId="21B9E655">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7" w:name="_Hlt233824"/>
                          <w:hyperlink r:id="rId2" w:history="1">
                            <w:r w:rsidRPr="00D216CD">
                              <w:rPr>
                                <w:rStyle w:val="Hyperlink"/>
                                <w:rFonts w:ascii="Arial" w:hAnsi="Arial"/>
                                <w:b/>
                                <w:sz w:val="16"/>
                              </w:rPr>
                              <w:t>h</w:t>
                            </w:r>
                            <w:bookmarkEnd w:id="7"/>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55012080" w14:textId="77777777">
                    <w:pPr>
                      <w:spacing w:before="40"/>
                      <w:jc w:val="right"/>
                      <w:rPr>
                        <w:rFonts w:ascii="Arial" w:hAnsi="Arial"/>
                        <w:b/>
                        <w:sz w:val="16"/>
                      </w:rPr>
                    </w:pPr>
                    <w:r>
                      <w:rPr>
                        <w:rFonts w:ascii="Arial" w:hAnsi="Arial"/>
                        <w:b/>
                        <w:sz w:val="16"/>
                      </w:rPr>
                      <w:t>News Media Information 202 / 418-0500</w:t>
                    </w:r>
                  </w:p>
                  <w:p w:rsidR="009838BC" w:rsidP="009838BC" w14:paraId="2748AE56" w14:textId="77777777">
                    <w:pPr>
                      <w:jc w:val="right"/>
                      <w:rPr>
                        <w:rFonts w:ascii="Arial" w:hAnsi="Arial"/>
                        <w:b/>
                        <w:sz w:val="16"/>
                      </w:rPr>
                    </w:pPr>
                    <w:r>
                      <w:rPr>
                        <w:rFonts w:ascii="Arial" w:hAnsi="Arial"/>
                        <w:b/>
                        <w:sz w:val="16"/>
                      </w:rPr>
                      <w:t xml:space="preserve">Internet: </w:t>
                    </w:r>
                    <w:bookmarkStart w:id="7" w:name="_Hlt233824"/>
                    <w:hyperlink r:id="rId2" w:history="1">
                      <w:r w:rsidRPr="00D216CD">
                        <w:rPr>
                          <w:rStyle w:val="Hyperlink"/>
                          <w:rFonts w:ascii="Arial" w:hAnsi="Arial"/>
                          <w:b/>
                          <w:sz w:val="16"/>
                        </w:rPr>
                        <w:t>h</w:t>
                      </w:r>
                      <w:bookmarkEnd w:id="7"/>
                      <w:r w:rsidRPr="00D216CD">
                        <w:rPr>
                          <w:rStyle w:val="Hyperlink"/>
                          <w:rFonts w:ascii="Arial" w:hAnsi="Arial"/>
                          <w:b/>
                          <w:sz w:val="16"/>
                        </w:rPr>
                        <w:t>ttps://www.fcc.gov</w:t>
                      </w:r>
                    </w:hyperlink>
                  </w:p>
                  <w:p w:rsidR="009838BC" w:rsidP="009838BC" w14:paraId="2A54D8EF" w14:textId="77777777">
                    <w:pPr>
                      <w:jc w:val="right"/>
                    </w:pPr>
                    <w:r>
                      <w:rPr>
                        <w:rFonts w:ascii="Arial" w:hAnsi="Arial"/>
                        <w:b/>
                        <w:sz w:val="16"/>
                      </w:rPr>
                      <w:t>TTY: 1-888-835-5322</w:t>
                    </w:r>
                  </w:p>
                </w:txbxContent>
              </v:textbox>
            </v:shape>
          </w:pict>
        </mc:Fallback>
      </mc:AlternateContent>
    </w:r>
  </w:p>
  <w:p w:rsidR="006F7393" w:rsidRPr="009838BC" w:rsidP="009838BC" w14:paraId="13D03128"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6"/>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431"/>
    <w:rsid w:val="000072CE"/>
    <w:rsid w:val="00013A8B"/>
    <w:rsid w:val="00021445"/>
    <w:rsid w:val="00036039"/>
    <w:rsid w:val="00037F90"/>
    <w:rsid w:val="00052350"/>
    <w:rsid w:val="000856CC"/>
    <w:rsid w:val="000875BF"/>
    <w:rsid w:val="00096D8C"/>
    <w:rsid w:val="000C0B65"/>
    <w:rsid w:val="000C5A5E"/>
    <w:rsid w:val="000E3D42"/>
    <w:rsid w:val="000E5884"/>
    <w:rsid w:val="00122BD5"/>
    <w:rsid w:val="0014734A"/>
    <w:rsid w:val="001979D9"/>
    <w:rsid w:val="001A3608"/>
    <w:rsid w:val="001D6BCF"/>
    <w:rsid w:val="001E01CA"/>
    <w:rsid w:val="002060D9"/>
    <w:rsid w:val="00226822"/>
    <w:rsid w:val="0023242E"/>
    <w:rsid w:val="00260594"/>
    <w:rsid w:val="00285017"/>
    <w:rsid w:val="002A2D2E"/>
    <w:rsid w:val="00327863"/>
    <w:rsid w:val="00343749"/>
    <w:rsid w:val="00356623"/>
    <w:rsid w:val="00357D50"/>
    <w:rsid w:val="00381F95"/>
    <w:rsid w:val="003925DC"/>
    <w:rsid w:val="003B0550"/>
    <w:rsid w:val="003B694F"/>
    <w:rsid w:val="003C6DDC"/>
    <w:rsid w:val="003F171C"/>
    <w:rsid w:val="00412FC5"/>
    <w:rsid w:val="00422276"/>
    <w:rsid w:val="004242F1"/>
    <w:rsid w:val="00445A00"/>
    <w:rsid w:val="00451B0F"/>
    <w:rsid w:val="0046125F"/>
    <w:rsid w:val="00463F4A"/>
    <w:rsid w:val="00481DA5"/>
    <w:rsid w:val="00487524"/>
    <w:rsid w:val="00496106"/>
    <w:rsid w:val="004C12D0"/>
    <w:rsid w:val="004C2EE3"/>
    <w:rsid w:val="004E381B"/>
    <w:rsid w:val="004E4A22"/>
    <w:rsid w:val="00511968"/>
    <w:rsid w:val="0055614C"/>
    <w:rsid w:val="00564A2E"/>
    <w:rsid w:val="005665C3"/>
    <w:rsid w:val="00607BA5"/>
    <w:rsid w:val="00626EB6"/>
    <w:rsid w:val="006353A3"/>
    <w:rsid w:val="00655D03"/>
    <w:rsid w:val="00683F84"/>
    <w:rsid w:val="006A6A81"/>
    <w:rsid w:val="006D429A"/>
    <w:rsid w:val="006E1232"/>
    <w:rsid w:val="006E26AF"/>
    <w:rsid w:val="006F7393"/>
    <w:rsid w:val="0070224F"/>
    <w:rsid w:val="007115F7"/>
    <w:rsid w:val="00731DDF"/>
    <w:rsid w:val="00785689"/>
    <w:rsid w:val="0079754B"/>
    <w:rsid w:val="007978CE"/>
    <w:rsid w:val="007A1E6D"/>
    <w:rsid w:val="00822CE0"/>
    <w:rsid w:val="00837C62"/>
    <w:rsid w:val="00841AB1"/>
    <w:rsid w:val="0087167D"/>
    <w:rsid w:val="008B1FD3"/>
    <w:rsid w:val="008C22FD"/>
    <w:rsid w:val="008C7903"/>
    <w:rsid w:val="008E1431"/>
    <w:rsid w:val="00910F12"/>
    <w:rsid w:val="00926503"/>
    <w:rsid w:val="00930ECF"/>
    <w:rsid w:val="009351CF"/>
    <w:rsid w:val="009838BC"/>
    <w:rsid w:val="009F1741"/>
    <w:rsid w:val="009F27D5"/>
    <w:rsid w:val="00A45F4F"/>
    <w:rsid w:val="00A479CD"/>
    <w:rsid w:val="00A600A9"/>
    <w:rsid w:val="00A866AC"/>
    <w:rsid w:val="00AA55B7"/>
    <w:rsid w:val="00AA5B9E"/>
    <w:rsid w:val="00AB2407"/>
    <w:rsid w:val="00AB53DF"/>
    <w:rsid w:val="00B07E5C"/>
    <w:rsid w:val="00B326E3"/>
    <w:rsid w:val="00B811F7"/>
    <w:rsid w:val="00BA5DC6"/>
    <w:rsid w:val="00BA6196"/>
    <w:rsid w:val="00BB1A5B"/>
    <w:rsid w:val="00BC6D8C"/>
    <w:rsid w:val="00C16AF2"/>
    <w:rsid w:val="00C34006"/>
    <w:rsid w:val="00C426B1"/>
    <w:rsid w:val="00C56297"/>
    <w:rsid w:val="00C82B6B"/>
    <w:rsid w:val="00C90D6A"/>
    <w:rsid w:val="00CC72B6"/>
    <w:rsid w:val="00D0218D"/>
    <w:rsid w:val="00D216CD"/>
    <w:rsid w:val="00D43ED4"/>
    <w:rsid w:val="00D77108"/>
    <w:rsid w:val="00DA2529"/>
    <w:rsid w:val="00DB130A"/>
    <w:rsid w:val="00DC10A1"/>
    <w:rsid w:val="00DC655F"/>
    <w:rsid w:val="00DD1B59"/>
    <w:rsid w:val="00DD7EBD"/>
    <w:rsid w:val="00DF62B6"/>
    <w:rsid w:val="00E07225"/>
    <w:rsid w:val="00E1175E"/>
    <w:rsid w:val="00E155B7"/>
    <w:rsid w:val="00E26753"/>
    <w:rsid w:val="00E47388"/>
    <w:rsid w:val="00E5409F"/>
    <w:rsid w:val="00E802A0"/>
    <w:rsid w:val="00EC0185"/>
    <w:rsid w:val="00F021FA"/>
    <w:rsid w:val="00F57ACA"/>
    <w:rsid w:val="00F62E97"/>
    <w:rsid w:val="00F64209"/>
    <w:rsid w:val="00F93BF5"/>
    <w:rsid w:val="00F96F63"/>
    <w:rsid w:val="6598F4DB"/>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431"/>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semiHidden/>
    <w:rsid w:val="000E3D42"/>
    <w:pPr>
      <w:spacing w:after="120"/>
    </w:pPr>
  </w:style>
  <w:style w:type="character" w:styleId="FootnoteReference">
    <w:name w:val="footnote reference"/>
    <w:aliases w:val="(NECG) Footnote Reference,Appel note de bas de p,FR,Footnote Reference/,Style 12,Style 124,Style 13,Style 17,Style 3,Style 6,fr,o"/>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3">
    <w:name w:val="Footnote Text Char3"/>
    <w:aliases w:val="ALTS FOOTNOTE Char1,Footnote Text Char Char Char,Footnote Text Char Char1,Footnote Text Char1 Char,Footnote Text Char1 Char Char Char1,Footnote Text Char1 Char1 Char,Footnote Text Char2 Char,Footnote Text Char2 Char Char Char,fn Char"/>
    <w:link w:val="FootnoteText"/>
    <w:semiHidden/>
    <w:locked/>
    <w:rsid w:val="008E1431"/>
  </w:style>
  <w:style w:type="character" w:customStyle="1" w:styleId="HeaderChar">
    <w:name w:val="Header Char"/>
    <w:link w:val="Header"/>
    <w:locked/>
    <w:rsid w:val="008E1431"/>
    <w:rPr>
      <w:rFonts w:ascii="Arial" w:hAnsi="Arial" w:cs="Arial"/>
      <w:b/>
      <w:snapToGrid w:val="0"/>
      <w:kern w:val="28"/>
      <w:sz w:val="96"/>
      <w:szCs w:val="96"/>
    </w:rPr>
  </w:style>
  <w:style w:type="paragraph" w:styleId="ListParagraph">
    <w:name w:val="List Paragraph"/>
    <w:basedOn w:val="Normal"/>
    <w:uiPriority w:val="34"/>
    <w:qFormat/>
    <w:rsid w:val="008E1431"/>
    <w:pPr>
      <w:ind w:left="720"/>
    </w:pPr>
  </w:style>
  <w:style w:type="paragraph" w:styleId="BalloonText">
    <w:name w:val="Balloon Text"/>
    <w:basedOn w:val="Normal"/>
    <w:link w:val="BalloonTextChar"/>
    <w:uiPriority w:val="99"/>
    <w:semiHidden/>
    <w:unhideWhenUsed/>
    <w:rsid w:val="009F17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741"/>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356623"/>
    <w:rPr>
      <w:sz w:val="16"/>
      <w:szCs w:val="16"/>
    </w:rPr>
  </w:style>
  <w:style w:type="paragraph" w:styleId="CommentText">
    <w:name w:val="annotation text"/>
    <w:basedOn w:val="Normal"/>
    <w:link w:val="CommentTextChar"/>
    <w:uiPriority w:val="99"/>
    <w:semiHidden/>
    <w:unhideWhenUsed/>
    <w:rsid w:val="00356623"/>
    <w:rPr>
      <w:sz w:val="20"/>
    </w:rPr>
  </w:style>
  <w:style w:type="character" w:customStyle="1" w:styleId="CommentTextChar">
    <w:name w:val="Comment Text Char"/>
    <w:basedOn w:val="DefaultParagraphFont"/>
    <w:link w:val="CommentText"/>
    <w:uiPriority w:val="99"/>
    <w:semiHidden/>
    <w:rsid w:val="00356623"/>
    <w:rPr>
      <w:snapToGrid w:val="0"/>
      <w:kern w:val="28"/>
    </w:rPr>
  </w:style>
  <w:style w:type="paragraph" w:styleId="CommentSubject">
    <w:name w:val="annotation subject"/>
    <w:basedOn w:val="CommentText"/>
    <w:next w:val="CommentText"/>
    <w:link w:val="CommentSubjectChar"/>
    <w:uiPriority w:val="99"/>
    <w:semiHidden/>
    <w:unhideWhenUsed/>
    <w:rsid w:val="00356623"/>
    <w:rPr>
      <w:b/>
      <w:bCs/>
    </w:rPr>
  </w:style>
  <w:style w:type="character" w:customStyle="1" w:styleId="CommentSubjectChar">
    <w:name w:val="Comment Subject Char"/>
    <w:basedOn w:val="CommentTextChar"/>
    <w:link w:val="CommentSubject"/>
    <w:uiPriority w:val="99"/>
    <w:semiHidden/>
    <w:rsid w:val="00356623"/>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or" TargetMode="External" /><Relationship Id="rId6" Type="http://schemas.openxmlformats.org/officeDocument/2006/relationships/hyperlink" Target="mailto:carmen.scanlon@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\forms\OS Process\Public Notice Portrait.dot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