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C03698" w14:paraId="1BEBE961" w14:textId="77777777">
      <w:pPr>
        <w:jc w:val="center"/>
        <w:rPr>
          <w:b/>
        </w:rPr>
      </w:pPr>
      <w:bookmarkStart w:id="0" w:name="_GoBack"/>
      <w:bookmarkEnd w:id="0"/>
      <w:r w:rsidRPr="00C03698">
        <w:rPr>
          <w:rFonts w:ascii="Times New Roman Bold" w:hAnsi="Times New Roman Bold"/>
          <w:b/>
          <w:kern w:val="0"/>
          <w:szCs w:val="22"/>
        </w:rPr>
        <w:t>Before</w:t>
      </w:r>
      <w:r w:rsidRPr="00C03698">
        <w:rPr>
          <w:b/>
        </w:rPr>
        <w:t xml:space="preserve"> the</w:t>
      </w:r>
    </w:p>
    <w:p w:rsidR="00921803" w:rsidRPr="00C03698" w:rsidP="00921803" w14:paraId="4464F293" w14:textId="77777777">
      <w:pPr>
        <w:pStyle w:val="StyleBoldCentered"/>
      </w:pPr>
      <w:r w:rsidRPr="00C03698">
        <w:t>F</w:t>
      </w:r>
      <w:r w:rsidRPr="00C03698">
        <w:rPr>
          <w:caps w:val="0"/>
        </w:rPr>
        <w:t>ederal Communications Commission</w:t>
      </w:r>
    </w:p>
    <w:p w:rsidR="004C2EE3" w:rsidRPr="00C03698" w:rsidP="00096D8C" w14:paraId="6FBABE0D" w14:textId="77777777">
      <w:pPr>
        <w:pStyle w:val="StyleBoldCentered"/>
      </w:pPr>
      <w:r w:rsidRPr="00C03698">
        <w:rPr>
          <w:caps w:val="0"/>
        </w:rPr>
        <w:t>Washington, D.C. 20554</w:t>
      </w:r>
    </w:p>
    <w:p w:rsidR="004C2EE3" w:rsidRPr="00C03698" w:rsidP="0070224F" w14:paraId="006419F3" w14:textId="77777777"/>
    <w:tbl>
      <w:tblPr>
        <w:tblW w:w="0" w:type="auto"/>
        <w:tblLayout w:type="fixed"/>
        <w:tblLook w:val="0000"/>
      </w:tblPr>
      <w:tblGrid>
        <w:gridCol w:w="4698"/>
        <w:gridCol w:w="630"/>
        <w:gridCol w:w="4248"/>
      </w:tblGrid>
      <w:tr w14:paraId="455D7913" w14:textId="77777777">
        <w:tblPrEx>
          <w:tblW w:w="0" w:type="auto"/>
          <w:tblLayout w:type="fixed"/>
          <w:tblLook w:val="0000"/>
        </w:tblPrEx>
        <w:tc>
          <w:tcPr>
            <w:tcW w:w="4698" w:type="dxa"/>
          </w:tcPr>
          <w:p w:rsidR="004C2EE3" w:rsidRPr="00C03698" w14:paraId="1B443FDE" w14:textId="77777777">
            <w:pPr>
              <w:tabs>
                <w:tab w:val="center" w:pos="4680"/>
              </w:tabs>
              <w:suppressAutoHyphens/>
              <w:rPr>
                <w:spacing w:val="-2"/>
              </w:rPr>
            </w:pPr>
            <w:r w:rsidRPr="00C03698">
              <w:rPr>
                <w:spacing w:val="-2"/>
              </w:rPr>
              <w:t>In the Matter of</w:t>
            </w:r>
          </w:p>
          <w:p w:rsidR="00D7045C" w:rsidRPr="00C03698" w:rsidP="00307A32" w14:paraId="41C56D6A" w14:textId="77777777">
            <w:pPr>
              <w:tabs>
                <w:tab w:val="center" w:pos="4680"/>
              </w:tabs>
              <w:suppressAutoHyphens/>
              <w:rPr>
                <w:spacing w:val="-2"/>
              </w:rPr>
            </w:pPr>
          </w:p>
          <w:p w:rsidR="00D7045C" w:rsidRPr="00C03698" w:rsidP="00307A32" w14:paraId="72133BCF" w14:textId="5C1E4AB4">
            <w:pPr>
              <w:tabs>
                <w:tab w:val="center" w:pos="4680"/>
              </w:tabs>
              <w:suppressAutoHyphens/>
              <w:rPr>
                <w:spacing w:val="-2"/>
              </w:rPr>
            </w:pPr>
            <w:r w:rsidRPr="00C03698">
              <w:rPr>
                <w:spacing w:val="-2"/>
              </w:rPr>
              <w:t>Wireless E911 Location Accuracy Requirements</w:t>
            </w:r>
          </w:p>
          <w:p w:rsidR="00D7045C" w:rsidRPr="00C03698" w:rsidP="00307A32" w14:paraId="4BAE6318" w14:textId="77777777">
            <w:pPr>
              <w:tabs>
                <w:tab w:val="center" w:pos="4680"/>
              </w:tabs>
              <w:suppressAutoHyphens/>
              <w:rPr>
                <w:spacing w:val="-2"/>
              </w:rPr>
            </w:pPr>
          </w:p>
          <w:p w:rsidR="00307A32" w:rsidRPr="00C03698" w:rsidP="00307A32" w14:paraId="698FFF90" w14:textId="51A11A47">
            <w:pPr>
              <w:tabs>
                <w:tab w:val="center" w:pos="4680"/>
              </w:tabs>
              <w:suppressAutoHyphens/>
              <w:rPr>
                <w:spacing w:val="-2"/>
              </w:rPr>
            </w:pPr>
            <w:r w:rsidRPr="00C03698">
              <w:rPr>
                <w:spacing w:val="-2"/>
              </w:rPr>
              <w:t>AT&amp;T Services, Inc. Request for Authorization and Waiver</w:t>
            </w:r>
          </w:p>
          <w:p w:rsidR="004C2EE3" w:rsidRPr="00C03698" w:rsidP="00307A32" w14:paraId="1CFA54AA" w14:textId="15D7F640">
            <w:pPr>
              <w:tabs>
                <w:tab w:val="center" w:pos="4680"/>
              </w:tabs>
              <w:suppressAutoHyphens/>
              <w:rPr>
                <w:spacing w:val="-2"/>
              </w:rPr>
            </w:pPr>
          </w:p>
        </w:tc>
        <w:tc>
          <w:tcPr>
            <w:tcW w:w="630" w:type="dxa"/>
          </w:tcPr>
          <w:p w:rsidR="004C2EE3" w:rsidRPr="00C03698" w14:paraId="4A8EBC06" w14:textId="77777777">
            <w:pPr>
              <w:tabs>
                <w:tab w:val="center" w:pos="4680"/>
              </w:tabs>
              <w:suppressAutoHyphens/>
              <w:rPr>
                <w:b/>
                <w:spacing w:val="-2"/>
              </w:rPr>
            </w:pPr>
            <w:r w:rsidRPr="00C03698">
              <w:rPr>
                <w:b/>
                <w:spacing w:val="-2"/>
              </w:rPr>
              <w:t>)</w:t>
            </w:r>
          </w:p>
          <w:p w:rsidR="004C2EE3" w:rsidRPr="00C03698" w14:paraId="60D009D8" w14:textId="77777777">
            <w:pPr>
              <w:tabs>
                <w:tab w:val="center" w:pos="4680"/>
              </w:tabs>
              <w:suppressAutoHyphens/>
              <w:rPr>
                <w:b/>
                <w:spacing w:val="-2"/>
              </w:rPr>
            </w:pPr>
            <w:r w:rsidRPr="00C03698">
              <w:rPr>
                <w:b/>
                <w:spacing w:val="-2"/>
              </w:rPr>
              <w:t>)</w:t>
            </w:r>
          </w:p>
          <w:p w:rsidR="004C2EE3" w:rsidRPr="00C03698" w14:paraId="2816913E" w14:textId="77777777">
            <w:pPr>
              <w:tabs>
                <w:tab w:val="center" w:pos="4680"/>
              </w:tabs>
              <w:suppressAutoHyphens/>
              <w:rPr>
                <w:b/>
                <w:spacing w:val="-2"/>
              </w:rPr>
            </w:pPr>
            <w:r w:rsidRPr="00C03698">
              <w:rPr>
                <w:b/>
                <w:spacing w:val="-2"/>
              </w:rPr>
              <w:t>)</w:t>
            </w:r>
          </w:p>
          <w:p w:rsidR="004C2EE3" w:rsidRPr="00C03698" w14:paraId="04CEAEF9" w14:textId="77777777">
            <w:pPr>
              <w:tabs>
                <w:tab w:val="center" w:pos="4680"/>
              </w:tabs>
              <w:suppressAutoHyphens/>
              <w:rPr>
                <w:b/>
                <w:spacing w:val="-2"/>
              </w:rPr>
            </w:pPr>
            <w:r w:rsidRPr="00C03698">
              <w:rPr>
                <w:b/>
                <w:spacing w:val="-2"/>
              </w:rPr>
              <w:t>)</w:t>
            </w:r>
          </w:p>
          <w:p w:rsidR="004C2EE3" w:rsidRPr="00C03698" w14:paraId="081B49D2" w14:textId="77777777">
            <w:pPr>
              <w:tabs>
                <w:tab w:val="center" w:pos="4680"/>
              </w:tabs>
              <w:suppressAutoHyphens/>
              <w:rPr>
                <w:b/>
                <w:spacing w:val="-2"/>
              </w:rPr>
            </w:pPr>
            <w:r w:rsidRPr="00C03698">
              <w:rPr>
                <w:b/>
                <w:spacing w:val="-2"/>
              </w:rPr>
              <w:t>)</w:t>
            </w:r>
          </w:p>
          <w:p w:rsidR="00307A32" w:rsidRPr="00C03698" w14:paraId="4D701E0C" w14:textId="2B2B9FAC">
            <w:pPr>
              <w:tabs>
                <w:tab w:val="center" w:pos="4680"/>
              </w:tabs>
              <w:suppressAutoHyphens/>
              <w:rPr>
                <w:b/>
                <w:spacing w:val="-2"/>
              </w:rPr>
            </w:pPr>
            <w:r w:rsidRPr="00C03698">
              <w:rPr>
                <w:b/>
                <w:spacing w:val="-2"/>
              </w:rPr>
              <w:t>)</w:t>
            </w:r>
          </w:p>
        </w:tc>
        <w:tc>
          <w:tcPr>
            <w:tcW w:w="4248" w:type="dxa"/>
          </w:tcPr>
          <w:p w:rsidR="004C2EE3" w:rsidRPr="00C03698" w14:paraId="613D8381" w14:textId="77777777">
            <w:pPr>
              <w:tabs>
                <w:tab w:val="center" w:pos="4680"/>
              </w:tabs>
              <w:suppressAutoHyphens/>
              <w:rPr>
                <w:spacing w:val="-2"/>
              </w:rPr>
            </w:pPr>
          </w:p>
          <w:p w:rsidR="00307A32" w:rsidRPr="00C03698" w:rsidP="00307A32" w14:paraId="429D34CE" w14:textId="2A61BA98">
            <w:pPr>
              <w:pStyle w:val="TOAHeading"/>
              <w:tabs>
                <w:tab w:val="center" w:pos="4680"/>
              </w:tabs>
              <w:rPr>
                <w:spacing w:val="-2"/>
              </w:rPr>
            </w:pPr>
          </w:p>
          <w:p w:rsidR="00D7045C" w:rsidRPr="00C03698" w:rsidP="00D7045C" w14:paraId="02402E57" w14:textId="7E895EDC">
            <w:r w:rsidRPr="00C03698">
              <w:rPr>
                <w:spacing w:val="-2"/>
              </w:rPr>
              <w:t xml:space="preserve">PS Docket No. 07-114 </w:t>
            </w:r>
          </w:p>
          <w:p w:rsidR="00307A32" w:rsidRPr="00C03698" w:rsidP="00307A32" w14:paraId="23FFA8BE" w14:textId="77777777">
            <w:pPr>
              <w:pStyle w:val="TOAHeading"/>
              <w:tabs>
                <w:tab w:val="center" w:pos="4680"/>
              </w:tabs>
              <w:rPr>
                <w:spacing w:val="-2"/>
              </w:rPr>
            </w:pPr>
          </w:p>
          <w:p w:rsidR="00307A32" w:rsidRPr="00C03698" w:rsidP="00307A32" w14:paraId="21F935B3" w14:textId="77777777">
            <w:pPr>
              <w:pStyle w:val="TOAHeading"/>
              <w:tabs>
                <w:tab w:val="center" w:pos="4680"/>
              </w:tabs>
              <w:rPr>
                <w:spacing w:val="-2"/>
              </w:rPr>
            </w:pPr>
          </w:p>
          <w:p w:rsidR="00307A32" w:rsidRPr="00C03698" w:rsidP="00307A32" w14:paraId="708DE21A" w14:textId="77777777">
            <w:pPr>
              <w:pStyle w:val="TOAHeading"/>
              <w:tabs>
                <w:tab w:val="center" w:pos="4680"/>
              </w:tabs>
              <w:rPr>
                <w:spacing w:val="-2"/>
              </w:rPr>
            </w:pPr>
          </w:p>
          <w:p w:rsidR="004C2EE3" w:rsidRPr="00C03698" w:rsidP="00307A32" w14:paraId="40CE4C9A" w14:textId="190EC128">
            <w:pPr>
              <w:tabs>
                <w:tab w:val="center" w:pos="4680"/>
              </w:tabs>
              <w:suppressAutoHyphens/>
              <w:rPr>
                <w:spacing w:val="-2"/>
              </w:rPr>
            </w:pPr>
          </w:p>
        </w:tc>
      </w:tr>
    </w:tbl>
    <w:p w:rsidR="004C2EE3" w:rsidRPr="00C03698" w:rsidP="0070224F" w14:paraId="2DFAB288" w14:textId="77777777"/>
    <w:p w:rsidR="00841AB1" w:rsidRPr="00C03698" w:rsidP="00F021FA" w14:paraId="059FE314" w14:textId="61BB239B">
      <w:pPr>
        <w:pStyle w:val="StyleBoldCentered"/>
      </w:pPr>
      <w:r w:rsidRPr="00C03698">
        <w:t>Order</w:t>
      </w:r>
    </w:p>
    <w:p w:rsidR="004C2EE3" w:rsidRPr="00C03698" w14:paraId="61D7174F" w14:textId="77777777">
      <w:pPr>
        <w:tabs>
          <w:tab w:val="left" w:pos="-720"/>
        </w:tabs>
        <w:suppressAutoHyphens/>
        <w:spacing w:line="227" w:lineRule="auto"/>
        <w:rPr>
          <w:spacing w:val="-2"/>
        </w:rPr>
      </w:pPr>
    </w:p>
    <w:p w:rsidR="004C2EE3" w:rsidRPr="00C03698" w:rsidP="00133F79" w14:paraId="13A60F83" w14:textId="391878FD">
      <w:pPr>
        <w:tabs>
          <w:tab w:val="left" w:pos="720"/>
          <w:tab w:val="right" w:pos="9360"/>
        </w:tabs>
        <w:suppressAutoHyphens/>
        <w:spacing w:line="227" w:lineRule="auto"/>
        <w:rPr>
          <w:spacing w:val="-2"/>
          <w:szCs w:val="22"/>
        </w:rPr>
      </w:pPr>
      <w:r w:rsidRPr="00C03698">
        <w:rPr>
          <w:b/>
          <w:spacing w:val="-2"/>
        </w:rPr>
        <w:t xml:space="preserve">Adopted:  </w:t>
      </w:r>
      <w:r w:rsidRPr="00C03698" w:rsidR="00074467">
        <w:rPr>
          <w:b/>
          <w:spacing w:val="-2"/>
        </w:rPr>
        <w:t>August</w:t>
      </w:r>
      <w:r w:rsidRPr="00C03698" w:rsidR="000F26E6">
        <w:rPr>
          <w:b/>
          <w:spacing w:val="-2"/>
        </w:rPr>
        <w:t xml:space="preserve"> </w:t>
      </w:r>
      <w:r w:rsidR="000A4E01">
        <w:rPr>
          <w:b/>
          <w:spacing w:val="-2"/>
        </w:rPr>
        <w:t>19</w:t>
      </w:r>
      <w:r w:rsidRPr="00C03698" w:rsidR="000F26E6">
        <w:rPr>
          <w:b/>
          <w:spacing w:val="-2"/>
        </w:rPr>
        <w:t xml:space="preserve">, </w:t>
      </w:r>
      <w:r w:rsidRPr="00C03698" w:rsidR="000F26E6">
        <w:rPr>
          <w:b/>
          <w:spacing w:val="-2"/>
          <w:szCs w:val="22"/>
        </w:rPr>
        <w:t>2020</w:t>
      </w:r>
      <w:r w:rsidRPr="00C03698">
        <w:rPr>
          <w:b/>
          <w:spacing w:val="-2"/>
          <w:szCs w:val="22"/>
        </w:rPr>
        <w:tab/>
      </w:r>
      <w:r w:rsidRPr="00C03698" w:rsidR="00822CE0">
        <w:rPr>
          <w:b/>
          <w:spacing w:val="-2"/>
          <w:szCs w:val="22"/>
        </w:rPr>
        <w:t>Released</w:t>
      </w:r>
      <w:r w:rsidRPr="00C03698">
        <w:rPr>
          <w:b/>
          <w:spacing w:val="-2"/>
          <w:szCs w:val="22"/>
        </w:rPr>
        <w:t>:</w:t>
      </w:r>
      <w:r w:rsidRPr="00C03698" w:rsidR="00822CE0">
        <w:rPr>
          <w:b/>
          <w:spacing w:val="-2"/>
          <w:szCs w:val="22"/>
        </w:rPr>
        <w:t xml:space="preserve"> </w:t>
      </w:r>
      <w:r w:rsidRPr="00C03698">
        <w:rPr>
          <w:b/>
          <w:spacing w:val="-2"/>
          <w:szCs w:val="22"/>
        </w:rPr>
        <w:t xml:space="preserve"> </w:t>
      </w:r>
      <w:r w:rsidRPr="00C03698" w:rsidR="00074467">
        <w:rPr>
          <w:b/>
          <w:spacing w:val="-2"/>
          <w:szCs w:val="22"/>
        </w:rPr>
        <w:t>August</w:t>
      </w:r>
      <w:r w:rsidRPr="00C03698" w:rsidR="000F26E6">
        <w:rPr>
          <w:b/>
          <w:spacing w:val="-2"/>
          <w:szCs w:val="22"/>
        </w:rPr>
        <w:t xml:space="preserve"> </w:t>
      </w:r>
      <w:r w:rsidR="000A4E01">
        <w:rPr>
          <w:b/>
          <w:spacing w:val="-2"/>
          <w:szCs w:val="22"/>
        </w:rPr>
        <w:t>19</w:t>
      </w:r>
      <w:r w:rsidRPr="00C03698" w:rsidR="000F26E6">
        <w:rPr>
          <w:b/>
          <w:spacing w:val="-2"/>
          <w:szCs w:val="22"/>
        </w:rPr>
        <w:t>, 2020</w:t>
      </w:r>
    </w:p>
    <w:p w:rsidR="00822CE0" w:rsidRPr="00C03698" w14:paraId="64ADD7F3" w14:textId="77777777">
      <w:pPr>
        <w:rPr>
          <w:szCs w:val="22"/>
        </w:rPr>
      </w:pPr>
    </w:p>
    <w:p w:rsidR="00822CE0" w:rsidRPr="00C03698" w:rsidP="000D1338" w14:paraId="1AF9E00B" w14:textId="75A40238">
      <w:pPr>
        <w:spacing w:after="120"/>
        <w:rPr>
          <w:spacing w:val="-2"/>
          <w:szCs w:val="22"/>
        </w:rPr>
      </w:pPr>
      <w:r w:rsidRPr="00C03698">
        <w:rPr>
          <w:szCs w:val="22"/>
        </w:rPr>
        <w:t xml:space="preserve">By </w:t>
      </w:r>
      <w:r w:rsidRPr="00C03698" w:rsidR="004E4A22">
        <w:rPr>
          <w:szCs w:val="22"/>
        </w:rPr>
        <w:t>the</w:t>
      </w:r>
      <w:r w:rsidRPr="00C03698" w:rsidR="002A2D2E">
        <w:rPr>
          <w:szCs w:val="22"/>
        </w:rPr>
        <w:t xml:space="preserve"> </w:t>
      </w:r>
      <w:r w:rsidRPr="00C03698" w:rsidR="00FE306D">
        <w:rPr>
          <w:szCs w:val="22"/>
        </w:rPr>
        <w:t xml:space="preserve">Chief, </w:t>
      </w:r>
      <w:r w:rsidRPr="00C03698" w:rsidR="007146DE">
        <w:rPr>
          <w:szCs w:val="22"/>
        </w:rPr>
        <w:t>Public Safety and Homeland Security Bureau</w:t>
      </w:r>
      <w:r w:rsidRPr="00C03698">
        <w:rPr>
          <w:spacing w:val="-2"/>
          <w:szCs w:val="22"/>
        </w:rPr>
        <w:t>:</w:t>
      </w:r>
      <w:r w:rsidRPr="00C03698" w:rsidR="00F63F1E">
        <w:rPr>
          <w:spacing w:val="-2"/>
          <w:szCs w:val="22"/>
        </w:rPr>
        <w:t xml:space="preserve"> </w:t>
      </w:r>
      <w:r w:rsidRPr="00C03698" w:rsidR="00D7045C">
        <w:rPr>
          <w:spacing w:val="-2"/>
          <w:szCs w:val="22"/>
        </w:rPr>
        <w:t xml:space="preserve"> </w:t>
      </w:r>
      <w:r w:rsidRPr="00C03698" w:rsidR="00A36BFE">
        <w:rPr>
          <w:spacing w:val="-2"/>
          <w:szCs w:val="22"/>
        </w:rPr>
        <w:t xml:space="preserve"> </w:t>
      </w:r>
    </w:p>
    <w:p w:rsidR="00307A32" w:rsidRPr="00C03698" w:rsidP="000D1338" w14:paraId="778492DD" w14:textId="77777777">
      <w:pPr>
        <w:pStyle w:val="Heading1"/>
        <w:keepNext w:val="0"/>
        <w:suppressAutoHyphens w:val="0"/>
        <w:rPr>
          <w:rFonts w:ascii="Times New Roman" w:hAnsi="Times New Roman"/>
          <w:szCs w:val="22"/>
        </w:rPr>
      </w:pPr>
      <w:bookmarkStart w:id="1" w:name="_Toc380163133"/>
      <w:bookmarkStart w:id="2" w:name="_Toc383005252"/>
      <w:bookmarkStart w:id="3" w:name="_Toc383005822"/>
      <w:bookmarkStart w:id="4" w:name="_Toc383072939"/>
      <w:bookmarkStart w:id="5" w:name="_Toc384134715"/>
      <w:bookmarkStart w:id="6" w:name="_Toc384135265"/>
      <w:bookmarkStart w:id="7" w:name="_Toc385340225"/>
      <w:bookmarkStart w:id="8" w:name="_Toc385340344"/>
      <w:bookmarkStart w:id="9" w:name="_Toc385340603"/>
      <w:bookmarkStart w:id="10" w:name="_Toc385346348"/>
      <w:bookmarkStart w:id="11" w:name="_Toc385516186"/>
      <w:bookmarkStart w:id="12" w:name="_Toc385603517"/>
      <w:bookmarkStart w:id="13" w:name="_Toc387858279"/>
      <w:bookmarkStart w:id="14" w:name="_Toc388962613"/>
      <w:bookmarkStart w:id="15" w:name="_Toc388975400"/>
      <w:r w:rsidRPr="00C03698">
        <w:rPr>
          <w:rFonts w:ascii="Times New Roman" w:hAnsi="Times New Roman"/>
          <w:szCs w:val="22"/>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701F3" w:rsidRPr="00C03698" w:rsidP="007006F2" w14:paraId="0510C211" w14:textId="31F89070">
      <w:pPr>
        <w:pStyle w:val="ParaNum"/>
      </w:pPr>
      <w:r w:rsidRPr="00C03698">
        <w:t xml:space="preserve">This Order grants </w:t>
      </w:r>
      <w:r w:rsidRPr="00C03698">
        <w:t xml:space="preserve">the Request for </w:t>
      </w:r>
      <w:r w:rsidRPr="00C03698" w:rsidR="00EC7F83">
        <w:t xml:space="preserve">Authorization </w:t>
      </w:r>
      <w:r w:rsidRPr="00C03698" w:rsidR="0020032A">
        <w:t xml:space="preserve">(Request) </w:t>
      </w:r>
      <w:r w:rsidRPr="00C03698" w:rsidR="00EC7F83">
        <w:t>of AT&amp;T Services, Inc. (AT&amp;T) to use the European Union Global Navigation Satellite System (</w:t>
      </w:r>
      <w:r w:rsidRPr="00C03698" w:rsidR="0091771D">
        <w:t>GNSS</w:t>
      </w:r>
      <w:r w:rsidRPr="00C03698" w:rsidR="00EC7F83">
        <w:t>)</w:t>
      </w:r>
      <w:r w:rsidRPr="00C03698" w:rsidR="0068148E">
        <w:t>,</w:t>
      </w:r>
      <w:r w:rsidRPr="00C03698" w:rsidR="00EC7F83">
        <w:t xml:space="preserve"> known as Galileo, for </w:t>
      </w:r>
      <w:r w:rsidRPr="00C03698" w:rsidR="002557F3">
        <w:t>E</w:t>
      </w:r>
      <w:r w:rsidRPr="00C03698" w:rsidR="00EC7F83">
        <w:t>nhanced 911 (E911) purposes.</w:t>
      </w:r>
      <w:r>
        <w:rPr>
          <w:rStyle w:val="FootnoteReference"/>
          <w:szCs w:val="22"/>
        </w:rPr>
        <w:footnoteReference w:id="3"/>
      </w:r>
      <w:r w:rsidRPr="00C03698" w:rsidR="00EC7F83">
        <w:t xml:space="preserve">  </w:t>
      </w:r>
      <w:r w:rsidRPr="00C03698" w:rsidR="007B2CCB">
        <w:rPr>
          <w:szCs w:val="22"/>
        </w:rPr>
        <w:t xml:space="preserve">AT&amp;T </w:t>
      </w:r>
      <w:r w:rsidRPr="00C03698" w:rsidR="007006F2">
        <w:rPr>
          <w:szCs w:val="22"/>
        </w:rPr>
        <w:t>“</w:t>
      </w:r>
      <w:r w:rsidRPr="00C03698" w:rsidR="007B2CCB">
        <w:rPr>
          <w:szCs w:val="22"/>
        </w:rPr>
        <w:t>seeks authority to use Galileo, in conjunction with the U.S. Global Positioning System (GPS), to improve the accuracy of E911 location services and thereby facilitate rapid response by emergency services when wireless callers dial 911.</w:t>
      </w:r>
      <w:r w:rsidRPr="00C03698" w:rsidR="007006F2">
        <w:rPr>
          <w:szCs w:val="22"/>
        </w:rPr>
        <w:t>”</w:t>
      </w:r>
      <w:r>
        <w:rPr>
          <w:rStyle w:val="FootnoteReference"/>
          <w:szCs w:val="22"/>
        </w:rPr>
        <w:footnoteReference w:id="4"/>
      </w:r>
      <w:r w:rsidRPr="00C03698" w:rsidR="007B2CCB">
        <w:rPr>
          <w:szCs w:val="22"/>
        </w:rPr>
        <w:t xml:space="preserve">  </w:t>
      </w:r>
      <w:r w:rsidRPr="00C03698" w:rsidR="007006F2">
        <w:t xml:space="preserve">We find that </w:t>
      </w:r>
      <w:r w:rsidRPr="00C03698" w:rsidR="00BF7FBB">
        <w:t xml:space="preserve">AT&amp;T </w:t>
      </w:r>
      <w:r w:rsidRPr="00C03698" w:rsidR="007B2CCB">
        <w:t>satisfies</w:t>
      </w:r>
      <w:r w:rsidRPr="00C03698" w:rsidR="00BF7FBB">
        <w:t xml:space="preserve"> the conditions for</w:t>
      </w:r>
      <w:r w:rsidRPr="00C03698" w:rsidR="002557F3">
        <w:t xml:space="preserve"> </w:t>
      </w:r>
      <w:r w:rsidRPr="00C03698" w:rsidR="0068148E">
        <w:t>Commercial Mobile Radio Service (</w:t>
      </w:r>
      <w:r w:rsidRPr="00C03698" w:rsidR="002557F3">
        <w:t>CMRS</w:t>
      </w:r>
      <w:r w:rsidRPr="00C03698" w:rsidR="0068148E">
        <w:t>)</w:t>
      </w:r>
      <w:r w:rsidRPr="00C03698" w:rsidR="002557F3">
        <w:t xml:space="preserve"> provider</w:t>
      </w:r>
      <w:r w:rsidRPr="00C03698" w:rsidR="0068148E">
        <w:t>s</w:t>
      </w:r>
      <w:r w:rsidRPr="00C03698" w:rsidR="002557F3">
        <w:t xml:space="preserve"> to integrate</w:t>
      </w:r>
      <w:r w:rsidRPr="00C03698" w:rsidR="00BF7FBB">
        <w:t xml:space="preserve"> foreign</w:t>
      </w:r>
      <w:r w:rsidRPr="00C03698" w:rsidR="002557F3">
        <w:t xml:space="preserve"> </w:t>
      </w:r>
      <w:r w:rsidRPr="00C03698" w:rsidR="00BF7FBB">
        <w:t>satellite signal</w:t>
      </w:r>
      <w:r w:rsidRPr="00C03698" w:rsidR="0012135D">
        <w:t>s</w:t>
      </w:r>
      <w:r w:rsidRPr="00C03698" w:rsidR="00BF7FBB">
        <w:t xml:space="preserve"> </w:t>
      </w:r>
      <w:r w:rsidRPr="00C03698" w:rsidR="002557F3">
        <w:t>into</w:t>
      </w:r>
      <w:r w:rsidRPr="00C03698" w:rsidR="00BF7FBB">
        <w:t xml:space="preserve"> E911 </w:t>
      </w:r>
      <w:r w:rsidRPr="00C03698" w:rsidR="002557F3">
        <w:t xml:space="preserve">services </w:t>
      </w:r>
      <w:r w:rsidRPr="00C03698" w:rsidR="00B56DB5">
        <w:t xml:space="preserve">outlined </w:t>
      </w:r>
      <w:r w:rsidRPr="00C03698" w:rsidR="00BF7FBB">
        <w:t xml:space="preserve">in </w:t>
      </w:r>
      <w:r w:rsidRPr="00C03698" w:rsidR="00B56DB5">
        <w:t xml:space="preserve">the </w:t>
      </w:r>
      <w:r w:rsidRPr="00C03698" w:rsidR="00BF7FBB">
        <w:rPr>
          <w:i/>
          <w:iCs/>
        </w:rPr>
        <w:t>Fourth Report and Order</w:t>
      </w:r>
      <w:r w:rsidRPr="00C03698" w:rsidR="002557F3">
        <w:t xml:space="preserve"> in this proceeding</w:t>
      </w:r>
      <w:r w:rsidRPr="00C03698" w:rsidR="007B2CCB">
        <w:t>.</w:t>
      </w:r>
      <w:r>
        <w:rPr>
          <w:rStyle w:val="FootnoteReference"/>
          <w:szCs w:val="22"/>
        </w:rPr>
        <w:footnoteReference w:id="5"/>
      </w:r>
      <w:r w:rsidRPr="00C03698" w:rsidR="00BF7FBB">
        <w:t xml:space="preserve">  </w:t>
      </w:r>
      <w:r w:rsidRPr="00C03698" w:rsidR="00145A29">
        <w:t>Therefore</w:t>
      </w:r>
      <w:r w:rsidRPr="00C03698" w:rsidR="007006F2">
        <w:t xml:space="preserve">, we </w:t>
      </w:r>
      <w:r w:rsidRPr="00C03698" w:rsidR="00145A29">
        <w:t>conclude that</w:t>
      </w:r>
      <w:r w:rsidRPr="00C03698" w:rsidR="007006F2">
        <w:t xml:space="preserve"> granting AT&amp;T’s Request would serve the public interest by improving mobile device location determination, </w:t>
      </w:r>
      <w:r w:rsidRPr="00C03698" w:rsidR="00216B67">
        <w:t xml:space="preserve">thus </w:t>
      </w:r>
      <w:r w:rsidRPr="00C03698" w:rsidR="007006F2">
        <w:t>improv</w:t>
      </w:r>
      <w:r w:rsidRPr="00C03698" w:rsidR="00216B67">
        <w:t>ing</w:t>
      </w:r>
      <w:r w:rsidRPr="00C03698" w:rsidR="007006F2">
        <w:t xml:space="preserve"> emergency response and sav</w:t>
      </w:r>
      <w:r w:rsidRPr="00C03698" w:rsidR="00216B67">
        <w:t>ing</w:t>
      </w:r>
      <w:r w:rsidRPr="00C03698" w:rsidR="007006F2">
        <w:t xml:space="preserve"> lives</w:t>
      </w:r>
      <w:r w:rsidRPr="00C03698" w:rsidR="00055F58">
        <w:t>,</w:t>
      </w:r>
      <w:r w:rsidRPr="00C03698" w:rsidR="007006F2">
        <w:t xml:space="preserve"> without </w:t>
      </w:r>
      <w:r w:rsidRPr="00C03698" w:rsidR="00EF3639">
        <w:t>increasing the exposure of AT</w:t>
      </w:r>
      <w:r w:rsidRPr="00C03698" w:rsidR="0086055C">
        <w:t>&amp;</w:t>
      </w:r>
      <w:r w:rsidRPr="00C03698" w:rsidR="00EF3639">
        <w:t>T devices to harmful</w:t>
      </w:r>
      <w:r w:rsidRPr="00C03698" w:rsidR="007006F2">
        <w:t xml:space="preserve"> interference.</w:t>
      </w:r>
    </w:p>
    <w:p w:rsidR="00307A32" w:rsidRPr="00C03698" w:rsidP="000D1338" w14:paraId="746980DE" w14:textId="3E626CE4">
      <w:pPr>
        <w:pStyle w:val="Heading1"/>
        <w:keepNext w:val="0"/>
        <w:suppressAutoHyphens w:val="0"/>
        <w:rPr>
          <w:rFonts w:ascii="Times New Roman" w:hAnsi="Times New Roman"/>
          <w:szCs w:val="22"/>
        </w:rPr>
      </w:pPr>
      <w:bookmarkStart w:id="16" w:name="_Toc385603520"/>
      <w:bookmarkStart w:id="17" w:name="_Toc383005254"/>
      <w:bookmarkStart w:id="18" w:name="_Toc383005824"/>
      <w:bookmarkStart w:id="19" w:name="_Toc383072941"/>
      <w:bookmarkStart w:id="20" w:name="_Toc384134717"/>
      <w:bookmarkStart w:id="21" w:name="_Toc384135267"/>
      <w:bookmarkStart w:id="22" w:name="_Toc385340227"/>
      <w:bookmarkStart w:id="23" w:name="_Toc385340346"/>
      <w:bookmarkStart w:id="24" w:name="_Toc385340605"/>
      <w:bookmarkStart w:id="25" w:name="_Toc385346350"/>
      <w:bookmarkStart w:id="26" w:name="_Toc385516188"/>
      <w:bookmarkStart w:id="27" w:name="_Toc385603521"/>
      <w:bookmarkStart w:id="28" w:name="_Toc387858281"/>
      <w:bookmarkStart w:id="29" w:name="_Toc388962615"/>
      <w:bookmarkStart w:id="30" w:name="_Toc388975402"/>
      <w:bookmarkEnd w:id="16"/>
      <w:r w:rsidRPr="00C03698">
        <w:rPr>
          <w:rFonts w:ascii="Times New Roman" w:hAnsi="Times New Roman"/>
          <w:szCs w:val="22"/>
        </w:rPr>
        <w:t>BACKGROUND</w:t>
      </w:r>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03698" w:rsidR="0091771D">
        <w:rPr>
          <w:rFonts w:ascii="Times New Roman" w:hAnsi="Times New Roman"/>
          <w:szCs w:val="22"/>
        </w:rPr>
        <w:t xml:space="preserve"> </w:t>
      </w:r>
    </w:p>
    <w:p w:rsidR="00107A93" w:rsidRPr="00C03698" w:rsidP="00F730C3" w14:paraId="3091325F" w14:textId="7A1FCD5C">
      <w:pPr>
        <w:pStyle w:val="ParaNum"/>
      </w:pPr>
      <w:r w:rsidRPr="00C03698">
        <w:rPr>
          <w:i/>
          <w:iCs/>
          <w:szCs w:val="22"/>
        </w:rPr>
        <w:t>Enhanced 911</w:t>
      </w:r>
      <w:r w:rsidRPr="00C03698">
        <w:rPr>
          <w:szCs w:val="22"/>
        </w:rPr>
        <w:t xml:space="preserve">.  </w:t>
      </w:r>
      <w:r w:rsidRPr="00C03698" w:rsidR="006561FD">
        <w:t>In 2015, the Commission issued a</w:t>
      </w:r>
      <w:r w:rsidRPr="00C03698" w:rsidR="00677B48">
        <w:t xml:space="preserve"> </w:t>
      </w:r>
      <w:r w:rsidRPr="00C03698" w:rsidR="00677B48">
        <w:rPr>
          <w:i/>
          <w:iCs/>
        </w:rPr>
        <w:t>Fourth Report and Order</w:t>
      </w:r>
      <w:r w:rsidRPr="00C03698" w:rsidR="00677B48">
        <w:t xml:space="preserve"> i</w:t>
      </w:r>
      <w:r w:rsidRPr="00C03698" w:rsidR="006561FD">
        <w:t xml:space="preserve">n </w:t>
      </w:r>
      <w:r w:rsidRPr="00C03698" w:rsidR="00677B48">
        <w:t>this proceeding that</w:t>
      </w:r>
      <w:r w:rsidRPr="00C03698" w:rsidR="00084137">
        <w:t xml:space="preserve"> </w:t>
      </w:r>
      <w:r w:rsidRPr="00C03698" w:rsidR="00084137">
        <w:rPr>
          <w:color w:val="000000"/>
          <w:shd w:val="clear" w:color="auto" w:fill="FFFFFF"/>
        </w:rPr>
        <w:t>strengthened</w:t>
      </w:r>
      <w:r w:rsidRPr="00C03698" w:rsidR="00BD2DEF">
        <w:rPr>
          <w:color w:val="000000"/>
          <w:shd w:val="clear" w:color="auto" w:fill="FFFFFF"/>
        </w:rPr>
        <w:t xml:space="preserve"> the</w:t>
      </w:r>
      <w:r w:rsidRPr="00C03698" w:rsidR="00084137">
        <w:rPr>
          <w:color w:val="000000"/>
          <w:shd w:val="clear" w:color="auto" w:fill="FFFFFF"/>
        </w:rPr>
        <w:t xml:space="preserve"> E911 location accuracy rules to improve location determination for outdoor and indoor calls</w:t>
      </w:r>
      <w:r w:rsidRPr="00C03698" w:rsidR="00084137">
        <w:t>.</w:t>
      </w:r>
      <w:r w:rsidRPr="00C03698" w:rsidR="006561FD">
        <w:t xml:space="preserve"> </w:t>
      </w:r>
      <w:r w:rsidRPr="00C03698" w:rsidR="00084137">
        <w:t>A</w:t>
      </w:r>
      <w:r w:rsidRPr="00C03698" w:rsidR="006561FD">
        <w:t xml:space="preserve">mong other things, </w:t>
      </w:r>
      <w:r w:rsidRPr="00C03698" w:rsidR="00084137">
        <w:t xml:space="preserve">the Commission </w:t>
      </w:r>
      <w:r w:rsidRPr="00C03698" w:rsidR="00677B48">
        <w:t xml:space="preserve">addressed the </w:t>
      </w:r>
      <w:r w:rsidRPr="00C03698" w:rsidR="005D1839">
        <w:t xml:space="preserve">combined </w:t>
      </w:r>
      <w:r w:rsidRPr="00C03698" w:rsidR="006561FD">
        <w:t xml:space="preserve">use of foreign GNSS signals </w:t>
      </w:r>
      <w:r w:rsidRPr="00C03698" w:rsidR="00084137">
        <w:t xml:space="preserve">with GPS that could augment </w:t>
      </w:r>
      <w:r w:rsidRPr="00C03698" w:rsidR="006561FD">
        <w:t xml:space="preserve">E911. </w:t>
      </w:r>
      <w:r w:rsidRPr="00C03698" w:rsidR="007006F2">
        <w:t xml:space="preserve"> </w:t>
      </w:r>
      <w:r w:rsidRPr="00C03698" w:rsidR="00084137">
        <w:t>At that time</w:t>
      </w:r>
      <w:r w:rsidRPr="00C03698" w:rsidR="00C43C63">
        <w:t>,</w:t>
      </w:r>
      <w:r w:rsidRPr="00C03698" w:rsidR="00084137">
        <w:t xml:space="preserve"> CMRS providers intended to test the potential use of non-U.S. systems (such as Galileo) to support E911 location.</w:t>
      </w:r>
      <w:r>
        <w:rPr>
          <w:rStyle w:val="FootnoteReference"/>
        </w:rPr>
        <w:footnoteReference w:id="6"/>
      </w:r>
      <w:r w:rsidRPr="00C03698" w:rsidR="00084137">
        <w:t xml:space="preserve">  </w:t>
      </w:r>
      <w:r w:rsidRPr="00C03698" w:rsidR="00677B48">
        <w:t>The Commission</w:t>
      </w:r>
      <w:r w:rsidRPr="00C03698" w:rsidR="0068148E">
        <w:t xml:space="preserve"> emphasized that </w:t>
      </w:r>
      <w:r w:rsidRPr="00C03698" w:rsidR="00677B48">
        <w:t>it</w:t>
      </w:r>
      <w:r w:rsidRPr="00C03698" w:rsidR="0068148E">
        <w:t xml:space="preserve"> had not approved any waiver petition or application that woul</w:t>
      </w:r>
      <w:r w:rsidRPr="00C03698" w:rsidR="00055F58">
        <w:t>d authorize</w:t>
      </w:r>
      <w:r w:rsidRPr="00C03698" w:rsidR="0068148E">
        <w:t xml:space="preserve"> use of any non-U.S. GNSS to support E911 location services, noted concerns with such operations, and identified procedures for CMRS providers to follow before non-U.S. GNSS signals could be integrated into E911.</w:t>
      </w:r>
      <w:r>
        <w:rPr>
          <w:rStyle w:val="FootnoteReference"/>
          <w:szCs w:val="22"/>
        </w:rPr>
        <w:footnoteReference w:id="7"/>
      </w:r>
      <w:r w:rsidRPr="00C03698" w:rsidR="0068148E">
        <w:t xml:space="preserve">  The Commission stated that </w:t>
      </w:r>
      <w:r w:rsidRPr="00C03698" w:rsidR="00C43C63">
        <w:t xml:space="preserve">parties who request </w:t>
      </w:r>
      <w:r w:rsidRPr="00C03698" w:rsidR="0068148E">
        <w:t>authoriz</w:t>
      </w:r>
      <w:r w:rsidRPr="00C03698" w:rsidR="00C43C63">
        <w:t>at</w:t>
      </w:r>
      <w:r w:rsidRPr="00C03698" w:rsidR="0068148E">
        <w:t>i</w:t>
      </w:r>
      <w:r w:rsidRPr="00C03698" w:rsidR="00C43C63">
        <w:t>o</w:t>
      </w:r>
      <w:r w:rsidRPr="00C03698" w:rsidR="0068148E">
        <w:t>n</w:t>
      </w:r>
      <w:r w:rsidRPr="00C03698" w:rsidR="00C43C63">
        <w:t xml:space="preserve"> of </w:t>
      </w:r>
      <w:r w:rsidRPr="00C03698" w:rsidR="0068148E">
        <w:t xml:space="preserve">such signals for E911 </w:t>
      </w:r>
      <w:r w:rsidRPr="00C03698" w:rsidR="00C43C63">
        <w:t xml:space="preserve">must </w:t>
      </w:r>
      <w:r w:rsidRPr="00C03698" w:rsidR="0068148E">
        <w:t xml:space="preserve">first consider </w:t>
      </w:r>
      <w:r w:rsidRPr="00C03698" w:rsidR="00055F58">
        <w:t xml:space="preserve">such </w:t>
      </w:r>
      <w:r w:rsidRPr="00C03698" w:rsidR="0068148E">
        <w:t xml:space="preserve">issues </w:t>
      </w:r>
      <w:r w:rsidRPr="00C03698" w:rsidR="00055F58">
        <w:t xml:space="preserve">as </w:t>
      </w:r>
      <w:r w:rsidRPr="00C03698" w:rsidR="0068148E">
        <w:t>potential interference to adjacent bands, potential increased exposure of devices to interference from additional signals, the potential for increased signal noise</w:t>
      </w:r>
      <w:r w:rsidRPr="00C03698" w:rsidR="00055F58">
        <w:t>,</w:t>
      </w:r>
      <w:r w:rsidRPr="00C03698" w:rsidR="0068148E">
        <w:t xml:space="preserve"> and data integrity problems </w:t>
      </w:r>
      <w:r w:rsidRPr="00C03698" w:rsidR="00F94A95">
        <w:t>including inaccuracy in transmitted E911 location data</w:t>
      </w:r>
      <w:r w:rsidRPr="00C03698" w:rsidR="0068148E">
        <w:t>.</w:t>
      </w:r>
      <w:r>
        <w:rPr>
          <w:rStyle w:val="FootnoteReference"/>
          <w:szCs w:val="22"/>
        </w:rPr>
        <w:footnoteReference w:id="8"/>
      </w:r>
      <w:r w:rsidRPr="00C03698" w:rsidR="0068148E">
        <w:t xml:space="preserve">  </w:t>
      </w:r>
    </w:p>
    <w:p w:rsidR="00F94A95" w:rsidRPr="00C03698" w:rsidP="00F94A95" w14:paraId="31CD68D4" w14:textId="63749C1A">
      <w:pPr>
        <w:pStyle w:val="ParaNum"/>
      </w:pPr>
      <w:r w:rsidRPr="00C03698">
        <w:t xml:space="preserve">Given the need for </w:t>
      </w:r>
      <w:r w:rsidRPr="00C03698" w:rsidR="002135CD">
        <w:t xml:space="preserve">additional </w:t>
      </w:r>
      <w:r w:rsidRPr="00C03698">
        <w:t>study, i</w:t>
      </w:r>
      <w:r w:rsidRPr="00C03698">
        <w:t xml:space="preserve">n the </w:t>
      </w:r>
      <w:r w:rsidRPr="00C03698">
        <w:rPr>
          <w:i/>
          <w:iCs/>
        </w:rPr>
        <w:t>Fourth Report and Order</w:t>
      </w:r>
      <w:r w:rsidRPr="00C03698">
        <w:t>, the Commission further identified what CMRS providers must do to receive authorization to incorporate foreign GNSS signals into E911 service:</w:t>
      </w:r>
    </w:p>
    <w:p w:rsidR="00452310" w:rsidRPr="00C03698" w:rsidP="00F730C3" w14:paraId="0D271D91" w14:textId="281CBCFB">
      <w:pPr>
        <w:pStyle w:val="ParaNum"/>
        <w:numPr>
          <w:ilvl w:val="0"/>
          <w:numId w:val="0"/>
        </w:numPr>
        <w:ind w:left="720" w:right="720"/>
      </w:pPr>
      <w:r w:rsidRPr="00C03698">
        <w:t>We believe that CMRS providers seeking to use non-U.S. satellites should also conduct testing to ensure that operation with these signals does not inadvertently introduce vulnerabilities to the devices that could impair E911 performance or compromise data integrity.  For example, devices that are augmented to receive signals from multiple satellite constellations may be more susceptible to radio frequency interference than devices that receive signals from GPS alone.  Devices should also be evaluated to determine their capabilities to detect and mitigate the effects of inaccurate or corrupted data from any RNSS system that could result in incorrect location information, or no information at all, being relayed to a PSAP.  We expect CMRS providers, at the time they certify their compliance with the Commission’s location accuracy requirements, to also certify that any devices on their network operating with foreign A-GNSS signals for 911 location accuracy have proper authorizations in place to permit such use.  Before incorporating foreign A-GNSS into E911, CMRS providers must coordinate plans for foreign A-GNSS signal integration with the Public Safety and Homeland Security Bureau to confirm that signals are interoperable with GPS and that measures to prevent interference are appropriate.  Furthermore, CMRS providers are expected to certify that the devices have been tested to determine their ability to detect and mitigate the effects of harmful interference.</w:t>
      </w:r>
      <w:r>
        <w:rPr>
          <w:rStyle w:val="FootnoteReference"/>
        </w:rPr>
        <w:footnoteReference w:id="9"/>
      </w:r>
    </w:p>
    <w:p w:rsidR="00452310" w:rsidRPr="00C03698" w:rsidP="00A1038A" w14:paraId="7820D8F1" w14:textId="6FF519EE">
      <w:pPr>
        <w:pStyle w:val="ParaNum"/>
      </w:pPr>
      <w:r w:rsidRPr="00C03698">
        <w:rPr>
          <w:i/>
          <w:iCs/>
        </w:rPr>
        <w:t>Galileo Order</w:t>
      </w:r>
      <w:r w:rsidRPr="00C03698">
        <w:t xml:space="preserve">.  </w:t>
      </w:r>
      <w:r w:rsidRPr="00C03698" w:rsidR="00A1038A">
        <w:t xml:space="preserve">In January 2017, the </w:t>
      </w:r>
      <w:r w:rsidRPr="00C03698" w:rsidR="0080471D">
        <w:t>International Bureau</w:t>
      </w:r>
      <w:r w:rsidRPr="00C03698" w:rsidR="00A1038A">
        <w:t xml:space="preserve"> released a </w:t>
      </w:r>
      <w:r w:rsidRPr="00C03698" w:rsidR="00A1038A">
        <w:rPr>
          <w:i/>
          <w:iCs/>
        </w:rPr>
        <w:t>Public Notice</w:t>
      </w:r>
      <w:r w:rsidRPr="00C03698" w:rsidR="00A1038A">
        <w:t xml:space="preserve"> seeking comment on a request from the National Telecommunication and Information Administration (NTIA), on behalf of the European Commission (EC), seeking a waiver to permit all non-Federal receive-only earth stations to operate with the Galileo system’s E1, E5, and E6 signals.</w:t>
      </w:r>
      <w:r>
        <w:rPr>
          <w:rStyle w:val="FootnoteReference"/>
        </w:rPr>
        <w:footnoteReference w:id="10"/>
      </w:r>
      <w:r w:rsidRPr="00C03698" w:rsidR="00A1038A">
        <w:t xml:space="preserve"> </w:t>
      </w:r>
      <w:r w:rsidRPr="00C03698" w:rsidR="00362AA3">
        <w:t xml:space="preserve"> </w:t>
      </w:r>
      <w:r w:rsidRPr="00C03698" w:rsidR="00107A93">
        <w:t>In 2018, the</w:t>
      </w:r>
      <w:r w:rsidRPr="00C03698" w:rsidR="009D188A">
        <w:t xml:space="preserve"> Commission</w:t>
      </w:r>
      <w:r w:rsidRPr="00C03698" w:rsidR="00055F58">
        <w:t xml:space="preserve"> authorized </w:t>
      </w:r>
      <w:r w:rsidRPr="00C03698" w:rsidR="00B37C6B">
        <w:t xml:space="preserve">devices </w:t>
      </w:r>
      <w:r w:rsidRPr="00C03698" w:rsidR="00107A93">
        <w:t>to receive signals from the Galileo system</w:t>
      </w:r>
      <w:r w:rsidRPr="00C03698" w:rsidR="00B20ED0">
        <w:t xml:space="preserve"> (E1 and E5, but not E6)</w:t>
      </w:r>
      <w:r w:rsidRPr="00C03698" w:rsidR="009D188A">
        <w:t>.</w:t>
      </w:r>
      <w:r>
        <w:rPr>
          <w:rStyle w:val="FootnoteReference"/>
        </w:rPr>
        <w:footnoteReference w:id="11"/>
      </w:r>
      <w:r w:rsidRPr="00C03698" w:rsidR="00107A93">
        <w:t xml:space="preserve"> </w:t>
      </w:r>
      <w:r w:rsidRPr="00C03698" w:rsidR="00B56DB5">
        <w:t xml:space="preserve"> </w:t>
      </w:r>
      <w:r w:rsidRPr="00C03698" w:rsidR="009D188A">
        <w:t xml:space="preserve">Specifically, the Commission </w:t>
      </w:r>
      <w:r w:rsidRPr="00C03698" w:rsidR="00107A93">
        <w:t>waiv</w:t>
      </w:r>
      <w:r w:rsidRPr="00C03698" w:rsidR="009D188A">
        <w:t>ed</w:t>
      </w:r>
      <w:r w:rsidRPr="00C03698" w:rsidR="00107A93">
        <w:t xml:space="preserve"> </w:t>
      </w:r>
      <w:r w:rsidRPr="00C03698" w:rsidR="00957C1C">
        <w:t xml:space="preserve">former </w:t>
      </w:r>
      <w:r w:rsidRPr="00C03698" w:rsidR="00055F58">
        <w:t>s</w:t>
      </w:r>
      <w:r w:rsidRPr="00C03698">
        <w:t xml:space="preserve">ection </w:t>
      </w:r>
      <w:r w:rsidRPr="00C03698" w:rsidR="00957C1C">
        <w:t xml:space="preserve">25.131(j)(1) (now </w:t>
      </w:r>
      <w:r w:rsidRPr="00C03698" w:rsidR="00055F58">
        <w:t>s</w:t>
      </w:r>
      <w:r w:rsidRPr="00C03698">
        <w:t xml:space="preserve">ection </w:t>
      </w:r>
      <w:r w:rsidRPr="00C03698" w:rsidR="00107A93">
        <w:t>25.115</w:t>
      </w:r>
      <w:r w:rsidRPr="00C03698" w:rsidR="00B37C6B">
        <w:t>(b)(9)</w:t>
      </w:r>
      <w:r w:rsidRPr="00C03698" w:rsidR="00957C1C">
        <w:t>)</w:t>
      </w:r>
      <w:r>
        <w:rPr>
          <w:rStyle w:val="FootnoteReference"/>
        </w:rPr>
        <w:footnoteReference w:id="12"/>
      </w:r>
      <w:r w:rsidRPr="00C03698" w:rsidR="00957C1C">
        <w:t xml:space="preserve"> and </w:t>
      </w:r>
      <w:r w:rsidRPr="00C03698" w:rsidR="00055F58">
        <w:t>s</w:t>
      </w:r>
      <w:r w:rsidRPr="00C03698">
        <w:t xml:space="preserve">ection </w:t>
      </w:r>
      <w:r w:rsidRPr="00C03698" w:rsidR="00957C1C">
        <w:t xml:space="preserve">25.137 </w:t>
      </w:r>
      <w:r w:rsidRPr="00C03698" w:rsidR="00107A93">
        <w:t xml:space="preserve">requiring </w:t>
      </w:r>
      <w:r w:rsidRPr="00C03698" w:rsidR="00957C1C">
        <w:t xml:space="preserve">either earth station </w:t>
      </w:r>
      <w:r w:rsidRPr="00C03698" w:rsidR="00107A93">
        <w:t xml:space="preserve">licensing or </w:t>
      </w:r>
      <w:r w:rsidRPr="00C03698" w:rsidR="00957C1C">
        <w:t xml:space="preserve">satellite </w:t>
      </w:r>
      <w:r w:rsidRPr="00C03698" w:rsidR="00183ECB">
        <w:t xml:space="preserve">system </w:t>
      </w:r>
      <w:r w:rsidRPr="00C03698" w:rsidR="00107A93">
        <w:t xml:space="preserve">market </w:t>
      </w:r>
      <w:r w:rsidRPr="00C03698" w:rsidR="00957C1C">
        <w:t xml:space="preserve">access </w:t>
      </w:r>
      <w:r w:rsidRPr="00C03698" w:rsidR="00107A93">
        <w:t>approval</w:t>
      </w:r>
      <w:r w:rsidRPr="00C03698" w:rsidR="00B37C6B">
        <w:t xml:space="preserve"> </w:t>
      </w:r>
      <w:r w:rsidRPr="00C03698" w:rsidR="00183ECB">
        <w:t>prior to</w:t>
      </w:r>
      <w:r w:rsidRPr="00C03698" w:rsidR="00B37C6B">
        <w:t xml:space="preserve"> such use</w:t>
      </w:r>
      <w:r w:rsidRPr="00C03698" w:rsidR="00107A93">
        <w:t>.</w:t>
      </w:r>
      <w:r>
        <w:rPr>
          <w:rStyle w:val="FootnoteReference"/>
        </w:rPr>
        <w:footnoteReference w:id="13"/>
      </w:r>
      <w:r w:rsidRPr="00C03698" w:rsidR="00107A93">
        <w:t xml:space="preserve">  </w:t>
      </w:r>
      <w:r w:rsidRPr="00C03698" w:rsidR="00943365">
        <w:t xml:space="preserve">At </w:t>
      </w:r>
      <w:r w:rsidRPr="00C03698" w:rsidR="00943365">
        <w:t>that time, the</w:t>
      </w:r>
      <w:r w:rsidRPr="00C03698" w:rsidR="005D5372">
        <w:t xml:space="preserve"> Commission </w:t>
      </w:r>
      <w:r w:rsidRPr="00C03698" w:rsidR="00943365">
        <w:t>did</w:t>
      </w:r>
      <w:r w:rsidRPr="00C03698" w:rsidR="005D5372">
        <w:t xml:space="preserve"> </w:t>
      </w:r>
      <w:r w:rsidRPr="00C03698" w:rsidR="00943365">
        <w:t>not</w:t>
      </w:r>
      <w:r w:rsidRPr="00C03698" w:rsidR="005D5372">
        <w:t xml:space="preserve"> authorize Galileo receivers to use the E1 and E5 signals in support of E911</w:t>
      </w:r>
      <w:r w:rsidRPr="00C03698" w:rsidR="00F215BD">
        <w:t>.</w:t>
      </w:r>
      <w:r>
        <w:rPr>
          <w:rStyle w:val="FootnoteReference"/>
        </w:rPr>
        <w:footnoteReference w:id="14"/>
      </w:r>
      <w:r w:rsidRPr="00C03698" w:rsidR="005D5372">
        <w:t xml:space="preserve">  </w:t>
      </w:r>
      <w:r w:rsidRPr="00C03698" w:rsidR="00A4215A">
        <w:t xml:space="preserve"> </w:t>
      </w:r>
      <w:r w:rsidRPr="00C03698" w:rsidR="00107A93">
        <w:t xml:space="preserve">The </w:t>
      </w:r>
      <w:r w:rsidRPr="00C03698" w:rsidR="005606A2">
        <w:t xml:space="preserve">Commission </w:t>
      </w:r>
      <w:r w:rsidRPr="00C03698" w:rsidR="007446AD">
        <w:t xml:space="preserve">observed that the </w:t>
      </w:r>
      <w:r w:rsidRPr="00C03698" w:rsidR="00D97F96">
        <w:rPr>
          <w:i/>
          <w:iCs/>
        </w:rPr>
        <w:t>Fourth Report and Order</w:t>
      </w:r>
      <w:r w:rsidRPr="00C03698" w:rsidR="007446AD">
        <w:t xml:space="preserve"> “identified procedures for Commercial Mobile Radio Service (CMRS) providers to follow before non-U.S. GNSS signals could be integrated into E911.”</w:t>
      </w:r>
      <w:r>
        <w:rPr>
          <w:rStyle w:val="FootnoteReference"/>
        </w:rPr>
        <w:footnoteReference w:id="15"/>
      </w:r>
      <w:r w:rsidRPr="00C03698" w:rsidR="00260186">
        <w:t xml:space="preserve"> </w:t>
      </w:r>
      <w:r w:rsidRPr="00C03698" w:rsidR="000E1006">
        <w:t xml:space="preserve"> </w:t>
      </w:r>
      <w:r w:rsidRPr="00C03698" w:rsidR="007446AD">
        <w:t xml:space="preserve">The </w:t>
      </w:r>
      <w:r w:rsidRPr="00C03698" w:rsidR="00A4215A">
        <w:t xml:space="preserve">Commission </w:t>
      </w:r>
      <w:r w:rsidRPr="00C03698" w:rsidR="00107A93">
        <w:t xml:space="preserve">specified it </w:t>
      </w:r>
      <w:r w:rsidRPr="00C03698">
        <w:t>did “not address these additional procedures that CMRS providers must follow before integrating the Galileo E1 and E5 signals for E911 location services.”</w:t>
      </w:r>
      <w:r>
        <w:rPr>
          <w:rStyle w:val="FootnoteReference"/>
        </w:rPr>
        <w:footnoteReference w:id="16"/>
      </w:r>
      <w:r w:rsidRPr="00C03698">
        <w:t xml:space="preserve"> </w:t>
      </w:r>
      <w:r w:rsidRPr="00C03698" w:rsidR="00A0000B">
        <w:t xml:space="preserve"> </w:t>
      </w:r>
    </w:p>
    <w:p w:rsidR="00FA6FA1" w:rsidRPr="00C03698" w:rsidP="00FA6FA1" w14:paraId="7565C64E" w14:textId="4197805C">
      <w:pPr>
        <w:pStyle w:val="ParaNum"/>
      </w:pPr>
      <w:r w:rsidRPr="00C03698">
        <w:t>Pursuant to authority delegated by the Commission, t</w:t>
      </w:r>
      <w:r w:rsidRPr="00C03698">
        <w:t xml:space="preserve">he Public Safety and Homeland Security Bureau (PSHSB), in coordination with the Office of Engineering and Technology </w:t>
      </w:r>
      <w:r w:rsidRPr="00C03698" w:rsidR="0086055C">
        <w:t xml:space="preserve">(OET) </w:t>
      </w:r>
      <w:r w:rsidRPr="00C03698">
        <w:t>and the Wireless Telecommunications Bureau</w:t>
      </w:r>
      <w:r w:rsidRPr="00C03698" w:rsidR="0086055C">
        <w:t xml:space="preserve"> (WTB)</w:t>
      </w:r>
      <w:r w:rsidRPr="00C03698">
        <w:t>, dev</w:t>
      </w:r>
      <w:r w:rsidRPr="00C03698" w:rsidR="007F61BC">
        <w:t>elope</w:t>
      </w:r>
      <w:r w:rsidRPr="00C03698">
        <w:t>d a set of procedures to e</w:t>
      </w:r>
      <w:r w:rsidRPr="00C03698" w:rsidR="007F61BC">
        <w:t>valuate whether</w:t>
      </w:r>
      <w:r w:rsidRPr="00C03698">
        <w:t xml:space="preserve"> </w:t>
      </w:r>
      <w:r w:rsidRPr="00C03698" w:rsidR="008C2D26">
        <w:t xml:space="preserve">nationwide </w:t>
      </w:r>
      <w:r w:rsidRPr="00C03698">
        <w:t xml:space="preserve">CMRS providers comply with the conditions of the </w:t>
      </w:r>
      <w:r w:rsidRPr="00C03698">
        <w:rPr>
          <w:i/>
          <w:iCs/>
        </w:rPr>
        <w:t>Fourth Report and Order</w:t>
      </w:r>
      <w:r w:rsidRPr="00C03698">
        <w:t xml:space="preserve"> </w:t>
      </w:r>
      <w:r w:rsidRPr="00C03698" w:rsidR="002547CE">
        <w:t>in order to be authorized to use Galileo in connection with E911 geolocation in the U.S.</w:t>
      </w:r>
      <w:r w:rsidRPr="00C03698">
        <w:t>.</w:t>
      </w:r>
      <w:r>
        <w:rPr>
          <w:rStyle w:val="FootnoteReference"/>
        </w:rPr>
        <w:footnoteReference w:id="17"/>
      </w:r>
      <w:r w:rsidRPr="00C03698">
        <w:t xml:space="preserve">  Th</w:t>
      </w:r>
      <w:r w:rsidRPr="00C03698" w:rsidR="002547CE">
        <w:t>e</w:t>
      </w:r>
      <w:r w:rsidRPr="00C03698">
        <w:t>se procedures called for</w:t>
      </w:r>
      <w:r w:rsidRPr="00C03698" w:rsidR="002547CE">
        <w:t xml:space="preserve"> each nationwide carrier to implement the following requirements</w:t>
      </w:r>
      <w:r w:rsidRPr="00C03698">
        <w:t xml:space="preserve">: 1) </w:t>
      </w:r>
      <w:r w:rsidRPr="00C03698" w:rsidR="007B71F5">
        <w:t xml:space="preserve">conduct </w:t>
      </w:r>
      <w:r w:rsidRPr="00C03698">
        <w:t xml:space="preserve">testing; 2) </w:t>
      </w:r>
      <w:r w:rsidRPr="00C03698" w:rsidR="007B71F5">
        <w:t xml:space="preserve">develop </w:t>
      </w:r>
      <w:r w:rsidRPr="00C03698">
        <w:t xml:space="preserve">a signal integration plan; and 3) </w:t>
      </w:r>
      <w:r w:rsidRPr="00C03698" w:rsidR="007B71F5">
        <w:t xml:space="preserve">provide </w:t>
      </w:r>
      <w:r w:rsidRPr="00C03698">
        <w:t xml:space="preserve">certification.  </w:t>
      </w:r>
      <w:r w:rsidRPr="00C03698">
        <w:t xml:space="preserve">We set forth these criteria here to explain how we evaluated AT&amp;T’s request and how we currently believe we will evaluate future similar requests. </w:t>
      </w:r>
    </w:p>
    <w:p w:rsidR="00FA6FA1" w:rsidRPr="00C03698" w:rsidP="00FA6FA1" w14:paraId="25E8D6A1" w14:textId="675098D7">
      <w:pPr>
        <w:pStyle w:val="ParaNum"/>
      </w:pPr>
      <w:r w:rsidRPr="00C03698">
        <w:rPr>
          <w:i/>
          <w:iCs/>
        </w:rPr>
        <w:t>Testing</w:t>
      </w:r>
      <w:r w:rsidRPr="00C03698">
        <w:t>.  The purpose of the testing requirement is to ensure that integrating non-US signals and GPS signals into the same device would not introduce radiofrequency interference that could impair E911 performance.  In the case of Galileo, many of these concerns have been addressed by the Galileo Order’s findings on channel compatibility.</w:t>
      </w:r>
      <w:r>
        <w:rPr>
          <w:rStyle w:val="FootnoteReference"/>
          <w:sz w:val="22"/>
          <w:szCs w:val="22"/>
        </w:rPr>
        <w:footnoteReference w:id="18"/>
      </w:r>
      <w:r w:rsidRPr="00C03698">
        <w:t xml:space="preserve">  Therefore, we believe the need for additional test data is limited – it is only needed to the extent necessary to verify that mobile devices can mitigate the potential effects of harmful interference that could impair E911 performance.  To meet this requirement, CMRS providers may rely on either 1) their own testing of CMRS devices (</w:t>
      </w:r>
      <w:r w:rsidRPr="00C03698">
        <w:rPr>
          <w:i/>
          <w:iCs/>
        </w:rPr>
        <w:t>e.g.</w:t>
      </w:r>
      <w:r w:rsidRPr="00C03698">
        <w:t>, in the industry test bed); or 2) test data from other sources (</w:t>
      </w:r>
      <w:r w:rsidRPr="00C03698">
        <w:rPr>
          <w:i/>
          <w:iCs/>
        </w:rPr>
        <w:t>e.g.</w:t>
      </w:r>
      <w:r w:rsidRPr="00C03698">
        <w:t xml:space="preserve">, testing conducted by other carriers or third parties).  CMRS providers that do their own testing do not need an experimental license if they are only using receive equipment in their testing.  If providers are using a transmitter that simulates satellite transmissions, they may need to obtain an experimental license first and should coordinate with </w:t>
      </w:r>
      <w:r w:rsidRPr="00C03698" w:rsidR="0086055C">
        <w:t>OET</w:t>
      </w:r>
      <w:r w:rsidRPr="00C03698">
        <w:t>.  An example of sufficient third-party test data would be results for comparable satellite-receive devices that have been tested to determine their reliability and resiliency to radiofrequency interference.  Providers will not be required to submit test data to the Commission</w:t>
      </w:r>
      <w:r w:rsidRPr="00C03698" w:rsidR="00024780">
        <w:t>,</w:t>
      </w:r>
      <w:r w:rsidRPr="00C03698">
        <w:t xml:space="preserve"> but must maintain the data and make the data available if requested by the Bureau. </w:t>
      </w:r>
      <w:r w:rsidR="008A17BC">
        <w:t xml:space="preserve"> </w:t>
      </w:r>
      <w:r w:rsidRPr="00335A63" w:rsidR="008A17BC">
        <w:t xml:space="preserve">This </w:t>
      </w:r>
      <w:r w:rsidRPr="00335A63" w:rsidR="00E02480">
        <w:t>requirement</w:t>
      </w:r>
      <w:r w:rsidRPr="00335A63" w:rsidR="008A17BC">
        <w:t xml:space="preserve"> follows </w:t>
      </w:r>
      <w:r w:rsidRPr="00335A63" w:rsidR="00647C0F">
        <w:t>the</w:t>
      </w:r>
      <w:r w:rsidRPr="00335A63" w:rsidR="00D52777">
        <w:t xml:space="preserve"> </w:t>
      </w:r>
      <w:r w:rsidRPr="00335A63" w:rsidR="008A17BC">
        <w:t xml:space="preserve">E911 </w:t>
      </w:r>
      <w:r w:rsidRPr="00335A63" w:rsidR="00131976">
        <w:t>indoor location</w:t>
      </w:r>
      <w:r w:rsidRPr="00335A63" w:rsidR="008A17BC">
        <w:t xml:space="preserve"> rules, which similarly rely on carrier </w:t>
      </w:r>
      <w:r w:rsidRPr="00335A63" w:rsidR="00131976">
        <w:t xml:space="preserve">compliance </w:t>
      </w:r>
      <w:r w:rsidRPr="00335A63" w:rsidR="008A17BC">
        <w:t>certification</w:t>
      </w:r>
      <w:r w:rsidRPr="00335A63" w:rsidR="00131976">
        <w:t>s</w:t>
      </w:r>
      <w:r w:rsidRPr="00335A63" w:rsidR="008A17BC">
        <w:t xml:space="preserve"> </w:t>
      </w:r>
      <w:r w:rsidRPr="00335A63" w:rsidR="00EC1F21">
        <w:t>without requiring</w:t>
      </w:r>
      <w:r w:rsidRPr="00335A63" w:rsidR="008A17BC">
        <w:t xml:space="preserve"> submission of testing data.</w:t>
      </w:r>
      <w:r>
        <w:rPr>
          <w:rStyle w:val="FootnoteReference"/>
        </w:rPr>
        <w:footnoteReference w:id="19"/>
      </w:r>
      <w:r w:rsidR="008A17BC">
        <w:t xml:space="preserve"> </w:t>
      </w:r>
    </w:p>
    <w:p w:rsidR="00FA6FA1" w:rsidRPr="00C03698" w:rsidP="000A4E01" w14:paraId="47C8A7D1" w14:textId="5C1995C4">
      <w:pPr>
        <w:pStyle w:val="ParaNum"/>
        <w:widowControl/>
      </w:pPr>
      <w:r w:rsidRPr="00C03698">
        <w:rPr>
          <w:i/>
          <w:iCs/>
        </w:rPr>
        <w:t>Signal Integration Plan</w:t>
      </w:r>
      <w:r w:rsidRPr="00C03698">
        <w:t xml:space="preserve">.  Each CMRS provider seeking authorization to use Galileo for E911 purposes must submit a signal integration plan to the Bureau.  The plan should describe the mechanisms the provider will use to detect, mitigate, and if necessary, disable Galileo signals if they cause harmful interference that impairs E911 </w:t>
      </w:r>
      <w:r w:rsidRPr="00C03698">
        <w:rPr>
          <w:szCs w:val="22"/>
        </w:rPr>
        <w:t>performance.  The plan should also include a commitment to abide by best practices relevant to the use of GNSS signals, certifying that they have met the requirements in the latest GPS Interface Control Document (ICD)</w:t>
      </w:r>
      <w:r>
        <w:rPr>
          <w:rStyle w:val="FootnoteReference"/>
          <w:sz w:val="22"/>
          <w:szCs w:val="22"/>
        </w:rPr>
        <w:footnoteReference w:id="20"/>
      </w:r>
      <w:r w:rsidRPr="00C03698">
        <w:rPr>
          <w:szCs w:val="22"/>
        </w:rPr>
        <w:t xml:space="preserve"> and those set forth in the DHS Best </w:t>
      </w:r>
      <w:r w:rsidRPr="00C03698">
        <w:rPr>
          <w:szCs w:val="22"/>
        </w:rPr>
        <w:t>Practices Guide, “Improving the Operation and Development of Global Positioning System (GPS) Equipment Used by Critical Infrastructure.”</w:t>
      </w:r>
      <w:r>
        <w:rPr>
          <w:rStyle w:val="FootnoteReference"/>
          <w:sz w:val="22"/>
          <w:szCs w:val="22"/>
        </w:rPr>
        <w:footnoteReference w:id="21"/>
      </w:r>
      <w:r w:rsidRPr="00C03698">
        <w:t xml:space="preserve"> </w:t>
      </w:r>
    </w:p>
    <w:p w:rsidR="00FA6FA1" w:rsidRPr="00C03698" w:rsidP="00FA6FA1" w14:paraId="28F0C3B6" w14:textId="36804435">
      <w:pPr>
        <w:pStyle w:val="ParaNum"/>
      </w:pPr>
      <w:r w:rsidRPr="00C03698">
        <w:rPr>
          <w:i/>
          <w:iCs/>
        </w:rPr>
        <w:t>Certification</w:t>
      </w:r>
      <w:r w:rsidRPr="00C03698">
        <w:t xml:space="preserve">.  The </w:t>
      </w:r>
      <w:r w:rsidRPr="00C03698">
        <w:rPr>
          <w:i/>
          <w:iCs/>
        </w:rPr>
        <w:t>Fourth Report and Order</w:t>
      </w:r>
      <w:r w:rsidRPr="00C03698">
        <w:t xml:space="preserve"> requires CMRS providers to certify that they have authorizations in place to permit the use of non-U.S. GNSS signals and that they have complied with the specified testing conditions.  Each CMRS provider must certify in writing that it has met these requirements.  These certifications must accompany the signal integration plan.  </w:t>
      </w:r>
    </w:p>
    <w:p w:rsidR="0021587C" w:rsidRPr="00C03698" w:rsidP="00606D7A" w14:paraId="0F518D82" w14:textId="64DBE572">
      <w:pPr>
        <w:pStyle w:val="ParaNum"/>
      </w:pPr>
      <w:r w:rsidRPr="00C03698">
        <w:rPr>
          <w:i/>
          <w:iCs/>
        </w:rPr>
        <w:t>AT&amp;T Request for Authorization and Waiver Request</w:t>
      </w:r>
      <w:r w:rsidRPr="00C03698">
        <w:t xml:space="preserve">.  </w:t>
      </w:r>
      <w:r w:rsidRPr="00C03698" w:rsidR="00B37C6B">
        <w:t xml:space="preserve">In the Request, AT&amp;T explains </w:t>
      </w:r>
      <w:r w:rsidRPr="00C03698" w:rsidR="00ED40F7">
        <w:t>the steps</w:t>
      </w:r>
      <w:r w:rsidRPr="00C03698" w:rsidR="00B37C6B">
        <w:t xml:space="preserve"> it has taken to satisfy five of the six conditions outlined in the </w:t>
      </w:r>
      <w:r w:rsidRPr="00C03698" w:rsidR="00B37C6B">
        <w:rPr>
          <w:i/>
          <w:iCs/>
        </w:rPr>
        <w:t>Fourth R</w:t>
      </w:r>
      <w:r w:rsidRPr="00C03698">
        <w:rPr>
          <w:i/>
          <w:iCs/>
        </w:rPr>
        <w:t>eport and Order</w:t>
      </w:r>
      <w:r w:rsidRPr="00C03698" w:rsidR="00B37C6B">
        <w:t xml:space="preserve">, the sixth condition being satisfied by the </w:t>
      </w:r>
      <w:r w:rsidRPr="00C03698" w:rsidR="00B37C6B">
        <w:rPr>
          <w:i/>
          <w:iCs/>
        </w:rPr>
        <w:t>Galileo Order’s</w:t>
      </w:r>
      <w:r w:rsidRPr="00C03698" w:rsidR="00B37C6B">
        <w:t xml:space="preserve"> waiver allowing devices to receive </w:t>
      </w:r>
      <w:r w:rsidRPr="00C03698" w:rsidR="00195D9C">
        <w:t xml:space="preserve">the </w:t>
      </w:r>
      <w:r w:rsidRPr="00C03698" w:rsidR="00A83500">
        <w:t xml:space="preserve">approved </w:t>
      </w:r>
      <w:r w:rsidRPr="00C03698" w:rsidR="00B37C6B">
        <w:t>foreign satellite signal</w:t>
      </w:r>
      <w:r w:rsidRPr="00C03698" w:rsidR="00A83500">
        <w:t>s (Galileo E1 and E5)</w:t>
      </w:r>
      <w:r w:rsidRPr="00C03698" w:rsidR="00B37C6B">
        <w:t>.</w:t>
      </w:r>
      <w:r>
        <w:rPr>
          <w:rStyle w:val="FootnoteReference"/>
          <w:szCs w:val="22"/>
        </w:rPr>
        <w:footnoteReference w:id="22"/>
      </w:r>
      <w:r w:rsidRPr="00C03698" w:rsidR="00B37C6B">
        <w:t xml:space="preserve"> </w:t>
      </w:r>
      <w:r w:rsidRPr="00C03698" w:rsidR="00B62CCB">
        <w:t xml:space="preserve"> </w:t>
      </w:r>
      <w:r w:rsidRPr="00C03698">
        <w:t xml:space="preserve">AT&amp;T explains that </w:t>
      </w:r>
      <w:r w:rsidRPr="00C03698" w:rsidR="00B56DB5">
        <w:t xml:space="preserve">it </w:t>
      </w:r>
      <w:r w:rsidRPr="00C03698" w:rsidR="00F42590">
        <w:t xml:space="preserve"> worked with vendors </w:t>
      </w:r>
      <w:r w:rsidRPr="00C03698" w:rsidR="0020032A">
        <w:t>to perform a series of lab tests to show that the wireless devices could detect and mitigate interference in the Galileo spectrum and still provide accurate location estimates using GPS</w:t>
      </w:r>
      <w:r w:rsidRPr="00C03698" w:rsidR="008B56DE">
        <w:t>.</w:t>
      </w:r>
      <w:r>
        <w:rPr>
          <w:rStyle w:val="FootnoteReference"/>
        </w:rPr>
        <w:footnoteReference w:id="23"/>
      </w:r>
      <w:r w:rsidRPr="00C03698">
        <w:t xml:space="preserve">  </w:t>
      </w:r>
      <w:r w:rsidRPr="00C03698" w:rsidR="00055F58">
        <w:t xml:space="preserve">It represents that </w:t>
      </w:r>
      <w:r w:rsidRPr="00C03698" w:rsidR="00A76A41">
        <w:t xml:space="preserve">the </w:t>
      </w:r>
      <w:r w:rsidRPr="00C03698" w:rsidR="00055F58">
        <w:t xml:space="preserve">tests </w:t>
      </w:r>
      <w:r w:rsidRPr="00C03698" w:rsidR="00A76A41">
        <w:t>successfully</w:t>
      </w:r>
      <w:r w:rsidRPr="00C03698" w:rsidR="00055F58">
        <w:t xml:space="preserve"> </w:t>
      </w:r>
      <w:r w:rsidRPr="00C03698" w:rsidR="00606D7A">
        <w:t>demonstrated th</w:t>
      </w:r>
      <w:r w:rsidRPr="00C03698" w:rsidR="00055F58">
        <w:t>at</w:t>
      </w:r>
      <w:r w:rsidRPr="00C03698" w:rsidR="00606D7A">
        <w:t xml:space="preserve"> wireless devices </w:t>
      </w:r>
      <w:r w:rsidRPr="00C03698" w:rsidR="00055F58">
        <w:t xml:space="preserve">could </w:t>
      </w:r>
      <w:r w:rsidRPr="00C03698" w:rsidR="00606D7A">
        <w:t xml:space="preserve">detect and mitigate </w:t>
      </w:r>
      <w:r w:rsidRPr="00C03698" w:rsidR="00A135D2">
        <w:t xml:space="preserve">any </w:t>
      </w:r>
      <w:r w:rsidRPr="00C03698" w:rsidR="00606D7A">
        <w:t xml:space="preserve">interference </w:t>
      </w:r>
      <w:r w:rsidRPr="00C03698" w:rsidR="00A135D2">
        <w:t xml:space="preserve">resulting </w:t>
      </w:r>
      <w:r w:rsidRPr="00C03698" w:rsidR="00056AA6">
        <w:t xml:space="preserve">from reception </w:t>
      </w:r>
      <w:r w:rsidRPr="00C03698" w:rsidR="00606D7A">
        <w:t xml:space="preserve">of signals </w:t>
      </w:r>
      <w:r w:rsidRPr="00C03698" w:rsidR="00055F58">
        <w:t>from</w:t>
      </w:r>
      <w:r w:rsidRPr="00C03698" w:rsidR="00606D7A">
        <w:t xml:space="preserve"> the Galileo satellite system.</w:t>
      </w:r>
      <w:r>
        <w:rPr>
          <w:rStyle w:val="FootnoteReference"/>
          <w:szCs w:val="22"/>
        </w:rPr>
        <w:footnoteReference w:id="24"/>
      </w:r>
      <w:r w:rsidRPr="00C03698">
        <w:t xml:space="preserve">  </w:t>
      </w:r>
    </w:p>
    <w:p w:rsidR="000D1338" w:rsidRPr="00C03698" w:rsidP="00AF327F" w14:paraId="4C72DCCC" w14:textId="429F0134">
      <w:pPr>
        <w:pStyle w:val="ParaNum"/>
        <w:rPr>
          <w:szCs w:val="22"/>
        </w:rPr>
      </w:pPr>
      <w:r w:rsidRPr="00C03698">
        <w:t xml:space="preserve">AT&amp;T </w:t>
      </w:r>
      <w:r w:rsidRPr="00C03698" w:rsidR="00F42590">
        <w:t xml:space="preserve">also </w:t>
      </w:r>
      <w:r w:rsidRPr="00C03698">
        <w:t>submit</w:t>
      </w:r>
      <w:r w:rsidRPr="00C03698" w:rsidR="00F42590">
        <w:t>s</w:t>
      </w:r>
      <w:r w:rsidRPr="00C03698">
        <w:t xml:space="preserve"> a signal integration plan to the Commission </w:t>
      </w:r>
      <w:r w:rsidRPr="00C03698" w:rsidR="00606D7A">
        <w:t xml:space="preserve">that affirms testing was completed and </w:t>
      </w:r>
      <w:r w:rsidRPr="00C03698" w:rsidR="00055F58">
        <w:t xml:space="preserve">that </w:t>
      </w:r>
      <w:r w:rsidRPr="00C03698" w:rsidR="00606D7A">
        <w:t>the provider is aware of the best practices</w:t>
      </w:r>
      <w:r w:rsidRPr="00C03698" w:rsidR="00055F58">
        <w:t xml:space="preserve"> contained at </w:t>
      </w:r>
      <w:r w:rsidRPr="00C03698" w:rsidR="00606D7A">
        <w:t>www.gps.gov and will periodically review them</w:t>
      </w:r>
      <w:r w:rsidRPr="00C03698" w:rsidR="00636F64">
        <w:t>.</w:t>
      </w:r>
      <w:r>
        <w:rPr>
          <w:rStyle w:val="FootnoteReference"/>
        </w:rPr>
        <w:footnoteReference w:id="25"/>
      </w:r>
      <w:r w:rsidRPr="00C03698" w:rsidR="00636F64">
        <w:t xml:space="preserve">  </w:t>
      </w:r>
      <w:r w:rsidRPr="00C03698" w:rsidR="00694BEB">
        <w:t xml:space="preserve">Those best practices call for meeting the requirements in the latest GPS ICD and those set forth in the </w:t>
      </w:r>
      <w:r w:rsidRPr="00C03698" w:rsidR="007B71F5">
        <w:t xml:space="preserve">above mentioned </w:t>
      </w:r>
      <w:r w:rsidRPr="00C03698" w:rsidR="00694BEB">
        <w:t>DHS Best Practices Guide</w:t>
      </w:r>
      <w:r w:rsidRPr="00C03698" w:rsidR="00FA6FA1">
        <w:t>.</w:t>
      </w:r>
      <w:r w:rsidRPr="00C03698" w:rsidR="00694BEB">
        <w:t xml:space="preserve">  </w:t>
      </w:r>
      <w:r w:rsidRPr="00C03698">
        <w:t xml:space="preserve">In its Request, </w:t>
      </w:r>
      <w:r w:rsidRPr="00C03698">
        <w:rPr>
          <w:szCs w:val="22"/>
        </w:rPr>
        <w:t>AT&amp;T submits an abbreviated signal integration plan that affirms that testing was completed</w:t>
      </w:r>
      <w:r w:rsidRPr="00C03698" w:rsidR="00055F58">
        <w:rPr>
          <w:szCs w:val="22"/>
        </w:rPr>
        <w:t xml:space="preserve"> and that </w:t>
      </w:r>
      <w:r w:rsidRPr="00C03698" w:rsidR="0057530D">
        <w:rPr>
          <w:szCs w:val="22"/>
        </w:rPr>
        <w:t xml:space="preserve">it has </w:t>
      </w:r>
      <w:r w:rsidRPr="00C03698" w:rsidR="00AF327F">
        <w:rPr>
          <w:szCs w:val="22"/>
        </w:rPr>
        <w:t>effective mitigation options if an unforeseen or untested anomaly arises with use of Galileo</w:t>
      </w:r>
      <w:r w:rsidRPr="00C03698" w:rsidR="0057530D">
        <w:rPr>
          <w:szCs w:val="22"/>
        </w:rPr>
        <w:t xml:space="preserve">. AT&amp;T also </w:t>
      </w:r>
      <w:r w:rsidRPr="00C03698" w:rsidR="00AF327F">
        <w:rPr>
          <w:szCs w:val="22"/>
        </w:rPr>
        <w:t xml:space="preserve">attests </w:t>
      </w:r>
      <w:r w:rsidRPr="00C03698" w:rsidR="0057530D">
        <w:rPr>
          <w:szCs w:val="22"/>
        </w:rPr>
        <w:t xml:space="preserve">it is </w:t>
      </w:r>
      <w:r w:rsidRPr="00C03698">
        <w:rPr>
          <w:szCs w:val="22"/>
        </w:rPr>
        <w:t xml:space="preserve">aware of the best practices at </w:t>
      </w:r>
      <w:r w:rsidRPr="00C03698" w:rsidR="00AF327F">
        <w:rPr>
          <w:szCs w:val="22"/>
        </w:rPr>
        <w:t xml:space="preserve">www.gps.gov, will periodically review such best practices, </w:t>
      </w:r>
      <w:r w:rsidRPr="00C03698">
        <w:rPr>
          <w:szCs w:val="22"/>
        </w:rPr>
        <w:t xml:space="preserve">and will </w:t>
      </w:r>
      <w:r w:rsidRPr="00C03698" w:rsidR="00AF327F">
        <w:rPr>
          <w:szCs w:val="22"/>
        </w:rPr>
        <w:t xml:space="preserve">generally </w:t>
      </w:r>
      <w:r w:rsidRPr="00C03698">
        <w:rPr>
          <w:szCs w:val="22"/>
        </w:rPr>
        <w:t>abide by them.</w:t>
      </w:r>
      <w:r>
        <w:rPr>
          <w:rStyle w:val="FootnoteReference"/>
          <w:szCs w:val="22"/>
        </w:rPr>
        <w:footnoteReference w:id="26"/>
      </w:r>
      <w:r w:rsidRPr="00C03698">
        <w:rPr>
          <w:szCs w:val="22"/>
        </w:rPr>
        <w:t xml:space="preserve">  In an attachment to the Request, AT&amp;T includes attestations </w:t>
      </w:r>
      <w:r w:rsidRPr="00C03698" w:rsidR="00962C21">
        <w:rPr>
          <w:szCs w:val="22"/>
        </w:rPr>
        <w:t xml:space="preserve">certifying </w:t>
      </w:r>
      <w:r w:rsidRPr="00C03698">
        <w:rPr>
          <w:szCs w:val="22"/>
        </w:rPr>
        <w:t xml:space="preserve">that AT&amp;T completed </w:t>
      </w:r>
      <w:r w:rsidRPr="00C03698" w:rsidR="00803D61">
        <w:rPr>
          <w:szCs w:val="22"/>
        </w:rPr>
        <w:t>the tests,</w:t>
      </w:r>
      <w:r w:rsidRPr="00C03698">
        <w:rPr>
          <w:szCs w:val="22"/>
        </w:rPr>
        <w:t xml:space="preserve"> </w:t>
      </w:r>
      <w:r w:rsidRPr="00C03698" w:rsidR="00803D61">
        <w:rPr>
          <w:szCs w:val="22"/>
        </w:rPr>
        <w:t>which</w:t>
      </w:r>
      <w:r w:rsidRPr="00C03698" w:rsidR="00962C21">
        <w:rPr>
          <w:szCs w:val="22"/>
        </w:rPr>
        <w:t xml:space="preserve"> show </w:t>
      </w:r>
      <w:r w:rsidRPr="00C03698">
        <w:rPr>
          <w:szCs w:val="22"/>
        </w:rPr>
        <w:t xml:space="preserve">that </w:t>
      </w:r>
      <w:r w:rsidRPr="00C03698" w:rsidR="00962C21">
        <w:rPr>
          <w:szCs w:val="22"/>
        </w:rPr>
        <w:t xml:space="preserve">AT&amp;T’s </w:t>
      </w:r>
      <w:r w:rsidRPr="00C03698">
        <w:rPr>
          <w:szCs w:val="22"/>
        </w:rPr>
        <w:t>handsets can detect interference</w:t>
      </w:r>
      <w:r w:rsidRPr="00C03698" w:rsidR="000763AE">
        <w:rPr>
          <w:szCs w:val="22"/>
        </w:rPr>
        <w:t xml:space="preserve"> resulting from reception of</w:t>
      </w:r>
      <w:r w:rsidRPr="00C03698">
        <w:rPr>
          <w:szCs w:val="22"/>
        </w:rPr>
        <w:t xml:space="preserve"> Galileo signals and mitigate </w:t>
      </w:r>
      <w:r w:rsidRPr="00C03698" w:rsidR="00803D61">
        <w:rPr>
          <w:szCs w:val="22"/>
        </w:rPr>
        <w:t xml:space="preserve">any interference </w:t>
      </w:r>
      <w:r w:rsidRPr="00C03698" w:rsidR="00ED3BE6">
        <w:rPr>
          <w:szCs w:val="22"/>
        </w:rPr>
        <w:t xml:space="preserve">from incorporating those signals into its E911 service </w:t>
      </w:r>
      <w:r w:rsidRPr="00C03698">
        <w:rPr>
          <w:szCs w:val="22"/>
        </w:rPr>
        <w:t xml:space="preserve">by </w:t>
      </w:r>
      <w:r w:rsidRPr="00C03698" w:rsidR="00803D61">
        <w:rPr>
          <w:szCs w:val="22"/>
        </w:rPr>
        <w:t>disabling Galileo</w:t>
      </w:r>
      <w:r w:rsidRPr="00C03698" w:rsidR="00ED3BE6">
        <w:rPr>
          <w:szCs w:val="22"/>
        </w:rPr>
        <w:t xml:space="preserve"> signal</w:t>
      </w:r>
      <w:r w:rsidRPr="00C03698" w:rsidR="00803D61">
        <w:rPr>
          <w:szCs w:val="22"/>
        </w:rPr>
        <w:t xml:space="preserve"> reception and </w:t>
      </w:r>
      <w:r w:rsidRPr="00C03698">
        <w:rPr>
          <w:szCs w:val="22"/>
        </w:rPr>
        <w:t>determining location for 911 using GPS alone.</w:t>
      </w:r>
      <w:r>
        <w:rPr>
          <w:rStyle w:val="FootnoteReference"/>
          <w:szCs w:val="22"/>
        </w:rPr>
        <w:footnoteReference w:id="27"/>
      </w:r>
      <w:r w:rsidRPr="00C03698">
        <w:rPr>
          <w:szCs w:val="22"/>
        </w:rPr>
        <w:t xml:space="preserve">  </w:t>
      </w:r>
    </w:p>
    <w:p w:rsidR="004617E9" w:rsidRPr="00C03698" w:rsidP="000D1338" w14:paraId="66170B0D" w14:textId="58EF8675">
      <w:pPr>
        <w:pStyle w:val="Heading1"/>
        <w:keepNext w:val="0"/>
        <w:tabs>
          <w:tab w:val="num" w:pos="1440"/>
        </w:tabs>
        <w:suppressAutoHyphens w:val="0"/>
        <w:rPr>
          <w:rFonts w:ascii="Times New Roman" w:hAnsi="Times New Roman"/>
          <w:szCs w:val="22"/>
        </w:rPr>
      </w:pPr>
      <w:bookmarkStart w:id="31" w:name="_Toc385603538"/>
      <w:bookmarkStart w:id="32" w:name="_Toc383005295"/>
      <w:bookmarkStart w:id="33" w:name="_Toc383005865"/>
      <w:bookmarkStart w:id="34" w:name="_Toc383072983"/>
      <w:bookmarkStart w:id="35" w:name="_Toc384134760"/>
      <w:bookmarkStart w:id="36" w:name="_Toc384135308"/>
      <w:bookmarkStart w:id="37" w:name="_Toc385340269"/>
      <w:bookmarkStart w:id="38" w:name="_Toc385340388"/>
      <w:bookmarkStart w:id="39" w:name="_Toc385340646"/>
      <w:bookmarkStart w:id="40" w:name="_Toc385346391"/>
      <w:bookmarkStart w:id="41" w:name="_Toc385516229"/>
      <w:bookmarkStart w:id="42" w:name="_Toc385603539"/>
      <w:bookmarkStart w:id="43" w:name="_Toc387858298"/>
      <w:bookmarkStart w:id="44" w:name="_Toc388962632"/>
      <w:bookmarkStart w:id="45" w:name="_Toc388975441"/>
      <w:bookmarkEnd w:id="31"/>
      <w:r w:rsidRPr="00C03698">
        <w:rPr>
          <w:rFonts w:ascii="Times New Roman" w:hAnsi="Times New Roman"/>
          <w:szCs w:val="22"/>
        </w:rPr>
        <w:t>DISCUSSION</w:t>
      </w:r>
      <w:bookmarkStart w:id="46" w:name="_Toc313637846"/>
      <w:bookmarkStart w:id="47" w:name="_Toc313638351"/>
      <w:bookmarkStart w:id="48" w:name="_Toc313880987"/>
      <w:bookmarkStart w:id="49" w:name="_Toc316992332"/>
      <w:bookmarkStart w:id="50" w:name="_Toc316999270"/>
      <w:bookmarkStart w:id="51" w:name="_Toc317002636"/>
      <w:bookmarkStart w:id="52" w:name="_Toc317161354"/>
      <w:bookmarkStart w:id="53" w:name="_Toc317164443"/>
      <w:bookmarkStart w:id="54" w:name="_Toc317168540"/>
      <w:bookmarkStart w:id="55" w:name="_Toc317174547"/>
      <w:bookmarkStart w:id="56" w:name="_Toc317240086"/>
      <w:bookmarkStart w:id="57" w:name="_Toc317240510"/>
      <w:bookmarkStart w:id="58" w:name="_Toc248739649"/>
      <w:bookmarkStart w:id="59" w:name="_Toc248740840"/>
      <w:bookmarkStart w:id="60" w:name="_Toc248803150"/>
      <w:bookmarkStart w:id="61" w:name="_Toc248804906"/>
      <w:bookmarkStart w:id="62" w:name="_Toc248814260"/>
      <w:bookmarkStart w:id="63" w:name="_Toc248909530"/>
      <w:bookmarkStart w:id="64" w:name="_Toc259178210"/>
      <w:bookmarkStart w:id="65" w:name="_Toc259178319"/>
      <w:bookmarkStart w:id="66" w:name="_Toc259779418"/>
      <w:bookmarkStart w:id="67" w:name="_Toc260058985"/>
      <w:bookmarkStart w:id="68" w:name="_Toc260125053"/>
      <w:bookmarkStart w:id="69" w:name="_Toc260135932"/>
      <w:bookmarkStart w:id="70" w:name="_Toc260388815"/>
      <w:bookmarkStart w:id="71" w:name="_Toc260905145"/>
      <w:bookmarkStart w:id="72" w:name="_Toc261507242"/>
      <w:bookmarkStart w:id="73" w:name="_Toc261585634"/>
      <w:bookmarkStart w:id="74" w:name="_Toc262717601"/>
      <w:bookmarkStart w:id="75" w:name="_Toc263400933"/>
      <w:bookmarkStart w:id="76" w:name="_Toc263688798"/>
      <w:bookmarkStart w:id="77" w:name="_Toc312236283"/>
      <w:bookmarkStart w:id="78" w:name="_Toc312237006"/>
      <w:bookmarkStart w:id="79" w:name="_Toc312237041"/>
      <w:bookmarkStart w:id="80" w:name="_Toc313634752"/>
      <w:bookmarkStart w:id="81" w:name="_Toc313635154"/>
      <w:bookmarkStart w:id="82" w:name="_Toc313635175"/>
      <w:bookmarkStart w:id="83" w:name="_Toc313635222"/>
      <w:bookmarkStart w:id="84" w:name="_Toc313635269"/>
      <w:bookmarkStart w:id="85" w:name="_Toc313635798"/>
      <w:bookmarkStart w:id="86" w:name="_Toc313635864"/>
      <w:bookmarkStart w:id="87" w:name="_Toc313636646"/>
      <w:bookmarkStart w:id="88" w:name="_Toc313637349"/>
      <w:bookmarkStart w:id="89" w:name="_Toc313637861"/>
      <w:bookmarkStart w:id="90" w:name="_Toc313638366"/>
      <w:bookmarkStart w:id="91" w:name="_Toc313881004"/>
      <w:bookmarkStart w:id="92" w:name="_Toc314216648"/>
      <w:bookmarkStart w:id="93" w:name="_Toc314216884"/>
      <w:bookmarkStart w:id="94" w:name="_Toc314218141"/>
      <w:bookmarkStart w:id="95" w:name="_Toc314228881"/>
      <w:bookmarkStart w:id="96" w:name="_Toc314229198"/>
      <w:bookmarkStart w:id="97" w:name="_Toc314234433"/>
      <w:bookmarkStart w:id="98" w:name="_Toc314234888"/>
      <w:bookmarkStart w:id="99" w:name="_Toc314236019"/>
      <w:bookmarkStart w:id="100" w:name="_Toc314238383"/>
      <w:bookmarkStart w:id="101" w:name="_Toc315344706"/>
      <w:bookmarkStart w:id="102" w:name="_Toc315349201"/>
      <w:bookmarkStart w:id="103" w:name="_Toc315349306"/>
      <w:bookmarkStart w:id="104" w:name="_Toc315349728"/>
      <w:bookmarkStart w:id="105" w:name="_Toc315351124"/>
      <w:bookmarkStart w:id="106" w:name="_Toc315352210"/>
      <w:bookmarkStart w:id="107" w:name="_Toc315443567"/>
      <w:bookmarkStart w:id="108" w:name="_Toc316030675"/>
      <w:bookmarkStart w:id="109" w:name="_Toc316032520"/>
      <w:bookmarkStart w:id="110" w:name="_Toc316033717"/>
      <w:bookmarkStart w:id="111" w:name="_Toc316037005"/>
      <w:bookmarkStart w:id="112" w:name="_Toc316037270"/>
      <w:bookmarkStart w:id="113" w:name="_Toc316038304"/>
      <w:bookmarkStart w:id="114" w:name="_Toc316038496"/>
      <w:bookmarkStart w:id="115" w:name="_Toc316038588"/>
      <w:bookmarkStart w:id="116" w:name="_Toc316041933"/>
      <w:bookmarkStart w:id="117" w:name="_Toc316043797"/>
      <w:bookmarkStart w:id="118" w:name="_Toc316059852"/>
      <w:bookmarkStart w:id="119" w:name="_Toc316060987"/>
      <w:bookmarkStart w:id="120" w:name="_Toc316392578"/>
      <w:bookmarkStart w:id="121" w:name="_Toc316393293"/>
      <w:bookmarkStart w:id="122" w:name="_Toc316393462"/>
      <w:bookmarkStart w:id="123" w:name="_Toc316394260"/>
      <w:bookmarkStart w:id="124" w:name="_Toc316396247"/>
      <w:bookmarkStart w:id="125" w:name="_Toc316987389"/>
      <w:bookmarkStart w:id="126" w:name="_Toc316987948"/>
      <w:bookmarkStart w:id="127" w:name="_Toc316992336"/>
      <w:bookmarkStart w:id="128" w:name="_Toc316999274"/>
      <w:bookmarkStart w:id="129" w:name="_Toc317002640"/>
      <w:bookmarkStart w:id="130" w:name="_Toc331429669"/>
      <w:bookmarkStart w:id="131" w:name="_Toc331690589"/>
      <w:bookmarkStart w:id="132" w:name="_Toc330388149"/>
      <w:bookmarkStart w:id="133" w:name="_Toc330388410"/>
      <w:bookmarkStart w:id="134" w:name="_Toc330390655"/>
      <w:bookmarkStart w:id="135" w:name="_Toc330391412"/>
      <w:bookmarkStart w:id="136" w:name="_Toc330391792"/>
      <w:bookmarkStart w:id="137" w:name="_Toc333476895"/>
      <w:bookmarkStart w:id="138" w:name="_Toc333477028"/>
      <w:bookmarkStart w:id="139" w:name="_Toc333477369"/>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34166A" w:rsidRPr="00C03698" w:rsidP="001949FC" w14:paraId="5E312CCF" w14:textId="1E941C8B">
      <w:pPr>
        <w:pStyle w:val="ParaNum"/>
      </w:pPr>
      <w:r w:rsidRPr="00C03698">
        <w:t xml:space="preserve">Consistent with the </w:t>
      </w:r>
      <w:r w:rsidRPr="00C03698" w:rsidR="00581DAA">
        <w:t xml:space="preserve">Commission’s </w:t>
      </w:r>
      <w:r w:rsidRPr="00C03698">
        <w:t xml:space="preserve">procedures for authorizing CMRS providers to </w:t>
      </w:r>
      <w:r w:rsidRPr="00C03698" w:rsidR="00581DAA">
        <w:t xml:space="preserve">use Galileo for E911, we grant AT&amp;T’s </w:t>
      </w:r>
      <w:r w:rsidRPr="00C03698" w:rsidR="00DE7598">
        <w:t>R</w:t>
      </w:r>
      <w:r w:rsidRPr="00C03698" w:rsidR="00581DAA">
        <w:t>equest.</w:t>
      </w:r>
      <w:r>
        <w:rPr>
          <w:rStyle w:val="FootnoteReference"/>
        </w:rPr>
        <w:footnoteReference w:id="28"/>
      </w:r>
      <w:r w:rsidRPr="00C03698">
        <w:t xml:space="preserve">  </w:t>
      </w:r>
      <w:r w:rsidRPr="00C03698" w:rsidR="00581DAA">
        <w:t>As noted above, the Commission listed six conditions for CMRS providers to satisfy before incorporating GNSS signals into their E911 service.</w:t>
      </w:r>
      <w:r>
        <w:rPr>
          <w:rStyle w:val="FootnoteReference"/>
        </w:rPr>
        <w:footnoteReference w:id="29"/>
      </w:r>
      <w:r w:rsidRPr="00C03698" w:rsidR="00581DAA">
        <w:t xml:space="preserve">  </w:t>
      </w:r>
      <w:r w:rsidRPr="00C03698" w:rsidR="00CF43DB">
        <w:t xml:space="preserve">In the </w:t>
      </w:r>
      <w:r w:rsidRPr="00C03698" w:rsidR="00CF43DB">
        <w:rPr>
          <w:i/>
          <w:iCs/>
        </w:rPr>
        <w:t>Galileo Order</w:t>
      </w:r>
      <w:r w:rsidRPr="00C03698" w:rsidR="00CF43DB">
        <w:t>, t</w:t>
      </w:r>
      <w:r w:rsidRPr="00C03698" w:rsidR="00195392">
        <w:t>he Commission</w:t>
      </w:r>
      <w:r w:rsidRPr="00C03698" w:rsidR="00697FC5">
        <w:t xml:space="preserve"> found significant benefit </w:t>
      </w:r>
      <w:r w:rsidRPr="00C03698" w:rsidR="00CF43DB">
        <w:t xml:space="preserve">to waiving the rules </w:t>
      </w:r>
      <w:r w:rsidRPr="00C03698" w:rsidR="00A54106">
        <w:t xml:space="preserve">to permit the use of the E1 and E5 </w:t>
      </w:r>
      <w:r w:rsidRPr="00C03698" w:rsidR="00A54106">
        <w:t xml:space="preserve">signals and </w:t>
      </w:r>
      <w:r w:rsidRPr="00C03698" w:rsidR="0057530D">
        <w:t xml:space="preserve">emphasized that </w:t>
      </w:r>
      <w:r w:rsidRPr="00C03698" w:rsidR="00195392">
        <w:t xml:space="preserve">devices </w:t>
      </w:r>
      <w:r w:rsidRPr="00C03698" w:rsidR="0057530D">
        <w:t xml:space="preserve">must </w:t>
      </w:r>
      <w:r w:rsidRPr="00C03698" w:rsidR="00195392">
        <w:t xml:space="preserve">have the authorizations contemplated by the procedures established in the </w:t>
      </w:r>
      <w:r w:rsidRPr="00C03698" w:rsidR="00195392">
        <w:rPr>
          <w:i/>
          <w:iCs/>
        </w:rPr>
        <w:t>Fourth Report and Order</w:t>
      </w:r>
      <w:r w:rsidRPr="00C03698" w:rsidR="00835179">
        <w:t xml:space="preserve"> for E911</w:t>
      </w:r>
      <w:r w:rsidRPr="00C03698" w:rsidR="00195392">
        <w:t>.</w:t>
      </w:r>
      <w:r>
        <w:rPr>
          <w:rStyle w:val="FootnoteReference"/>
        </w:rPr>
        <w:footnoteReference w:id="30"/>
      </w:r>
      <w:r w:rsidRPr="00C03698" w:rsidR="00195392">
        <w:t xml:space="preserve">  </w:t>
      </w:r>
      <w:r w:rsidRPr="00C03698" w:rsidR="001C30D0">
        <w:t xml:space="preserve">To integrate Galileo into </w:t>
      </w:r>
      <w:r w:rsidRPr="00C03698" w:rsidR="00D87B72">
        <w:t xml:space="preserve">their </w:t>
      </w:r>
      <w:r w:rsidRPr="00C03698" w:rsidR="001C30D0">
        <w:t xml:space="preserve">E911 service, </w:t>
      </w:r>
      <w:r w:rsidRPr="00C03698" w:rsidR="00A54106">
        <w:t xml:space="preserve">however, </w:t>
      </w:r>
      <w:r w:rsidRPr="00C03698" w:rsidR="00581DAA">
        <w:t xml:space="preserve">CMRS providers </w:t>
      </w:r>
      <w:r w:rsidRPr="00C03698" w:rsidR="00E935D8">
        <w:t>must satisfy the five remaining conditions</w:t>
      </w:r>
      <w:r w:rsidRPr="00C03698" w:rsidR="00581DAA">
        <w:t xml:space="preserve">: A) coordinate with PSHSB to </w:t>
      </w:r>
      <w:r w:rsidRPr="00C03698" w:rsidR="00061818">
        <w:t>en</w:t>
      </w:r>
      <w:r w:rsidRPr="00C03698" w:rsidR="00581DAA">
        <w:t xml:space="preserve">sure the signals are interoperable and no interference will result; B) certify location accuracy compliance; C) test devices to ensure there are no device signal interference problems from using the GNSS satellite feed; D) test devices to ensure no inaccurate location data is sent to Public Safety Answering Point (PSAP) due to satellite signal noise; </w:t>
      </w:r>
      <w:r w:rsidRPr="00C03698" w:rsidR="00785C95">
        <w:t xml:space="preserve">and </w:t>
      </w:r>
      <w:r w:rsidRPr="00C03698" w:rsidR="00581DAA">
        <w:t>E) certify that these device tests show the CMRS provider’s devices can detect and mitigate any interference that might result from incorporating GNSS satellite signals into their E911 service</w:t>
      </w:r>
      <w:r w:rsidRPr="00C03698" w:rsidR="000A5F31">
        <w:t>.</w:t>
      </w:r>
      <w:bookmarkEnd w:id="46"/>
      <w:bookmarkEnd w:id="47"/>
      <w:bookmarkEnd w:id="48"/>
      <w:r w:rsidRPr="00C03698" w:rsidR="00DA7D91">
        <w:t xml:space="preserve">  </w:t>
      </w:r>
      <w:r w:rsidRPr="00C03698" w:rsidR="00507A4C">
        <w:t>Furthermore, t</w:t>
      </w:r>
      <w:r w:rsidRPr="00C03698" w:rsidR="00DA7D91">
        <w:t xml:space="preserve">he Commission has conducted federal inter-agency coordination and review of </w:t>
      </w:r>
      <w:r w:rsidRPr="00C03698" w:rsidR="00003547">
        <w:t>today’s</w:t>
      </w:r>
      <w:r w:rsidRPr="00C03698" w:rsidR="00DA7D91">
        <w:t xml:space="preserve"> Order with the National Telecommunications and Information Administration prior to release.</w:t>
      </w:r>
    </w:p>
    <w:p w:rsidR="000D1338" w:rsidRPr="00C03698" w:rsidP="007146DE" w14:paraId="5209AB13" w14:textId="5F1FCB6C">
      <w:pPr>
        <w:pStyle w:val="ParaNum"/>
      </w:pPr>
      <w:r w:rsidRPr="00C03698">
        <w:rPr>
          <w:i/>
          <w:iCs/>
        </w:rPr>
        <w:t>Satisfaction of Coordination and Testing Requirements</w:t>
      </w:r>
      <w:r w:rsidRPr="00C03698">
        <w:t xml:space="preserve">.  </w:t>
      </w:r>
      <w:r w:rsidRPr="00C03698" w:rsidR="00B21271">
        <w:t xml:space="preserve">AT&amp;T’s discussions with PSHSB staff about meeting the conditions for E911 foreign satellite signal use satisfy condition A in the </w:t>
      </w:r>
      <w:r w:rsidRPr="00C03698" w:rsidR="00B21271">
        <w:rPr>
          <w:i/>
          <w:iCs/>
        </w:rPr>
        <w:t>Fourth Report and Order</w:t>
      </w:r>
      <w:r w:rsidRPr="00C03698" w:rsidR="0057530D">
        <w:rPr>
          <w:i/>
          <w:iCs/>
        </w:rPr>
        <w:t>, i.e.,</w:t>
      </w:r>
      <w:r w:rsidRPr="00C03698" w:rsidR="00B21271">
        <w:t xml:space="preserve"> Bureau coordination</w:t>
      </w:r>
      <w:r w:rsidRPr="00C03698" w:rsidR="00704335">
        <w:t xml:space="preserve"> to ensure Galileo signals are interoperable with GPS and no interference will result</w:t>
      </w:r>
      <w:r w:rsidRPr="00C03698" w:rsidR="00B21271">
        <w:t>.</w:t>
      </w:r>
      <w:r>
        <w:rPr>
          <w:rStyle w:val="FootnoteReference"/>
        </w:rPr>
        <w:footnoteReference w:id="31"/>
      </w:r>
      <w:r w:rsidRPr="00C03698" w:rsidR="00B21271">
        <w:t xml:space="preserve">  </w:t>
      </w:r>
      <w:r w:rsidRPr="00C03698" w:rsidR="007A6211">
        <w:t xml:space="preserve">In its Request, AT&amp;T explains </w:t>
      </w:r>
      <w:r w:rsidRPr="00C03698" w:rsidR="00A3201D">
        <w:t>that it</w:t>
      </w:r>
      <w:r w:rsidRPr="00C03698" w:rsidR="007A6211">
        <w:t xml:space="preserve"> worked with two test vendors in a lab environment to </w:t>
      </w:r>
      <w:r w:rsidRPr="00C03698" w:rsidR="0057530D">
        <w:t xml:space="preserve">test </w:t>
      </w:r>
      <w:r w:rsidRPr="00C03698" w:rsidR="00D97528">
        <w:t>for signal interference and avoidance of signal noise without negative impact on location accuracy</w:t>
      </w:r>
      <w:r w:rsidRPr="00C03698" w:rsidR="007A6211">
        <w:t>.</w:t>
      </w:r>
      <w:r>
        <w:rPr>
          <w:rStyle w:val="FootnoteReference"/>
        </w:rPr>
        <w:footnoteReference w:id="32"/>
      </w:r>
      <w:r w:rsidRPr="00C03698" w:rsidR="00D97528">
        <w:t xml:space="preserve">  AT&amp;T states that “a</w:t>
      </w:r>
      <w:r w:rsidRPr="00C03698" w:rsidR="007A6211">
        <w:t>ll test cases passed and produced results consistent with the expectations of AT&amp;T and demonstrated the ability of the wireless devices to detect and mitigate interference of signals to the Galileo satellite system.</w:t>
      </w:r>
      <w:r w:rsidRPr="00C03698" w:rsidR="00D97528">
        <w:t>”</w:t>
      </w:r>
      <w:r>
        <w:rPr>
          <w:rStyle w:val="FootnoteReference"/>
        </w:rPr>
        <w:footnoteReference w:id="33"/>
      </w:r>
      <w:r w:rsidRPr="00C03698" w:rsidR="00D97528">
        <w:t xml:space="preserve">  After a description of the testing, </w:t>
      </w:r>
      <w:r w:rsidRPr="00C03698" w:rsidR="00EB466C">
        <w:t xml:space="preserve">in </w:t>
      </w:r>
      <w:r w:rsidRPr="00C03698" w:rsidR="00D97528">
        <w:t>the Request</w:t>
      </w:r>
      <w:r w:rsidRPr="00C03698" w:rsidR="00EB466C">
        <w:t>,</w:t>
      </w:r>
      <w:r w:rsidRPr="00C03698" w:rsidR="00D97528">
        <w:t xml:space="preserve"> </w:t>
      </w:r>
      <w:r w:rsidRPr="00C03698" w:rsidR="00EB466C">
        <w:t xml:space="preserve">AT&amp;T </w:t>
      </w:r>
      <w:r w:rsidRPr="00C03698" w:rsidR="00D97528">
        <w:t xml:space="preserve">states </w:t>
      </w:r>
      <w:r w:rsidRPr="00C03698" w:rsidR="00683D61">
        <w:t xml:space="preserve">that </w:t>
      </w:r>
      <w:r w:rsidRPr="00C03698" w:rsidR="00EB466C">
        <w:t>it</w:t>
      </w:r>
      <w:r w:rsidRPr="00C03698" w:rsidR="00683D61">
        <w:t>s mitigation options for disruptions to location accuracy would include disabling Galileo usage on chipsets and modifying software or configur</w:t>
      </w:r>
      <w:r w:rsidRPr="00C03698" w:rsidR="00821467">
        <w:t>ing</w:t>
      </w:r>
      <w:r w:rsidRPr="00C03698" w:rsidR="00683D61">
        <w:t xml:space="preserve"> settings via over-the-air updates, which could be pushed to device software.</w:t>
      </w:r>
      <w:r>
        <w:rPr>
          <w:rStyle w:val="FootnoteReference"/>
        </w:rPr>
        <w:footnoteReference w:id="34"/>
      </w:r>
      <w:r w:rsidRPr="00C03698" w:rsidR="00683D61">
        <w:t xml:space="preserve">  AT&amp;T concludes that its </w:t>
      </w:r>
      <w:r w:rsidRPr="00C03698" w:rsidR="00D97528">
        <w:t>“testing demonstrated that the risk of interreference due to use of Galileo is low, and if interference does occur, it could be quickly mitigated without sacrificing location accuracy.”</w:t>
      </w:r>
      <w:r>
        <w:rPr>
          <w:rStyle w:val="FootnoteReference"/>
        </w:rPr>
        <w:footnoteReference w:id="35"/>
      </w:r>
      <w:r w:rsidRPr="00C03698" w:rsidR="00D97528">
        <w:t xml:space="preserve"> </w:t>
      </w:r>
      <w:r w:rsidRPr="00C03698" w:rsidR="00191E48">
        <w:t xml:space="preserve"> </w:t>
      </w:r>
      <w:r w:rsidRPr="00C03698" w:rsidR="00471496">
        <w:t>In discussions with the PSHSB in mid-2019, staff outlined certain expectations for wireless carriers to follow to receive authorization to use Galileo for E911. PSHSB staff stated that it would expect a provider to perform testing showing that wireless devices could detect and mitigate interference in the Galileo spectrum</w:t>
      </w:r>
      <w:r w:rsidRPr="00C03698" w:rsidR="00191E48">
        <w:t xml:space="preserve">. </w:t>
      </w:r>
      <w:r w:rsidRPr="00C03698" w:rsidR="00D97528">
        <w:t xml:space="preserve"> </w:t>
      </w:r>
      <w:r w:rsidRPr="00C03698" w:rsidR="001F628B">
        <w:t>AT&amp;T tested for multiple scenarios, including modifying Galileo satellite navigation parameters in the Receiver Independent Exchange Format (RINEX) file for errors, corrupting Galileo assistance data to verify that handset device GPS location data was not impacted, mimicking the 2019 Galileo system failure that occurred in 2019 with outdated satellite location “ephemeris” data, and modification of the Galileo navigation data.</w:t>
      </w:r>
      <w:r>
        <w:rPr>
          <w:rStyle w:val="FootnoteReference"/>
        </w:rPr>
        <w:footnoteReference w:id="36"/>
      </w:r>
      <w:r w:rsidRPr="00C03698" w:rsidR="001F628B">
        <w:t xml:space="preserve">  AT&amp;T states that these test cases showed that its devices were able to detect and mitigate interference received by the Galileo </w:t>
      </w:r>
      <w:r w:rsidRPr="00C03698" w:rsidR="001F628B">
        <w:t>chipsets.</w:t>
      </w:r>
      <w:r>
        <w:rPr>
          <w:rStyle w:val="FootnoteReference"/>
        </w:rPr>
        <w:footnoteReference w:id="37"/>
      </w:r>
      <w:r w:rsidRPr="00C03698" w:rsidR="001F628B">
        <w:t xml:space="preserve">  </w:t>
      </w:r>
      <w:r w:rsidRPr="00C03698" w:rsidR="00F42590">
        <w:t>Based on a review of AT&amp;T’s request, w</w:t>
      </w:r>
      <w:r w:rsidRPr="00C03698" w:rsidR="00B02A33">
        <w:t>e</w:t>
      </w:r>
      <w:r w:rsidRPr="00C03698" w:rsidR="00D141B9">
        <w:t xml:space="preserve"> conclude that AT&amp;T’s testing and statement of results satisf</w:t>
      </w:r>
      <w:r w:rsidRPr="00C03698" w:rsidR="00821467">
        <w:t>y</w:t>
      </w:r>
      <w:r w:rsidRPr="00C03698" w:rsidR="00D141B9">
        <w:t xml:space="preserve"> conditions </w:t>
      </w:r>
      <w:r w:rsidRPr="00C03698" w:rsidR="00310471">
        <w:t xml:space="preserve">C and D of the </w:t>
      </w:r>
      <w:r w:rsidRPr="00C03698" w:rsidR="00310471">
        <w:rPr>
          <w:i/>
          <w:iCs/>
        </w:rPr>
        <w:t>Fourth Report and Order</w:t>
      </w:r>
      <w:r w:rsidRPr="00C03698" w:rsidR="00A3201D">
        <w:t xml:space="preserve"> – signal interference and satellite noise testing.  </w:t>
      </w:r>
    </w:p>
    <w:p w:rsidR="000D1338" w:rsidRPr="00C03698" w:rsidP="00B61394" w14:paraId="16EB178D" w14:textId="45E7CA02">
      <w:pPr>
        <w:pStyle w:val="ParaNum"/>
      </w:pPr>
      <w:r w:rsidRPr="00C03698">
        <w:rPr>
          <w:szCs w:val="22"/>
        </w:rPr>
        <w:t xml:space="preserve">The AT&amp;T testing further revealed the impact on </w:t>
      </w:r>
      <w:r w:rsidRPr="00C03698" w:rsidR="00440A44">
        <w:rPr>
          <w:szCs w:val="22"/>
        </w:rPr>
        <w:t xml:space="preserve">any potential </w:t>
      </w:r>
      <w:r w:rsidRPr="00C03698">
        <w:rPr>
          <w:szCs w:val="22"/>
        </w:rPr>
        <w:t xml:space="preserve">corruption of </w:t>
      </w:r>
      <w:r w:rsidRPr="00C03698" w:rsidR="00440A44">
        <w:rPr>
          <w:szCs w:val="22"/>
        </w:rPr>
        <w:t xml:space="preserve">Galileo’s </w:t>
      </w:r>
      <w:r w:rsidRPr="00C03698">
        <w:rPr>
          <w:szCs w:val="22"/>
        </w:rPr>
        <w:t xml:space="preserve">signal on AT&amp;T’s E911 </w:t>
      </w:r>
      <w:r w:rsidRPr="00C03698" w:rsidR="00440A44">
        <w:rPr>
          <w:szCs w:val="22"/>
        </w:rPr>
        <w:t xml:space="preserve">device </w:t>
      </w:r>
      <w:r w:rsidRPr="00C03698">
        <w:rPr>
          <w:szCs w:val="22"/>
        </w:rPr>
        <w:t>location accuracy.  As summarized in the Request, the testing showed that</w:t>
      </w:r>
      <w:r w:rsidRPr="00C03698" w:rsidR="007A6211">
        <w:rPr>
          <w:szCs w:val="22"/>
        </w:rPr>
        <w:t xml:space="preserve"> </w:t>
      </w:r>
      <w:r w:rsidRPr="00C03698">
        <w:rPr>
          <w:szCs w:val="22"/>
        </w:rPr>
        <w:t>“</w:t>
      </w:r>
      <w:r w:rsidRPr="00C03698" w:rsidR="007A6211">
        <w:rPr>
          <w:szCs w:val="22"/>
        </w:rPr>
        <w:t>if the Galileo signals are corrupted, the resulting location estimate will be no worse than if the Galileo chipset was not enabled.</w:t>
      </w:r>
      <w:r w:rsidRPr="00C03698">
        <w:rPr>
          <w:szCs w:val="22"/>
        </w:rPr>
        <w:t>”</w:t>
      </w:r>
      <w:r>
        <w:rPr>
          <w:rStyle w:val="FootnoteReference"/>
          <w:szCs w:val="22"/>
        </w:rPr>
        <w:footnoteReference w:id="38"/>
      </w:r>
      <w:r w:rsidRPr="00C03698">
        <w:rPr>
          <w:szCs w:val="22"/>
        </w:rPr>
        <w:t xml:space="preserve">  </w:t>
      </w:r>
      <w:r w:rsidRPr="00C03698" w:rsidR="0061382C">
        <w:t>Based on its testing, AT&amp;T states that E911 location accuracy can be ensured because Galileo signal “usage on chipsets could be disabled and the corresponding GPS operational mode could be modified through the use of over-the-air updates to either replace the offending software or change device location/GNSS configuration settings,” and that “[t]hese changes could be pushed to device software once AT&amp;T has determined that use of the Galileo constellation or software was the root cause of problems with location accuracy.”</w:t>
      </w:r>
      <w:r>
        <w:rPr>
          <w:rStyle w:val="FootnoteReference"/>
        </w:rPr>
        <w:footnoteReference w:id="39"/>
      </w:r>
      <w:r w:rsidRPr="00C03698" w:rsidR="0061382C">
        <w:t xml:space="preserve">  </w:t>
      </w:r>
      <w:r w:rsidRPr="00C03698" w:rsidR="004617E9">
        <w:rPr>
          <w:szCs w:val="22"/>
        </w:rPr>
        <w:t xml:space="preserve">Combined with the signal </w:t>
      </w:r>
      <w:r w:rsidRPr="00C03698" w:rsidR="00182C94">
        <w:rPr>
          <w:szCs w:val="22"/>
        </w:rPr>
        <w:t>integration</w:t>
      </w:r>
      <w:r w:rsidRPr="00C03698" w:rsidR="004617E9">
        <w:rPr>
          <w:szCs w:val="22"/>
        </w:rPr>
        <w:t xml:space="preserve"> plan described below, </w:t>
      </w:r>
      <w:r w:rsidRPr="00C03698" w:rsidR="00F42590">
        <w:rPr>
          <w:szCs w:val="22"/>
        </w:rPr>
        <w:t>this demonstration establishes</w:t>
      </w:r>
      <w:r w:rsidRPr="00C03698">
        <w:rPr>
          <w:szCs w:val="22"/>
        </w:rPr>
        <w:t xml:space="preserve"> AT&amp;T’s compliance with condition B of the </w:t>
      </w:r>
      <w:r w:rsidRPr="00C03698">
        <w:rPr>
          <w:i/>
          <w:iCs/>
          <w:szCs w:val="22"/>
        </w:rPr>
        <w:t>Fourth Report and Order</w:t>
      </w:r>
      <w:r w:rsidRPr="00C03698">
        <w:rPr>
          <w:szCs w:val="22"/>
        </w:rPr>
        <w:t xml:space="preserve"> – certification of location accuracy.  </w:t>
      </w:r>
      <w:r w:rsidRPr="00C03698" w:rsidR="00437CAB">
        <w:rPr>
          <w:szCs w:val="22"/>
        </w:rPr>
        <w:t xml:space="preserve"> </w:t>
      </w:r>
    </w:p>
    <w:p w:rsidR="00D01FFD" w:rsidRPr="00C03698" w:rsidP="00E217AA" w14:paraId="0D4D5D9B" w14:textId="386CEFBE">
      <w:pPr>
        <w:pStyle w:val="ParaNum"/>
      </w:pPr>
      <w:r w:rsidRPr="00C03698">
        <w:rPr>
          <w:i/>
          <w:iCs/>
        </w:rPr>
        <w:t>Satisfaction of Signal Integration Plan and Certification Requirements.</w:t>
      </w:r>
      <w:r w:rsidRPr="00C03698">
        <w:t xml:space="preserve">  </w:t>
      </w:r>
      <w:r w:rsidRPr="00C03698" w:rsidR="007A6211">
        <w:t>Furthermore, AT&amp;T</w:t>
      </w:r>
      <w:r w:rsidRPr="00C03698" w:rsidR="004107B2">
        <w:t xml:space="preserve">’s Request </w:t>
      </w:r>
      <w:r w:rsidRPr="00C03698" w:rsidR="0096490A">
        <w:t xml:space="preserve">includes </w:t>
      </w:r>
      <w:r w:rsidRPr="00C03698" w:rsidR="004107B2">
        <w:t xml:space="preserve">a “signal </w:t>
      </w:r>
      <w:r w:rsidRPr="00C03698" w:rsidR="00E965AA">
        <w:t>integration</w:t>
      </w:r>
      <w:r w:rsidRPr="00C03698" w:rsidR="004107B2">
        <w:t xml:space="preserve"> plan”</w:t>
      </w:r>
      <w:r w:rsidRPr="00C03698" w:rsidR="007A6211">
        <w:t xml:space="preserve"> </w:t>
      </w:r>
      <w:r w:rsidRPr="00C03698" w:rsidR="004107B2">
        <w:t xml:space="preserve">to the Commission along with the description of testing that affirms the testing was completed with results as described, and that the CMRS provider will abide by the best practices for satellite signal use described at </w:t>
      </w:r>
      <w:r w:rsidRPr="00C03698" w:rsidR="007A6211">
        <w:t>www.gps.gov</w:t>
      </w:r>
      <w:r w:rsidRPr="00C03698" w:rsidR="004107B2">
        <w:t>.</w:t>
      </w:r>
      <w:r>
        <w:rPr>
          <w:rStyle w:val="FootnoteReference"/>
        </w:rPr>
        <w:footnoteReference w:id="40"/>
      </w:r>
      <w:r w:rsidRPr="00C03698" w:rsidR="004107B2">
        <w:t xml:space="preserve">  AT&amp;T has made these attestations in an attachment to its </w:t>
      </w:r>
      <w:r w:rsidRPr="00C03698" w:rsidR="0054344F">
        <w:t>R</w:t>
      </w:r>
      <w:r w:rsidRPr="00C03698" w:rsidR="004107B2">
        <w:t>equest and has described its plan to abide by the GPS best practices and the technical necessities revealed by its testing.</w:t>
      </w:r>
      <w:r>
        <w:rPr>
          <w:rStyle w:val="FootnoteReference"/>
        </w:rPr>
        <w:footnoteReference w:id="41"/>
      </w:r>
      <w:r w:rsidRPr="00C03698" w:rsidR="004107B2">
        <w:t xml:space="preserve">  </w:t>
      </w:r>
      <w:r w:rsidRPr="00C03698" w:rsidR="00D2613E">
        <w:t xml:space="preserve">  </w:t>
      </w:r>
      <w:r w:rsidRPr="00C03698" w:rsidR="001578DC">
        <w:t>AT&amp;T’s signal integration plan states that its personnel have reviewed the documents on the www.gps.gov website, that AT&amp;T has informed its handset vendors of these best practices, and that AT&amp;T and its vendors will “will operate consistent with the best practices and technical documentation on the GPS website, will periodically review such documents, and continue to generally abide by them.”</w:t>
      </w:r>
      <w:r>
        <w:rPr>
          <w:rStyle w:val="FootnoteReference"/>
        </w:rPr>
        <w:footnoteReference w:id="42"/>
      </w:r>
      <w:r w:rsidRPr="00C03698" w:rsidR="001578DC">
        <w:t xml:space="preserve">  </w:t>
      </w:r>
      <w:r w:rsidRPr="00C03698" w:rsidR="00D2613E">
        <w:t xml:space="preserve">AT&amp;T has </w:t>
      </w:r>
      <w:r w:rsidRPr="00C03698" w:rsidR="00BF017F">
        <w:t xml:space="preserve">also </w:t>
      </w:r>
      <w:r w:rsidRPr="00C03698" w:rsidR="00D2613E">
        <w:t>submitted th</w:t>
      </w:r>
      <w:r w:rsidRPr="00C03698" w:rsidR="00BF017F">
        <w:t xml:space="preserve">e </w:t>
      </w:r>
      <w:r w:rsidRPr="00C03698" w:rsidR="00D2613E">
        <w:t>attestations</w:t>
      </w:r>
      <w:r w:rsidRPr="00C03698" w:rsidR="00BF017F">
        <w:t xml:space="preserve"> of testing completion.</w:t>
      </w:r>
      <w:r>
        <w:rPr>
          <w:rStyle w:val="FootnoteReference"/>
        </w:rPr>
        <w:footnoteReference w:id="43"/>
      </w:r>
      <w:r w:rsidRPr="00C03698" w:rsidR="00D2613E">
        <w:t xml:space="preserve">  </w:t>
      </w:r>
      <w:r w:rsidRPr="00C03698" w:rsidR="004107B2">
        <w:t>AT&amp;T’s signal integration plan and attestations to the Commission</w:t>
      </w:r>
      <w:r w:rsidRPr="00C03698" w:rsidR="00F51CE2">
        <w:t xml:space="preserve"> </w:t>
      </w:r>
      <w:r w:rsidRPr="00C03698" w:rsidR="004107B2">
        <w:t xml:space="preserve">satisfy the </w:t>
      </w:r>
      <w:r w:rsidRPr="00C03698" w:rsidR="004107B2">
        <w:rPr>
          <w:i/>
          <w:iCs/>
        </w:rPr>
        <w:t xml:space="preserve">Fourth Report </w:t>
      </w:r>
      <w:r w:rsidRPr="00C03698" w:rsidR="006E3E5E">
        <w:rPr>
          <w:i/>
          <w:iCs/>
        </w:rPr>
        <w:t>and</w:t>
      </w:r>
      <w:r w:rsidRPr="00C03698" w:rsidR="004107B2">
        <w:rPr>
          <w:i/>
          <w:iCs/>
        </w:rPr>
        <w:t xml:space="preserve"> Order’s </w:t>
      </w:r>
      <w:r w:rsidRPr="00C03698" w:rsidR="004107B2">
        <w:t xml:space="preserve">conditions A, B, and E.  </w:t>
      </w:r>
    </w:p>
    <w:p w:rsidR="009701F3" w:rsidRPr="00C03698" w:rsidP="00BF5306" w14:paraId="15C33450" w14:textId="19D51B4A">
      <w:pPr>
        <w:pStyle w:val="Heading1"/>
      </w:pPr>
      <w:r w:rsidRPr="00C03698">
        <w:t>ORDERING CLAUSES</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rsidR="00E07A68" w:rsidRPr="00C03698" w:rsidP="0042582B" w14:paraId="24B267CE" w14:textId="5C5D6935">
      <w:pPr>
        <w:pStyle w:val="ParaNum"/>
      </w:pPr>
      <w:r w:rsidRPr="00C03698">
        <w:rPr>
          <w:szCs w:val="22"/>
        </w:rPr>
        <w:t xml:space="preserve">Accordingly, IT IS ORDERED that, pursuant to </w:t>
      </w:r>
      <w:r w:rsidRPr="00C03698">
        <w:rPr>
          <w:szCs w:val="22"/>
        </w:rPr>
        <w:t>Section</w:t>
      </w:r>
      <w:r w:rsidRPr="00C03698" w:rsidR="0017414E">
        <w:rPr>
          <w:szCs w:val="22"/>
        </w:rPr>
        <w:t>s</w:t>
      </w:r>
      <w:r w:rsidRPr="00C03698">
        <w:rPr>
          <w:szCs w:val="22"/>
        </w:rPr>
        <w:t xml:space="preserve"> 301</w:t>
      </w:r>
      <w:r w:rsidRPr="00C03698" w:rsidR="00D01FFD">
        <w:rPr>
          <w:szCs w:val="22"/>
        </w:rPr>
        <w:t xml:space="preserve"> and 303(b)</w:t>
      </w:r>
      <w:r w:rsidRPr="00C03698">
        <w:rPr>
          <w:szCs w:val="22"/>
        </w:rPr>
        <w:t xml:space="preserve"> of the Communications Act of 1934,</w:t>
      </w:r>
      <w:r w:rsidRPr="00C03698" w:rsidR="00D01FFD">
        <w:rPr>
          <w:szCs w:val="22"/>
        </w:rPr>
        <w:t xml:space="preserve"> 47 U.S.C. §§ 301, 303(b),</w:t>
      </w:r>
      <w:r w:rsidRPr="00C03698">
        <w:rPr>
          <w:szCs w:val="22"/>
        </w:rPr>
        <w:t xml:space="preserve"> AT&amp;T</w:t>
      </w:r>
      <w:r w:rsidRPr="00C03698" w:rsidR="000411E2">
        <w:rPr>
          <w:szCs w:val="22"/>
        </w:rPr>
        <w:t xml:space="preserve"> </w:t>
      </w:r>
      <w:r w:rsidRPr="00C03698" w:rsidR="00145A29">
        <w:rPr>
          <w:szCs w:val="22"/>
        </w:rPr>
        <w:t>Service</w:t>
      </w:r>
      <w:r w:rsidRPr="00C03698" w:rsidR="00E217AA">
        <w:rPr>
          <w:szCs w:val="22"/>
        </w:rPr>
        <w:t>s</w:t>
      </w:r>
      <w:r w:rsidRPr="00C03698" w:rsidR="000411E2">
        <w:rPr>
          <w:szCs w:val="22"/>
        </w:rPr>
        <w:t>, Inc</w:t>
      </w:r>
      <w:r w:rsidRPr="00C03698" w:rsidR="00E217AA">
        <w:rPr>
          <w:szCs w:val="22"/>
        </w:rPr>
        <w:t>.</w:t>
      </w:r>
      <w:r w:rsidRPr="00C03698">
        <w:rPr>
          <w:szCs w:val="22"/>
        </w:rPr>
        <w:t>’s Request for Authorization</w:t>
      </w:r>
      <w:r w:rsidRPr="00C03698">
        <w:rPr>
          <w:color w:val="000000"/>
          <w:szCs w:val="22"/>
        </w:rPr>
        <w:t xml:space="preserve"> IS GRANTED. </w:t>
      </w:r>
    </w:p>
    <w:p w:rsidR="00FF783E" w:rsidRPr="00C03698" w:rsidP="0042582B" w14:paraId="65CFBB7E" w14:textId="7D1D0FBF">
      <w:pPr>
        <w:pStyle w:val="ParaNum"/>
      </w:pPr>
      <w:r w:rsidRPr="00C03698">
        <w:rPr>
          <w:color w:val="000000"/>
          <w:szCs w:val="22"/>
        </w:rPr>
        <w:t>IT IS FURTHER ORDERED that AT&amp;T</w:t>
      </w:r>
      <w:r w:rsidRPr="00C03698" w:rsidR="00F2650F">
        <w:rPr>
          <w:color w:val="000000"/>
          <w:szCs w:val="22"/>
        </w:rPr>
        <w:t xml:space="preserve"> </w:t>
      </w:r>
      <w:r w:rsidRPr="00C03698" w:rsidR="00F2650F">
        <w:rPr>
          <w:szCs w:val="22"/>
        </w:rPr>
        <w:t>Service</w:t>
      </w:r>
      <w:r w:rsidRPr="00C03698" w:rsidR="00E217AA">
        <w:rPr>
          <w:szCs w:val="22"/>
        </w:rPr>
        <w:t>s</w:t>
      </w:r>
      <w:r w:rsidRPr="00C03698" w:rsidR="00F2650F">
        <w:rPr>
          <w:szCs w:val="22"/>
        </w:rPr>
        <w:t>, Inc</w:t>
      </w:r>
      <w:r w:rsidRPr="00C03698" w:rsidR="00E217AA">
        <w:rPr>
          <w:szCs w:val="22"/>
        </w:rPr>
        <w:t>.</w:t>
      </w:r>
      <w:r w:rsidRPr="00C03698">
        <w:rPr>
          <w:color w:val="000000"/>
          <w:szCs w:val="22"/>
        </w:rPr>
        <w:t>’s Request for</w:t>
      </w:r>
      <w:r w:rsidRPr="00C03698">
        <w:rPr>
          <w:color w:val="000000"/>
        </w:rPr>
        <w:t xml:space="preserve"> Waiver is DISMISSED as moot. </w:t>
      </w:r>
    </w:p>
    <w:p w:rsidR="000A4E01" w:rsidP="000A4E01" w14:paraId="6B4878BE" w14:textId="3DC9D783">
      <w:pPr>
        <w:pStyle w:val="ParaNum"/>
      </w:pPr>
      <w:r w:rsidRPr="00C03698">
        <w:t xml:space="preserve">IT IS FURTHER ORDERED that the effective date of this Order is the date upon which </w:t>
      </w:r>
      <w:r w:rsidR="0091749C">
        <w:t>this Order is adopted.</w:t>
      </w:r>
    </w:p>
    <w:p w:rsidR="000A4E01" w:rsidP="000A4E01" w14:paraId="035D9AC7" w14:textId="39078422">
      <w:pPr>
        <w:pStyle w:val="ParaNum"/>
        <w:numPr>
          <w:ilvl w:val="0"/>
          <w:numId w:val="0"/>
        </w:numPr>
        <w:ind w:left="720"/>
      </w:pPr>
    </w:p>
    <w:p w:rsidR="000A4E01" w:rsidP="000A4E01" w14:paraId="7064DCE6" w14:textId="687B4782">
      <w:pPr>
        <w:pStyle w:val="ParaNum"/>
        <w:numPr>
          <w:ilvl w:val="0"/>
          <w:numId w:val="0"/>
        </w:numPr>
        <w:ind w:left="720"/>
      </w:pPr>
    </w:p>
    <w:p w:rsidR="000A4E01" w:rsidP="000A4E01" w14:paraId="5C732C0D" w14:textId="77777777">
      <w:pPr>
        <w:pStyle w:val="ParaNum"/>
        <w:numPr>
          <w:ilvl w:val="0"/>
          <w:numId w:val="0"/>
        </w:numPr>
        <w:ind w:left="720"/>
      </w:pPr>
    </w:p>
    <w:p w:rsidR="0054344F" w:rsidRPr="000A4E01" w:rsidP="000A4E01" w14:paraId="488E5469" w14:textId="2CDB8CAB">
      <w:pPr>
        <w:pStyle w:val="ParaNum"/>
      </w:pPr>
      <w:r w:rsidRPr="00C03698">
        <w:t>This action is taken under delegated authority pursuant to Sections 0.191 and 0.392 of the Commission’s Rules, 47 CFR §§ 0.191, 0.392.</w:t>
      </w:r>
    </w:p>
    <w:p w:rsidR="000A4E01" w:rsidP="000A4E01" w14:paraId="0E646D82" w14:textId="77777777">
      <w:pPr>
        <w:widowControl/>
        <w:spacing w:after="120"/>
        <w:ind w:left="1440" w:firstLine="720"/>
      </w:pPr>
      <w:r w:rsidRPr="00C03698">
        <w:tab/>
      </w:r>
      <w:r w:rsidRPr="00C03698">
        <w:tab/>
      </w:r>
      <w:r w:rsidRPr="00C03698">
        <w:tab/>
      </w:r>
    </w:p>
    <w:p w:rsidR="00662F16" w:rsidRPr="00C03698" w:rsidP="000A4E01" w14:paraId="0CC18CA2" w14:textId="58213E6B">
      <w:pPr>
        <w:widowControl/>
        <w:spacing w:after="120"/>
        <w:ind w:left="1440" w:firstLine="720"/>
      </w:pPr>
      <w:r w:rsidRPr="00C03698">
        <w:t>FEDERAL COMMUNICATIONS COMMISSION</w:t>
      </w:r>
    </w:p>
    <w:p w:rsidR="00662F16" w:rsidRPr="00C03698" w:rsidP="000A4E01" w14:paraId="783CECCD" w14:textId="77777777">
      <w:pPr>
        <w:widowControl/>
        <w:spacing w:after="120"/>
        <w:ind w:left="1440" w:firstLine="720"/>
      </w:pPr>
    </w:p>
    <w:p w:rsidR="00662F16" w:rsidRPr="00C03698" w:rsidP="000A4E01" w14:paraId="54557F64" w14:textId="77777777">
      <w:pPr>
        <w:widowControl/>
        <w:spacing w:after="120"/>
        <w:ind w:left="1440" w:firstLine="720"/>
      </w:pPr>
    </w:p>
    <w:p w:rsidR="00662F16" w:rsidRPr="00C03698" w:rsidP="000A4E01" w14:paraId="6F04F02C" w14:textId="77777777">
      <w:pPr>
        <w:ind w:left="2880" w:firstLine="720"/>
      </w:pPr>
      <w:r w:rsidRPr="00C03698">
        <w:tab/>
        <w:t>Lisa M. Fowlkes</w:t>
      </w:r>
    </w:p>
    <w:p w:rsidR="00662F16" w:rsidRPr="00C03698" w:rsidP="000A4E01" w14:paraId="2B7EC7D0" w14:textId="77777777">
      <w:pPr>
        <w:widowControl/>
        <w:ind w:left="3600" w:firstLine="720"/>
      </w:pPr>
      <w:r w:rsidRPr="00C03698">
        <w:t>Chief</w:t>
      </w:r>
    </w:p>
    <w:p w:rsidR="00412FC5" w:rsidP="000A4E01" w14:paraId="7F14D6FD" w14:textId="60356140">
      <w:pPr>
        <w:widowControl/>
        <w:ind w:left="2880" w:firstLine="720"/>
      </w:pPr>
      <w:r w:rsidRPr="00C03698">
        <w:tab/>
        <w:t>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232A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21DF7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07A32" w14:paraId="351DCB0A" w14:textId="460E5C81">
    <w:pPr>
      <w:pStyle w:val="Footer"/>
      <w:jc w:val="center"/>
    </w:pPr>
    <w:r>
      <w:fldChar w:fldCharType="begin"/>
    </w:r>
    <w:r>
      <w:instrText xml:space="preserve"> PAGE   \* MERGEFORMAT </w:instrText>
    </w:r>
    <w:r>
      <w:fldChar w:fldCharType="separate"/>
    </w:r>
    <w:r w:rsidR="0091749C">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48D31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4831" w14:paraId="3C9F437D" w14:textId="77777777">
      <w:r>
        <w:separator/>
      </w:r>
    </w:p>
  </w:footnote>
  <w:footnote w:type="continuationSeparator" w:id="1">
    <w:p w:rsidR="00C44831" w:rsidP="00C721AC" w14:paraId="5066C277" w14:textId="77777777">
      <w:pPr>
        <w:spacing w:before="120"/>
        <w:rPr>
          <w:sz w:val="20"/>
        </w:rPr>
      </w:pPr>
      <w:r>
        <w:rPr>
          <w:sz w:val="20"/>
        </w:rPr>
        <w:t xml:space="preserve">(Continued from previous page)  </w:t>
      </w:r>
      <w:r>
        <w:rPr>
          <w:sz w:val="20"/>
        </w:rPr>
        <w:separator/>
      </w:r>
    </w:p>
  </w:footnote>
  <w:footnote w:type="continuationNotice" w:id="2">
    <w:p w:rsidR="00C44831" w:rsidP="00C721AC" w14:paraId="3EC9CCB4" w14:textId="77777777">
      <w:pPr>
        <w:jc w:val="right"/>
        <w:rPr>
          <w:sz w:val="20"/>
        </w:rPr>
      </w:pPr>
      <w:r>
        <w:rPr>
          <w:sz w:val="20"/>
        </w:rPr>
        <w:t>(continued….)</w:t>
      </w:r>
    </w:p>
  </w:footnote>
  <w:footnote w:id="3">
    <w:p w:rsidR="007B2CCB" w:rsidP="007B2CCB" w14:paraId="372814B8" w14:textId="4894856D">
      <w:pPr>
        <w:pStyle w:val="FootnoteText"/>
      </w:pPr>
      <w:r>
        <w:rPr>
          <w:rStyle w:val="FootnoteReference"/>
        </w:rPr>
        <w:footnoteRef/>
      </w:r>
      <w:r>
        <w:t xml:space="preserve"> On May 26, 2020, AT&amp;T Services, Inc., on behalf of its wireless affiliates (collectively, “AT&amp;T”), submitted a request for authorization, seeking waiver as necessary, to use Galileo, for E911 purposes.  </w:t>
      </w:r>
      <w:r w:rsidRPr="001949FC">
        <w:rPr>
          <w:i/>
          <w:iCs/>
        </w:rPr>
        <w:t>See</w:t>
      </w:r>
      <w:r>
        <w:t xml:space="preserve"> AT&amp;T Request for Authorization and Waiver (filed May 26, 2020) (Request).</w:t>
      </w:r>
      <w:r w:rsidR="007006F2">
        <w:t xml:space="preserve">  </w:t>
      </w:r>
      <w:r w:rsidRPr="00402B8F" w:rsidR="00402B8F">
        <w:t xml:space="preserve">The Request was filed publicly via </w:t>
      </w:r>
      <w:r w:rsidR="00074467">
        <w:t>the FCC’s Electronic Comment Filing System</w:t>
      </w:r>
      <w:r w:rsidRPr="00402B8F" w:rsidR="00402B8F">
        <w:t xml:space="preserve"> in PS Docket No. 07-114.</w:t>
      </w:r>
      <w:r w:rsidR="00402B8F">
        <w:t xml:space="preserve">  </w:t>
      </w:r>
      <w:r w:rsidR="007006F2">
        <w:t>As discussed in this Order, we</w:t>
      </w:r>
      <w:r w:rsidRPr="00BD5E0F" w:rsidR="007006F2">
        <w:t xml:space="preserve"> find no waiver of our rules is required for this </w:t>
      </w:r>
      <w:r w:rsidR="007006F2">
        <w:t>a</w:t>
      </w:r>
      <w:r w:rsidRPr="00BD5E0F" w:rsidR="007006F2">
        <w:t xml:space="preserve">uthorization to become effective.  </w:t>
      </w:r>
      <w:r w:rsidR="007006F2">
        <w:t xml:space="preserve"> </w:t>
      </w:r>
    </w:p>
  </w:footnote>
  <w:footnote w:id="4">
    <w:p w:rsidR="007006F2" w14:paraId="46EC21B5" w14:textId="312E4E83">
      <w:pPr>
        <w:pStyle w:val="FootnoteText"/>
      </w:pPr>
      <w:r>
        <w:rPr>
          <w:rStyle w:val="FootnoteReference"/>
        </w:rPr>
        <w:footnoteRef/>
      </w:r>
      <w:r>
        <w:t xml:space="preserve"> </w:t>
      </w:r>
      <w:r w:rsidR="00074467">
        <w:t xml:space="preserve">Request </w:t>
      </w:r>
      <w:r>
        <w:t>at 1.</w:t>
      </w:r>
    </w:p>
  </w:footnote>
  <w:footnote w:id="5">
    <w:p w:rsidR="002557F3" w14:paraId="42630EC4" w14:textId="1EA1C1E8">
      <w:pPr>
        <w:pStyle w:val="FootnoteText"/>
      </w:pPr>
      <w:r>
        <w:rPr>
          <w:rStyle w:val="FootnoteReference"/>
        </w:rPr>
        <w:footnoteRef/>
      </w:r>
      <w:r>
        <w:t xml:space="preserve"> </w:t>
      </w:r>
      <w:r w:rsidRPr="00651B04" w:rsidR="007920D0">
        <w:rPr>
          <w:i/>
          <w:iCs/>
        </w:rPr>
        <w:t>Wireless E911 Location Accuracy Requirements</w:t>
      </w:r>
      <w:r w:rsidRPr="00651B04" w:rsidR="007920D0">
        <w:t xml:space="preserve">, PS Docket No. 07-114, Fourth Report and Order, 30 FCC </w:t>
      </w:r>
      <w:r w:rsidRPr="00651B04" w:rsidR="007920D0">
        <w:t>Rcd</w:t>
      </w:r>
      <w:r w:rsidRPr="00651B04" w:rsidR="007920D0">
        <w:t xml:space="preserve"> 1259 (2015) (</w:t>
      </w:r>
      <w:r w:rsidRPr="00651B04" w:rsidR="007920D0">
        <w:rPr>
          <w:i/>
          <w:iCs/>
        </w:rPr>
        <w:t>Fourth Report and Order</w:t>
      </w:r>
      <w:r w:rsidRPr="00651B04" w:rsidR="007920D0">
        <w:t>)</w:t>
      </w:r>
      <w:r w:rsidR="00677B48">
        <w:t>.</w:t>
      </w:r>
    </w:p>
  </w:footnote>
  <w:footnote w:id="6">
    <w:p w:rsidR="00084137" w14:paraId="6649ADED" w14:textId="02045BCC">
      <w:pPr>
        <w:pStyle w:val="FootnoteText"/>
      </w:pPr>
      <w:r>
        <w:rPr>
          <w:rStyle w:val="FootnoteReference"/>
        </w:rPr>
        <w:footnoteRef/>
      </w:r>
      <w:r>
        <w:t xml:space="preserve"> </w:t>
      </w:r>
      <w:r w:rsidRPr="007920D0">
        <w:rPr>
          <w:i/>
          <w:iCs/>
        </w:rPr>
        <w:t>Fourth Report and Order</w:t>
      </w:r>
      <w:r>
        <w:t xml:space="preserve">, 30 FCC </w:t>
      </w:r>
      <w:r>
        <w:t>Rcd</w:t>
      </w:r>
      <w:r>
        <w:t xml:space="preserve"> at 1272, para. 39.</w:t>
      </w:r>
      <w:r w:rsidR="00BD2DEF">
        <w:t xml:space="preserve">  </w:t>
      </w:r>
    </w:p>
  </w:footnote>
  <w:footnote w:id="7">
    <w:p w:rsidR="0068148E" w:rsidP="0068148E" w14:paraId="168DCAA5" w14:textId="77777777">
      <w:pPr>
        <w:pStyle w:val="FootnoteText"/>
      </w:pPr>
      <w:r>
        <w:rPr>
          <w:rStyle w:val="FootnoteReference"/>
        </w:rPr>
        <w:footnoteRef/>
      </w:r>
      <w:r>
        <w:t xml:space="preserve"> </w:t>
      </w:r>
      <w:r w:rsidRPr="007920D0">
        <w:rPr>
          <w:i/>
          <w:iCs/>
        </w:rPr>
        <w:t>Fourth Report and Order</w:t>
      </w:r>
      <w:r>
        <w:t xml:space="preserve">, 30 FCC </w:t>
      </w:r>
      <w:r>
        <w:t>Rcd</w:t>
      </w:r>
      <w:r>
        <w:t xml:space="preserve"> at 1272-1273, para. 40. </w:t>
      </w:r>
    </w:p>
  </w:footnote>
  <w:footnote w:id="8">
    <w:p w:rsidR="0068148E" w:rsidP="0068148E" w14:paraId="79B316F6" w14:textId="77777777">
      <w:pPr>
        <w:pStyle w:val="FootnoteText"/>
      </w:pPr>
      <w:r>
        <w:rPr>
          <w:rStyle w:val="FootnoteReference"/>
        </w:rPr>
        <w:footnoteRef/>
      </w:r>
      <w:r>
        <w:t xml:space="preserve"> </w:t>
      </w:r>
      <w:r w:rsidRPr="007920D0">
        <w:rPr>
          <w:i/>
          <w:iCs/>
        </w:rPr>
        <w:t>Fourth Report and Order</w:t>
      </w:r>
      <w:r>
        <w:t xml:space="preserve">, 30 FCC </w:t>
      </w:r>
      <w:r>
        <w:t>Rcd</w:t>
      </w:r>
      <w:r>
        <w:t xml:space="preserve"> at 1272-1273, para. 40. </w:t>
      </w:r>
    </w:p>
  </w:footnote>
  <w:footnote w:id="9">
    <w:p w:rsidR="00F94A95" w14:paraId="5E9B2D2A" w14:textId="3E989A3A">
      <w:pPr>
        <w:pStyle w:val="FootnoteText"/>
      </w:pPr>
      <w:r>
        <w:rPr>
          <w:rStyle w:val="FootnoteReference"/>
        </w:rPr>
        <w:footnoteRef/>
      </w:r>
      <w:r>
        <w:t xml:space="preserve"> </w:t>
      </w:r>
      <w:r w:rsidRPr="007920D0" w:rsidR="00677B48">
        <w:rPr>
          <w:i/>
          <w:iCs/>
        </w:rPr>
        <w:t>Fourth Report and Order</w:t>
      </w:r>
      <w:r w:rsidR="00677B48">
        <w:t xml:space="preserve">, 30 FCC </w:t>
      </w:r>
      <w:r w:rsidR="00677B48">
        <w:t>Rcd</w:t>
      </w:r>
      <w:r w:rsidR="00677B48">
        <w:t xml:space="preserve"> at 1273, para. 40.</w:t>
      </w:r>
    </w:p>
  </w:footnote>
  <w:footnote w:id="10">
    <w:p w:rsidR="00AE1D00" w14:paraId="4F76B157" w14:textId="06ED3D3F">
      <w:pPr>
        <w:pStyle w:val="FootnoteText"/>
      </w:pPr>
      <w:r>
        <w:rPr>
          <w:rStyle w:val="FootnoteReference"/>
        </w:rPr>
        <w:footnoteRef/>
      </w:r>
      <w:r>
        <w:t xml:space="preserve"> </w:t>
      </w:r>
      <w:r w:rsidRPr="001949FC">
        <w:rPr>
          <w:i/>
          <w:iCs/>
        </w:rPr>
        <w:t xml:space="preserve">See FCC Seeks Comment on Waiver of Part 25 Licensing Requirement for Receive-Only Earth Stations Operating with the Galileo </w:t>
      </w:r>
      <w:r w:rsidRPr="001949FC">
        <w:rPr>
          <w:i/>
          <w:iCs/>
        </w:rPr>
        <w:t>Radionavigation</w:t>
      </w:r>
      <w:r w:rsidRPr="001949FC">
        <w:rPr>
          <w:i/>
          <w:iCs/>
        </w:rPr>
        <w:t>-Satellite Service</w:t>
      </w:r>
      <w:r w:rsidRPr="00AE1D00">
        <w:t xml:space="preserve">, Public Notice, IB Docket No. 17-16, 32 FCC </w:t>
      </w:r>
      <w:r w:rsidRPr="00AE1D00">
        <w:t>Rcd</w:t>
      </w:r>
      <w:r w:rsidRPr="00AE1D00">
        <w:t xml:space="preserve"> 8225, 8225 (Jan. 6, 2017) (Galileo Public Notice).  </w:t>
      </w:r>
    </w:p>
  </w:footnote>
  <w:footnote w:id="11">
    <w:p w:rsidR="00E978FD" w14:paraId="6D4C5E42" w14:textId="617A38E4">
      <w:pPr>
        <w:pStyle w:val="FootnoteText"/>
      </w:pPr>
      <w:r>
        <w:rPr>
          <w:rStyle w:val="FootnoteReference"/>
        </w:rPr>
        <w:footnoteRef/>
      </w:r>
      <w:r>
        <w:t xml:space="preserve"> </w:t>
      </w:r>
      <w:r w:rsidRPr="007920D0" w:rsidR="00634027">
        <w:rPr>
          <w:i/>
          <w:iCs/>
        </w:rPr>
        <w:t xml:space="preserve">Waiver of Part 25 Licensing Requirements for Receive-Only Earth Stations Operating with the Galileo </w:t>
      </w:r>
      <w:r w:rsidRPr="007920D0" w:rsidR="00634027">
        <w:rPr>
          <w:i/>
          <w:iCs/>
        </w:rPr>
        <w:t>Radionavigation</w:t>
      </w:r>
      <w:r w:rsidRPr="007920D0" w:rsidR="00634027">
        <w:rPr>
          <w:i/>
          <w:iCs/>
        </w:rPr>
        <w:t>-Satellite Service</w:t>
      </w:r>
      <w:r w:rsidR="00634027">
        <w:t xml:space="preserve">, Order, IB Docket No. 17-16, 33 FCC </w:t>
      </w:r>
      <w:r w:rsidR="00634027">
        <w:t>Rcd</w:t>
      </w:r>
      <w:r w:rsidR="00634027">
        <w:t xml:space="preserve"> 11322, 11346, para. 53 (2018) (</w:t>
      </w:r>
      <w:r w:rsidRPr="007920D0" w:rsidR="00634027">
        <w:rPr>
          <w:i/>
          <w:iCs/>
        </w:rPr>
        <w:t>Galileo Order</w:t>
      </w:r>
      <w:r w:rsidR="00634027">
        <w:t>) (</w:t>
      </w:r>
      <w:r w:rsidRPr="00E978FD">
        <w:t>grant</w:t>
      </w:r>
      <w:r w:rsidR="00634027">
        <w:t>ing</w:t>
      </w:r>
      <w:r w:rsidRPr="00E978FD">
        <w:t xml:space="preserve"> </w:t>
      </w:r>
      <w:r w:rsidR="00634027">
        <w:t>th</w:t>
      </w:r>
      <w:r w:rsidR="001723F2">
        <w:t>e requested waiver</w:t>
      </w:r>
      <w:r w:rsidRPr="00E978FD">
        <w:t xml:space="preserve"> for non-Federal receiver operations with two of the Galileo signals, E1 and E5, which are transmitted in the same </w:t>
      </w:r>
      <w:r w:rsidRPr="00E978FD">
        <w:t>Radionavigation</w:t>
      </w:r>
      <w:r w:rsidR="00007961">
        <w:t>-</w:t>
      </w:r>
      <w:r w:rsidRPr="00E978FD">
        <w:t>Satellite Service (RNSS) bands where GPS transmits its L1, L5, and L2 signals, and den</w:t>
      </w:r>
      <w:r w:rsidR="001723F2">
        <w:t>ying</w:t>
      </w:r>
      <w:r w:rsidRPr="00E978FD">
        <w:t xml:space="preserve"> the requested waiver for the Galileo E6 signal</w:t>
      </w:r>
      <w:r w:rsidR="001723F2">
        <w:t>)</w:t>
      </w:r>
      <w:r w:rsidRPr="00E978FD">
        <w:t xml:space="preserve">.  </w:t>
      </w:r>
    </w:p>
  </w:footnote>
  <w:footnote w:id="12">
    <w:p w:rsidR="00DB29B4" w14:paraId="0002B21D" w14:textId="022A6C31">
      <w:pPr>
        <w:pStyle w:val="FootnoteText"/>
      </w:pPr>
      <w:r>
        <w:rPr>
          <w:rStyle w:val="FootnoteReference"/>
        </w:rPr>
        <w:footnoteRef/>
      </w:r>
      <w:r>
        <w:t xml:space="preserve"> 47 CFR § 25.115(b)(9); </w:t>
      </w:r>
      <w:r w:rsidRPr="00AF223A">
        <w:rPr>
          <w:i/>
          <w:iCs/>
        </w:rPr>
        <w:t>see also</w:t>
      </w:r>
      <w:r>
        <w:t xml:space="preserve"> </w:t>
      </w:r>
      <w:r w:rsidRPr="00E820FA" w:rsidR="00E820FA">
        <w:rPr>
          <w:i/>
          <w:iCs/>
        </w:rPr>
        <w:t>Amendment of Parts 2 &amp; 25 of the Commission</w:t>
      </w:r>
      <w:r w:rsidR="00997309">
        <w:rPr>
          <w:i/>
          <w:iCs/>
        </w:rPr>
        <w:t>’</w:t>
      </w:r>
      <w:r w:rsidRPr="00E820FA" w:rsidR="00E820FA">
        <w:rPr>
          <w:i/>
          <w:iCs/>
        </w:rPr>
        <w:t xml:space="preserve">s Rules, </w:t>
      </w:r>
      <w:r w:rsidRPr="00AF223A" w:rsidR="00E820FA">
        <w:t xml:space="preserve">Report &amp; Order and Further Notice of Proposed Rulemaking, IB Docket No. 17-95, 33 FCC </w:t>
      </w:r>
      <w:r w:rsidRPr="00AF223A" w:rsidR="00E820FA">
        <w:t>Rcd</w:t>
      </w:r>
      <w:r w:rsidRPr="00AF223A" w:rsidR="00E820FA">
        <w:t xml:space="preserve"> 9327, 9353, para. 84 (2018)</w:t>
      </w:r>
      <w:r w:rsidRPr="00E820FA" w:rsidR="00CD6501">
        <w:t xml:space="preserve"> </w:t>
      </w:r>
      <w:r w:rsidRPr="00CD6501" w:rsidR="00CD6501">
        <w:t>(</w:t>
      </w:r>
      <w:r w:rsidR="00CD6501">
        <w:t>“</w:t>
      </w:r>
      <w:r w:rsidRPr="00CD6501" w:rsidR="00CD6501">
        <w:t>[W]e move all requirements regarding receive-only earth stations, with minor revisions, from § 25.131 into § 25.115(b)</w:t>
      </w:r>
      <w:r w:rsidR="00CD6501">
        <w:t>”</w:t>
      </w:r>
      <w:r w:rsidRPr="00CD6501" w:rsidR="00CD6501">
        <w:t xml:space="preserve">).  </w:t>
      </w:r>
    </w:p>
  </w:footnote>
  <w:footnote w:id="13">
    <w:p w:rsidR="00D97F96" w14:paraId="2320DE46" w14:textId="402074FF">
      <w:pPr>
        <w:pStyle w:val="FootnoteText"/>
      </w:pPr>
      <w:r>
        <w:rPr>
          <w:rStyle w:val="FootnoteReference"/>
        </w:rPr>
        <w:footnoteRef/>
      </w:r>
      <w:r>
        <w:t xml:space="preserve"> </w:t>
      </w:r>
      <w:r w:rsidRPr="001949FC" w:rsidR="005D1839">
        <w:rPr>
          <w:color w:val="000000"/>
          <w:shd w:val="clear" w:color="auto" w:fill="FFFFFF"/>
        </w:rPr>
        <w:t xml:space="preserve">The rules require licensing of non-federal receive-only equipment </w:t>
      </w:r>
      <w:r w:rsidR="00DB0C2B">
        <w:rPr>
          <w:color w:val="000000"/>
          <w:shd w:val="clear" w:color="auto" w:fill="FFFFFF"/>
        </w:rPr>
        <w:t xml:space="preserve">(e.g. wireless handsets) </w:t>
      </w:r>
      <w:r w:rsidRPr="001949FC" w:rsidR="005D1839">
        <w:rPr>
          <w:color w:val="000000"/>
          <w:shd w:val="clear" w:color="auto" w:fill="FFFFFF"/>
        </w:rPr>
        <w:t xml:space="preserve">operating with foreign satellite systems, including receive-only earth stations operating with non-U.S. licensed </w:t>
      </w:r>
      <w:r w:rsidRPr="001949FC" w:rsidR="005D1839">
        <w:rPr>
          <w:color w:val="000000"/>
          <w:shd w:val="clear" w:color="auto" w:fill="FFFFFF"/>
        </w:rPr>
        <w:t>radionavigation</w:t>
      </w:r>
      <w:r w:rsidRPr="001949FC" w:rsidR="005D1839">
        <w:rPr>
          <w:color w:val="000000"/>
          <w:shd w:val="clear" w:color="auto" w:fill="FFFFFF"/>
        </w:rPr>
        <w:t>-satellite service (RNSS) satellites.</w:t>
      </w:r>
      <w:r w:rsidRPr="005D1839" w:rsidR="005D1839">
        <w:rPr>
          <w:color w:val="000000"/>
          <w:shd w:val="clear" w:color="auto" w:fill="FFFFFF"/>
        </w:rPr>
        <w:t xml:space="preserve">  </w:t>
      </w:r>
      <w:r w:rsidRPr="00DB0C2B" w:rsidR="00DB0C2B">
        <w:rPr>
          <w:color w:val="000000"/>
          <w:shd w:val="clear" w:color="auto" w:fill="FFFFFF"/>
        </w:rPr>
        <w:t>47 CFR. §§ 25.115(b) (formerly § 25.131(j)</w:t>
      </w:r>
      <w:r w:rsidR="00DB0C2B">
        <w:rPr>
          <w:color w:val="000000"/>
          <w:shd w:val="clear" w:color="auto" w:fill="FFFFFF"/>
        </w:rPr>
        <w:t xml:space="preserve">); 25.137.  </w:t>
      </w:r>
      <w:r w:rsidRPr="001949FC" w:rsidR="005D1839">
        <w:rPr>
          <w:color w:val="000000"/>
          <w:shd w:val="clear" w:color="auto" w:fill="FFFFFF"/>
        </w:rPr>
        <w:t xml:space="preserve">The </w:t>
      </w:r>
      <w:r w:rsidRPr="001949FC" w:rsidR="005D1839">
        <w:rPr>
          <w:i/>
          <w:iCs/>
          <w:color w:val="000000"/>
          <w:shd w:val="clear" w:color="auto" w:fill="FFFFFF"/>
        </w:rPr>
        <w:t>Galileo Order</w:t>
      </w:r>
      <w:r w:rsidRPr="001949FC" w:rsidR="005D1839">
        <w:rPr>
          <w:color w:val="000000"/>
          <w:shd w:val="clear" w:color="auto" w:fill="FFFFFF"/>
        </w:rPr>
        <w:t xml:space="preserve"> granted </w:t>
      </w:r>
      <w:r w:rsidR="005D1839">
        <w:rPr>
          <w:color w:val="000000"/>
          <w:shd w:val="clear" w:color="auto" w:fill="FFFFFF"/>
        </w:rPr>
        <w:t>a waiver for</w:t>
      </w:r>
      <w:r w:rsidRPr="001949FC" w:rsidR="005D1839">
        <w:rPr>
          <w:color w:val="000000"/>
          <w:shd w:val="clear" w:color="auto" w:fill="FFFFFF"/>
        </w:rPr>
        <w:t xml:space="preserve"> receive-only earth stations to operate with Galileo, but this did not constitute a grant of market access</w:t>
      </w:r>
      <w:r w:rsidR="00DB0C2B">
        <w:rPr>
          <w:color w:val="000000"/>
          <w:shd w:val="clear" w:color="auto" w:fill="FFFFFF"/>
        </w:rPr>
        <w:t xml:space="preserve"> under Section 25.137 of the rules</w:t>
      </w:r>
      <w:r w:rsidRPr="001949FC" w:rsidR="005D1839">
        <w:rPr>
          <w:color w:val="000000"/>
          <w:shd w:val="clear" w:color="auto" w:fill="FFFFFF"/>
        </w:rPr>
        <w:t>.</w:t>
      </w:r>
    </w:p>
  </w:footnote>
  <w:footnote w:id="14">
    <w:p w:rsidR="00943365" w14:paraId="25565446" w14:textId="2C45CC43">
      <w:pPr>
        <w:pStyle w:val="FootnoteText"/>
      </w:pPr>
      <w:r>
        <w:rPr>
          <w:rStyle w:val="FootnoteReference"/>
        </w:rPr>
        <w:footnoteRef/>
      </w:r>
      <w:r>
        <w:t xml:space="preserve"> </w:t>
      </w:r>
      <w:r w:rsidR="00A4215A">
        <w:rPr>
          <w:i/>
          <w:iCs/>
        </w:rPr>
        <w:t>Galileo Order</w:t>
      </w:r>
      <w:r w:rsidR="00A4215A">
        <w:t xml:space="preserve">, 33 FCC </w:t>
      </w:r>
      <w:r w:rsidR="00A4215A">
        <w:t>Rcd</w:t>
      </w:r>
      <w:r w:rsidR="00A4215A">
        <w:t xml:space="preserve"> at 11345, para. 50.</w:t>
      </w:r>
    </w:p>
  </w:footnote>
  <w:footnote w:id="15">
    <w:p w:rsidR="007920D0" w:rsidP="007920D0" w14:paraId="40E85A40" w14:textId="38353FDE">
      <w:pPr>
        <w:pStyle w:val="FootnoteText"/>
      </w:pPr>
      <w:r>
        <w:rPr>
          <w:rStyle w:val="FootnoteReference"/>
        </w:rPr>
        <w:footnoteRef/>
      </w:r>
      <w:r>
        <w:t xml:space="preserve"> </w:t>
      </w:r>
      <w:r w:rsidR="00957C1C">
        <w:rPr>
          <w:i/>
          <w:iCs/>
        </w:rPr>
        <w:t>Galileo Order</w:t>
      </w:r>
      <w:r>
        <w:t xml:space="preserve">, 33 FCC </w:t>
      </w:r>
      <w:r>
        <w:t>Rcd</w:t>
      </w:r>
      <w:r w:rsidR="00957C1C">
        <w:t xml:space="preserve"> at</w:t>
      </w:r>
      <w:r>
        <w:t xml:space="preserve"> 11345, para. 50</w:t>
      </w:r>
      <w:r w:rsidR="00957C1C">
        <w:t xml:space="preserve">, </w:t>
      </w:r>
      <w:r>
        <w:t xml:space="preserve">citing </w:t>
      </w:r>
      <w:r w:rsidRPr="007920D0">
        <w:rPr>
          <w:i/>
          <w:iCs/>
        </w:rPr>
        <w:t>Fourth Report and Order</w:t>
      </w:r>
      <w:r>
        <w:t xml:space="preserve">, 30 FCC </w:t>
      </w:r>
      <w:r>
        <w:t>Rcd</w:t>
      </w:r>
      <w:r>
        <w:t xml:space="preserve"> at 1272-1273, paras. 39-40</w:t>
      </w:r>
      <w:r w:rsidR="00957C1C">
        <w:t xml:space="preserve">; </w:t>
      </w:r>
      <w:r w:rsidRPr="0079442A" w:rsidR="00957C1C">
        <w:rPr>
          <w:i/>
          <w:iCs/>
        </w:rPr>
        <w:t>see also</w:t>
      </w:r>
      <w:r w:rsidR="00957C1C">
        <w:t xml:space="preserve"> 47 </w:t>
      </w:r>
      <w:r w:rsidR="00E024C6">
        <w:t>CFR</w:t>
      </w:r>
      <w:r w:rsidR="00957C1C">
        <w:t xml:space="preserve"> §§ </w:t>
      </w:r>
      <w:r w:rsidRPr="00BD5E0F" w:rsidR="00957C1C">
        <w:t>25.115(b)(9)</w:t>
      </w:r>
      <w:r w:rsidR="00957C1C">
        <w:t>,</w:t>
      </w:r>
      <w:r w:rsidRPr="00957C1C" w:rsidR="00957C1C">
        <w:t xml:space="preserve"> 25.137</w:t>
      </w:r>
      <w:r w:rsidR="00957C1C">
        <w:t xml:space="preserve">. </w:t>
      </w:r>
    </w:p>
  </w:footnote>
  <w:footnote w:id="16">
    <w:p w:rsidR="00183ECB" w14:paraId="1C6D3E0E" w14:textId="03CC09B1">
      <w:pPr>
        <w:pStyle w:val="FootnoteText"/>
      </w:pPr>
      <w:r>
        <w:rPr>
          <w:rStyle w:val="FootnoteReference"/>
        </w:rPr>
        <w:footnoteRef/>
      </w:r>
      <w:r>
        <w:t xml:space="preserve"> </w:t>
      </w:r>
      <w:r>
        <w:rPr>
          <w:i/>
          <w:iCs/>
        </w:rPr>
        <w:t>Galileo Order</w:t>
      </w:r>
      <w:r>
        <w:t xml:space="preserve">, 33 FCC </w:t>
      </w:r>
      <w:r>
        <w:t>Rcd</w:t>
      </w:r>
      <w:r>
        <w:t xml:space="preserve"> at 11345, para. 50. </w:t>
      </w:r>
    </w:p>
  </w:footnote>
  <w:footnote w:id="17">
    <w:p w:rsidR="008C2D26" w14:paraId="1B9B8BCF" w14:textId="54012F72">
      <w:pPr>
        <w:pStyle w:val="FootnoteText"/>
      </w:pPr>
      <w:r>
        <w:rPr>
          <w:rStyle w:val="FootnoteReference"/>
        </w:rPr>
        <w:footnoteRef/>
      </w:r>
      <w:r>
        <w:t xml:space="preserve"> PSHSB will address non-nationwide CMRS provider compliance separately from today’s Order. </w:t>
      </w:r>
    </w:p>
  </w:footnote>
  <w:footnote w:id="18">
    <w:p w:rsidR="00FA6FA1" w:rsidP="008A17BC" w14:paraId="2350D926" w14:textId="77777777">
      <w:pPr>
        <w:pStyle w:val="FootnoteText"/>
      </w:pPr>
      <w:r>
        <w:rPr>
          <w:rStyle w:val="FootnoteReference"/>
        </w:rPr>
        <w:footnoteRef/>
      </w:r>
      <w:r>
        <w:t xml:space="preserve"> </w:t>
      </w:r>
      <w:r>
        <w:rPr>
          <w:i/>
          <w:iCs/>
        </w:rPr>
        <w:t>Galileo Order</w:t>
      </w:r>
      <w:r>
        <w:t xml:space="preserve">, 33 FCC </w:t>
      </w:r>
      <w:r>
        <w:t>Rcd</w:t>
      </w:r>
      <w:r>
        <w:t xml:space="preserve"> at 11335, 11339, paras. 27, 36.</w:t>
      </w:r>
    </w:p>
  </w:footnote>
  <w:footnote w:id="19">
    <w:p w:rsidR="008A17BC" w:rsidRPr="00E8689E" w:rsidP="008A17BC" w14:paraId="6B43A870" w14:textId="4DE8A5A0">
      <w:pPr>
        <w:pStyle w:val="FootnoteText"/>
        <w:spacing w:after="0"/>
      </w:pPr>
      <w:r w:rsidRPr="00E8689E">
        <w:rPr>
          <w:rStyle w:val="FootnoteReference"/>
        </w:rPr>
        <w:footnoteRef/>
      </w:r>
      <w:r w:rsidRPr="00E8689E">
        <w:t xml:space="preserve"> </w:t>
      </w:r>
      <w:r w:rsidRPr="00E8689E">
        <w:rPr>
          <w:i/>
          <w:iCs/>
        </w:rPr>
        <w:t>See e.g.</w:t>
      </w:r>
      <w:r w:rsidRPr="00E8689E">
        <w:t xml:space="preserve"> 47 CFR § 9.10(i)(2)(iii)(A) (“All CMRS providers must certify that the indoor location technology (or</w:t>
      </w:r>
    </w:p>
    <w:p w:rsidR="008A17BC" w:rsidRPr="00E8689E" w:rsidP="008A17BC" w14:paraId="1DA1BEC2" w14:textId="77777777">
      <w:pPr>
        <w:pStyle w:val="FootnoteText"/>
        <w:spacing w:after="0"/>
      </w:pPr>
      <w:r w:rsidRPr="00E8689E">
        <w:t>technologies) used in their networks are deployed consistently with the manner in which they have been tested in the</w:t>
      </w:r>
    </w:p>
    <w:p w:rsidR="008A17BC" w:rsidP="00350788" w14:paraId="6710EB32" w14:textId="2DF19C3F">
      <w:pPr>
        <w:pStyle w:val="FootnoteText"/>
      </w:pPr>
      <w:r w:rsidRPr="00E8689E">
        <w:t>test bed.”)</w:t>
      </w:r>
      <w:r w:rsidRPr="00E8689E" w:rsidR="00131976">
        <w:t>.</w:t>
      </w:r>
    </w:p>
  </w:footnote>
  <w:footnote w:id="20">
    <w:p w:rsidR="00FA6FA1" w:rsidP="00FA6FA1" w14:paraId="6FA75E8B" w14:textId="5FE42ECC">
      <w:pPr>
        <w:pStyle w:val="FootnoteText"/>
      </w:pPr>
      <w:r>
        <w:rPr>
          <w:rStyle w:val="FootnoteReference"/>
        </w:rPr>
        <w:footnoteRef/>
      </w:r>
      <w:r>
        <w:t xml:space="preserve"> The </w:t>
      </w:r>
      <w:r w:rsidR="007B71F5">
        <w:t xml:space="preserve">GPS </w:t>
      </w:r>
      <w:r>
        <w:t xml:space="preserve">Interface Control Documents (ICD) are available at </w:t>
      </w:r>
      <w:hyperlink r:id="rId1" w:anchor="icd-gps-240" w:history="1">
        <w:r>
          <w:rPr>
            <w:rStyle w:val="Hyperlink"/>
          </w:rPr>
          <w:t>https://www.gps.gov/technical/icwg/#icd-gps-240</w:t>
        </w:r>
      </w:hyperlink>
      <w:r>
        <w:t xml:space="preserve"> (last visited August</w:t>
      </w:r>
      <w:r w:rsidR="000A4E01">
        <w:t>19</w:t>
      </w:r>
      <w:r>
        <w:t xml:space="preserve">, 2020). </w:t>
      </w:r>
    </w:p>
  </w:footnote>
  <w:footnote w:id="21">
    <w:p w:rsidR="00FA6FA1" w:rsidP="00FA6FA1" w14:paraId="02E2EF3D" w14:textId="706CFD5C">
      <w:pPr>
        <w:pStyle w:val="FootnoteText"/>
      </w:pPr>
      <w:r>
        <w:rPr>
          <w:rStyle w:val="FootnoteReference"/>
        </w:rPr>
        <w:footnoteRef/>
      </w:r>
      <w:r>
        <w:t xml:space="preserve"> The DHS Best Practices Guide is available </w:t>
      </w:r>
      <w:r w:rsidRPr="00694BEB">
        <w:t xml:space="preserve">at </w:t>
      </w:r>
      <w:hyperlink r:id="rId2" w:history="1">
        <w:r w:rsidRPr="008C236C">
          <w:rPr>
            <w:rStyle w:val="Hyperlink"/>
          </w:rPr>
          <w:t>www.gps.gov</w:t>
        </w:r>
      </w:hyperlink>
      <w:r>
        <w:t xml:space="preserve"> </w:t>
      </w:r>
      <w:r w:rsidRPr="00694BEB">
        <w:t xml:space="preserve">and at </w:t>
      </w:r>
      <w:hyperlink r:id="rId3" w:history="1">
        <w:r w:rsidRPr="008C236C">
          <w:rPr>
            <w:rStyle w:val="Hyperlink"/>
          </w:rPr>
          <w:t>www.dhs.gov/science-and-technology/pnt-program</w:t>
        </w:r>
      </w:hyperlink>
      <w:r>
        <w:t xml:space="preserve"> (last visited </w:t>
      </w:r>
      <w:r w:rsidRPr="00074467">
        <w:t>August</w:t>
      </w:r>
      <w:r>
        <w:t xml:space="preserve"> </w:t>
      </w:r>
      <w:r w:rsidR="000A4E01">
        <w:t>19</w:t>
      </w:r>
      <w:r>
        <w:t xml:space="preserve">, 2020).  </w:t>
      </w:r>
    </w:p>
  </w:footnote>
  <w:footnote w:id="22">
    <w:p w:rsidR="00B61394" w14:paraId="46E41120" w14:textId="0D96816A">
      <w:pPr>
        <w:pStyle w:val="FootnoteText"/>
      </w:pPr>
      <w:r>
        <w:rPr>
          <w:rStyle w:val="FootnoteReference"/>
        </w:rPr>
        <w:footnoteRef/>
      </w:r>
      <w:r>
        <w:t xml:space="preserve"> Request at 3-4, 5-8. </w:t>
      </w:r>
      <w:r w:rsidR="00FA50AD">
        <w:t xml:space="preserve"> </w:t>
      </w:r>
      <w:r w:rsidR="00FA50AD">
        <w:rPr>
          <w:szCs w:val="22"/>
        </w:rPr>
        <w:t xml:space="preserve">In addition, </w:t>
      </w:r>
      <w:r w:rsidRPr="000D1338" w:rsidR="00FA50AD">
        <w:t>AT&amp;T request</w:t>
      </w:r>
      <w:r w:rsidR="00FA50AD">
        <w:t>s</w:t>
      </w:r>
      <w:r w:rsidRPr="000D1338" w:rsidR="00FA50AD">
        <w:t xml:space="preserve"> any additional waiver needed under </w:t>
      </w:r>
      <w:r w:rsidR="00FA50AD">
        <w:t>Section</w:t>
      </w:r>
      <w:r w:rsidRPr="000D1338" w:rsidR="00FA50AD">
        <w:t xml:space="preserve"> 25.115 or Paragraph 50 of the </w:t>
      </w:r>
      <w:r w:rsidRPr="00747563" w:rsidR="00FA50AD">
        <w:rPr>
          <w:i/>
          <w:iCs/>
        </w:rPr>
        <w:t>Galileo Order</w:t>
      </w:r>
      <w:r w:rsidRPr="000D1338" w:rsidR="00FA50AD">
        <w:t xml:space="preserve"> to integrate Galileo signals into its E911 service.</w:t>
      </w:r>
      <w:r w:rsidR="00FA50AD">
        <w:t xml:space="preserve">  </w:t>
      </w:r>
      <w:r w:rsidRPr="000D1338" w:rsidR="00FA50AD">
        <w:t xml:space="preserve">Request at 4.  </w:t>
      </w:r>
    </w:p>
  </w:footnote>
  <w:footnote w:id="23">
    <w:p w:rsidR="0021587C" w:rsidP="0021587C" w14:paraId="21FFEEA8" w14:textId="3C413257">
      <w:pPr>
        <w:pStyle w:val="FootnoteText"/>
      </w:pPr>
      <w:r>
        <w:rPr>
          <w:rStyle w:val="FootnoteReference"/>
        </w:rPr>
        <w:footnoteRef/>
      </w:r>
      <w:r>
        <w:t xml:space="preserve"> Request at 3.</w:t>
      </w:r>
    </w:p>
  </w:footnote>
  <w:footnote w:id="24">
    <w:p w:rsidR="0021587C" w:rsidP="0021587C" w14:paraId="72737320" w14:textId="2C34FFA9">
      <w:pPr>
        <w:pStyle w:val="FootnoteText"/>
      </w:pPr>
      <w:r>
        <w:rPr>
          <w:rStyle w:val="FootnoteReference"/>
        </w:rPr>
        <w:footnoteRef/>
      </w:r>
      <w:r>
        <w:t xml:space="preserve"> Request at </w:t>
      </w:r>
      <w:r w:rsidR="00636F64">
        <w:t>6</w:t>
      </w:r>
      <w:r>
        <w:t>.</w:t>
      </w:r>
    </w:p>
  </w:footnote>
  <w:footnote w:id="25">
    <w:p w:rsidR="00636F64" w:rsidP="00636F64" w14:paraId="57542DEA" w14:textId="5F777421">
      <w:pPr>
        <w:pStyle w:val="FootnoteText"/>
      </w:pPr>
      <w:r>
        <w:rPr>
          <w:rStyle w:val="FootnoteReference"/>
        </w:rPr>
        <w:footnoteRef/>
      </w:r>
      <w:r>
        <w:t xml:space="preserve"> </w:t>
      </w:r>
      <w:r w:rsidRPr="00BD5E0F">
        <w:t xml:space="preserve">Request at 3-4. </w:t>
      </w:r>
      <w:r w:rsidR="0012590A">
        <w:t xml:space="preserve"> </w:t>
      </w:r>
    </w:p>
  </w:footnote>
  <w:footnote w:id="26">
    <w:p w:rsidR="0021587C" w:rsidP="0021587C" w14:paraId="7B51752D" w14:textId="552126EF">
      <w:pPr>
        <w:pStyle w:val="FootnoteText"/>
      </w:pPr>
      <w:r>
        <w:rPr>
          <w:rStyle w:val="FootnoteReference"/>
        </w:rPr>
        <w:footnoteRef/>
      </w:r>
      <w:r>
        <w:t xml:space="preserve"> Request at </w:t>
      </w:r>
      <w:r w:rsidR="00636F64">
        <w:t>7-8 and Attachment</w:t>
      </w:r>
      <w:r>
        <w:t>.</w:t>
      </w:r>
    </w:p>
  </w:footnote>
  <w:footnote w:id="27">
    <w:p w:rsidR="0021587C" w:rsidP="0021587C" w14:paraId="7F092998" w14:textId="77777777">
      <w:pPr>
        <w:pStyle w:val="FootnoteText"/>
      </w:pPr>
      <w:r>
        <w:rPr>
          <w:rStyle w:val="FootnoteReference"/>
        </w:rPr>
        <w:footnoteRef/>
      </w:r>
      <w:r>
        <w:t xml:space="preserve"> Request at Attachment.</w:t>
      </w:r>
    </w:p>
  </w:footnote>
  <w:footnote w:id="28">
    <w:p w:rsidR="00F730C3" w14:paraId="4772774A" w14:textId="6E1430E0">
      <w:pPr>
        <w:pStyle w:val="FootnoteText"/>
      </w:pPr>
      <w:r>
        <w:rPr>
          <w:rStyle w:val="FootnoteReference"/>
        </w:rPr>
        <w:footnoteRef/>
      </w:r>
      <w:r>
        <w:t xml:space="preserve"> AT&amp;T also seeks a waiver of </w:t>
      </w:r>
      <w:r w:rsidR="00A70E42">
        <w:t xml:space="preserve">Rule 25.115 and Paragraph 50 of the </w:t>
      </w:r>
      <w:r w:rsidRPr="00A70E42" w:rsidR="00A70E42">
        <w:rPr>
          <w:i/>
          <w:iCs/>
        </w:rPr>
        <w:t>Galileo Order</w:t>
      </w:r>
      <w:r w:rsidR="00A70E42">
        <w:t xml:space="preserve"> to the extent necessary.  Request at 4.  AT&amp;T argues a waiver is warranted under the Commission’s rules.  47 </w:t>
      </w:r>
      <w:r w:rsidR="00E024C6">
        <w:t>CFR</w:t>
      </w:r>
      <w:r w:rsidR="00A70E42">
        <w:t xml:space="preserve"> § 1.3 (“</w:t>
      </w:r>
      <w:r w:rsidRPr="00A70E42" w:rsidR="00A70E42">
        <w:t>Any provision of the rules may be waived by the Commission... on petition if good cause therefor is shown.</w:t>
      </w:r>
      <w:r w:rsidR="00A70E42">
        <w:t>”</w:t>
      </w:r>
      <w:r w:rsidRPr="00A70E42" w:rsidR="00A70E42">
        <w:t>)</w:t>
      </w:r>
      <w:r w:rsidR="00A70E42">
        <w:t xml:space="preserve">.  </w:t>
      </w:r>
      <w:r w:rsidRPr="000D1338" w:rsidR="00AE7591">
        <w:t>CMRS providers already have authorization to receive Galileo handset signals</w:t>
      </w:r>
      <w:r w:rsidR="00AE7591">
        <w:t xml:space="preserve"> pursuant to the </w:t>
      </w:r>
      <w:r w:rsidRPr="00747563" w:rsidR="00AE7591">
        <w:rPr>
          <w:i/>
          <w:iCs/>
        </w:rPr>
        <w:t>Galileo Order</w:t>
      </w:r>
      <w:r w:rsidRPr="000D1338" w:rsidR="00AE7591">
        <w:t xml:space="preserve">. AT&amp;T’s Request is for additional authorization to use the Galileo signals specifically for E911.  Therefore, no </w:t>
      </w:r>
      <w:r w:rsidR="00AE7591">
        <w:t xml:space="preserve">further waiver </w:t>
      </w:r>
      <w:r w:rsidRPr="000D1338" w:rsidR="00AE7591">
        <w:t>is required for receive-only handset</w:t>
      </w:r>
      <w:r w:rsidR="00AE7591">
        <w:t>s to receive</w:t>
      </w:r>
      <w:r w:rsidRPr="000D1338" w:rsidR="00AE7591">
        <w:t xml:space="preserve"> Galileo signals</w:t>
      </w:r>
      <w:r w:rsidR="00AE7591">
        <w:t>.</w:t>
      </w:r>
      <w:r w:rsidR="00054767">
        <w:t xml:space="preserve">  Accordingly, </w:t>
      </w:r>
      <w:r w:rsidR="00A70E42">
        <w:t xml:space="preserve">we </w:t>
      </w:r>
      <w:r w:rsidR="00A41041">
        <w:t>dismiss</w:t>
      </w:r>
      <w:r w:rsidR="00A70E42">
        <w:t xml:space="preserve"> </w:t>
      </w:r>
      <w:r w:rsidR="00054767">
        <w:t>AT&amp;T’s waiver request</w:t>
      </w:r>
      <w:r w:rsidR="00A70E42">
        <w:t xml:space="preserve"> as moot.  </w:t>
      </w:r>
    </w:p>
  </w:footnote>
  <w:footnote w:id="29">
    <w:p w:rsidR="00581DAA" w:rsidP="00581DAA" w14:paraId="0E196EDF" w14:textId="46717C0A">
      <w:pPr>
        <w:pStyle w:val="FootnoteText"/>
      </w:pPr>
      <w:r>
        <w:rPr>
          <w:rStyle w:val="FootnoteReference"/>
        </w:rPr>
        <w:footnoteRef/>
      </w:r>
      <w:r>
        <w:t xml:space="preserve"> </w:t>
      </w:r>
      <w:r w:rsidRPr="007920D0" w:rsidR="00BF7042">
        <w:rPr>
          <w:i/>
          <w:iCs/>
        </w:rPr>
        <w:t>Fourth Report and Order</w:t>
      </w:r>
      <w:r w:rsidR="00BF7042">
        <w:t xml:space="preserve">, 30 FCC </w:t>
      </w:r>
      <w:r w:rsidR="00BF7042">
        <w:t>Rcd</w:t>
      </w:r>
      <w:r w:rsidR="00BF7042">
        <w:t xml:space="preserve"> at 1272-1273, para. 40.</w:t>
      </w:r>
    </w:p>
  </w:footnote>
  <w:footnote w:id="30">
    <w:p w:rsidR="007E4A32" w:rsidP="007E4A32" w14:paraId="50C86E92" w14:textId="77777777">
      <w:pPr>
        <w:pStyle w:val="FootnoteText"/>
      </w:pPr>
      <w:r>
        <w:rPr>
          <w:rStyle w:val="FootnoteReference"/>
        </w:rPr>
        <w:footnoteRef/>
      </w:r>
      <w:r>
        <w:t xml:space="preserve"> </w:t>
      </w:r>
      <w:r w:rsidRPr="000D1338">
        <w:t xml:space="preserve">Although receive authority was granted by the </w:t>
      </w:r>
      <w:r w:rsidRPr="00747563">
        <w:rPr>
          <w:i/>
          <w:iCs/>
        </w:rPr>
        <w:t>Galileo Order</w:t>
      </w:r>
      <w:r w:rsidRPr="000D1338">
        <w:t>, that order did not grant market access</w:t>
      </w:r>
      <w:r>
        <w:t xml:space="preserve"> to the Galileo satellite system under Rule 25.137</w:t>
      </w:r>
      <w:r w:rsidRPr="000D1338">
        <w:t xml:space="preserve">, which would have </w:t>
      </w:r>
      <w:r>
        <w:t xml:space="preserve">automatically granted device / earth station receive </w:t>
      </w:r>
      <w:r w:rsidRPr="000D1338">
        <w:t xml:space="preserve">authority </w:t>
      </w:r>
      <w:r>
        <w:t>by satisfying</w:t>
      </w:r>
      <w:r w:rsidRPr="000D1338">
        <w:t xml:space="preserve"> Rule 25.115(b)(9)(ii) instead of</w:t>
      </w:r>
      <w:r>
        <w:t xml:space="preserve"> waiving</w:t>
      </w:r>
      <w:r w:rsidRPr="000D1338">
        <w:t xml:space="preserve"> </w:t>
      </w:r>
      <w:r>
        <w:t xml:space="preserve">Rule </w:t>
      </w:r>
      <w:r w:rsidRPr="000D1338">
        <w:t>25.115(b)(9).  Rule 25.115(b)(9)</w:t>
      </w:r>
      <w:r>
        <w:t xml:space="preserve"> (formerly Rule </w:t>
      </w:r>
      <w:r w:rsidRPr="00957C1C">
        <w:t>25.131(j)(1)</w:t>
      </w:r>
      <w:r>
        <w:t>)</w:t>
      </w:r>
      <w:r w:rsidRPr="000D1338">
        <w:t xml:space="preserve"> specifies receive-only earth station operators must request a Commission license to receive signals from foreign satellite unless the Commission has granted market access to the GNSS satellite signal.  The </w:t>
      </w:r>
      <w:r w:rsidRPr="000D5DAB">
        <w:rPr>
          <w:i/>
          <w:iCs/>
        </w:rPr>
        <w:t>Galileo Or</w:t>
      </w:r>
      <w:r w:rsidRPr="000D1338">
        <w:t>der waived the</w:t>
      </w:r>
      <w:r>
        <w:t xml:space="preserve"> receive-only earth station licensing</w:t>
      </w:r>
      <w:r w:rsidRPr="000D1338">
        <w:t xml:space="preserve"> requirement of 25.115(b)(9) without granting </w:t>
      </w:r>
      <w:r>
        <w:t xml:space="preserve">the Galileo system </w:t>
      </w:r>
      <w:r w:rsidRPr="000D1338">
        <w:t xml:space="preserve">market access.  </w:t>
      </w:r>
      <w:r w:rsidRPr="00C879B8">
        <w:rPr>
          <w:i/>
          <w:iCs/>
        </w:rPr>
        <w:t>Galileo</w:t>
      </w:r>
      <w:r>
        <w:t xml:space="preserve"> </w:t>
      </w:r>
      <w:r w:rsidRPr="00C879B8">
        <w:rPr>
          <w:i/>
          <w:iCs/>
        </w:rPr>
        <w:t>Order</w:t>
      </w:r>
      <w:r>
        <w:t xml:space="preserve">, 33 FCC </w:t>
      </w:r>
      <w:r>
        <w:t>Rcd</w:t>
      </w:r>
      <w:r>
        <w:t xml:space="preserve"> at 11346, para. 53; 47 CFR §§ 25.115(b)(9), 25.137. </w:t>
      </w:r>
    </w:p>
  </w:footnote>
  <w:footnote w:id="31">
    <w:p w:rsidR="00B21271" w:rsidP="00B21271" w14:paraId="246EAA4B" w14:textId="69106D80">
      <w:pPr>
        <w:pStyle w:val="FootnoteText"/>
      </w:pPr>
      <w:r>
        <w:rPr>
          <w:rStyle w:val="FootnoteReference"/>
        </w:rPr>
        <w:footnoteRef/>
      </w:r>
      <w:r>
        <w:t xml:space="preserve"> Request at 3, 5-6.</w:t>
      </w:r>
      <w:r w:rsidR="00811AE9">
        <w:t xml:space="preserve">  </w:t>
      </w:r>
      <w:r w:rsidR="0089185B">
        <w:t>Regarding interoperability with GPS, the Commission concluded that “</w:t>
      </w:r>
      <w:r w:rsidRPr="00811AE9" w:rsidR="00811AE9">
        <w:t>The Galileo GNSS is uniquely situated as a foreign GNSS system with respect to the U.S. GPS, since the two systems are interoperable and RF compatible under the 2004 EU/US Galileo</w:t>
      </w:r>
      <w:r w:rsidR="00823E5B">
        <w:t>-</w:t>
      </w:r>
      <w:r w:rsidRPr="00811AE9" w:rsidR="00811AE9">
        <w:t>GPS Agreement and subsequent EC/U.S. actions to implement that agreement</w:t>
      </w:r>
      <w:r w:rsidR="0089185B">
        <w:t xml:space="preserve">.”  </w:t>
      </w:r>
      <w:r w:rsidRPr="001949FC" w:rsidR="0089185B">
        <w:rPr>
          <w:i/>
          <w:iCs/>
        </w:rPr>
        <w:t>Galileo Order</w:t>
      </w:r>
      <w:r w:rsidR="0089185B">
        <w:t xml:space="preserve">, </w:t>
      </w:r>
      <w:r w:rsidR="00AC7BF0">
        <w:t xml:space="preserve">33 FCC </w:t>
      </w:r>
      <w:r w:rsidR="00AC7BF0">
        <w:t>Rcd</w:t>
      </w:r>
      <w:r w:rsidR="00AC7BF0">
        <w:t xml:space="preserve"> at </w:t>
      </w:r>
      <w:r w:rsidR="00E217AA">
        <w:t>11327,</w:t>
      </w:r>
      <w:r w:rsidR="0089185B">
        <w:t xml:space="preserve"> para. 12.</w:t>
      </w:r>
    </w:p>
  </w:footnote>
  <w:footnote w:id="32">
    <w:p w:rsidR="00747563" w14:paraId="4B9962D7" w14:textId="7D7260A4">
      <w:pPr>
        <w:pStyle w:val="FootnoteText"/>
      </w:pPr>
      <w:r>
        <w:rPr>
          <w:rStyle w:val="FootnoteReference"/>
        </w:rPr>
        <w:footnoteRef/>
      </w:r>
      <w:r>
        <w:t xml:space="preserve"> </w:t>
      </w:r>
      <w:r w:rsidRPr="00BD5E0F">
        <w:t xml:space="preserve">Request at 5-7.  </w:t>
      </w:r>
    </w:p>
  </w:footnote>
  <w:footnote w:id="33">
    <w:p w:rsidR="00747563" w14:paraId="2E5B15D8" w14:textId="3B62D5AD">
      <w:pPr>
        <w:pStyle w:val="FootnoteText"/>
      </w:pPr>
      <w:r>
        <w:rPr>
          <w:rStyle w:val="FootnoteReference"/>
        </w:rPr>
        <w:footnoteRef/>
      </w:r>
      <w:r>
        <w:t xml:space="preserve"> </w:t>
      </w:r>
      <w:r w:rsidRPr="00BD5E0F">
        <w:t xml:space="preserve">Request at 6.  </w:t>
      </w:r>
    </w:p>
  </w:footnote>
  <w:footnote w:id="34">
    <w:p w:rsidR="00683D61" w14:paraId="46F9F3F0" w14:textId="78D5ED78">
      <w:pPr>
        <w:pStyle w:val="FootnoteText"/>
      </w:pPr>
      <w:r>
        <w:rPr>
          <w:rStyle w:val="FootnoteReference"/>
        </w:rPr>
        <w:footnoteRef/>
      </w:r>
      <w:r>
        <w:t xml:space="preserve"> Request at 7.</w:t>
      </w:r>
    </w:p>
  </w:footnote>
  <w:footnote w:id="35">
    <w:p w:rsidR="006E3E5E" w14:paraId="640CA998" w14:textId="388EEB1C">
      <w:pPr>
        <w:pStyle w:val="FootnoteText"/>
      </w:pPr>
      <w:r>
        <w:rPr>
          <w:rStyle w:val="FootnoteReference"/>
        </w:rPr>
        <w:footnoteRef/>
      </w:r>
      <w:r>
        <w:t xml:space="preserve"> </w:t>
      </w:r>
      <w:r w:rsidRPr="00BD5E0F">
        <w:t xml:space="preserve">Request at 7. </w:t>
      </w:r>
    </w:p>
  </w:footnote>
  <w:footnote w:id="36">
    <w:p w:rsidR="001F628B" w:rsidP="001F628B" w14:paraId="49986E67" w14:textId="77777777">
      <w:pPr>
        <w:pStyle w:val="FootnoteText"/>
      </w:pPr>
      <w:r>
        <w:rPr>
          <w:rStyle w:val="FootnoteReference"/>
        </w:rPr>
        <w:footnoteRef/>
      </w:r>
      <w:r>
        <w:t xml:space="preserve"> Request at 6.</w:t>
      </w:r>
    </w:p>
  </w:footnote>
  <w:footnote w:id="37">
    <w:p w:rsidR="001F628B" w:rsidP="001F628B" w14:paraId="77D02EEB" w14:textId="77777777">
      <w:pPr>
        <w:pStyle w:val="FootnoteText"/>
      </w:pPr>
      <w:r>
        <w:rPr>
          <w:rStyle w:val="FootnoteReference"/>
        </w:rPr>
        <w:footnoteRef/>
      </w:r>
      <w:r>
        <w:t xml:space="preserve"> Request at 6.</w:t>
      </w:r>
    </w:p>
  </w:footnote>
  <w:footnote w:id="38">
    <w:p w:rsidR="00747563" w14:paraId="23CCEE17" w14:textId="56C3B158">
      <w:pPr>
        <w:pStyle w:val="FootnoteText"/>
      </w:pPr>
      <w:r>
        <w:rPr>
          <w:rStyle w:val="FootnoteReference"/>
        </w:rPr>
        <w:footnoteRef/>
      </w:r>
      <w:r>
        <w:t xml:space="preserve"> </w:t>
      </w:r>
      <w:r w:rsidRPr="000D1338">
        <w:rPr>
          <w:szCs w:val="22"/>
        </w:rPr>
        <w:t xml:space="preserve">Request at 7.  </w:t>
      </w:r>
    </w:p>
  </w:footnote>
  <w:footnote w:id="39">
    <w:p w:rsidR="0061382C" w:rsidP="0061382C" w14:paraId="23B9A9D7" w14:textId="77777777">
      <w:pPr>
        <w:pStyle w:val="FootnoteText"/>
      </w:pPr>
      <w:r>
        <w:rPr>
          <w:rStyle w:val="FootnoteReference"/>
        </w:rPr>
        <w:footnoteRef/>
      </w:r>
      <w:r>
        <w:t xml:space="preserve"> Request at 7.</w:t>
      </w:r>
    </w:p>
  </w:footnote>
  <w:footnote w:id="40">
    <w:p w:rsidR="00747563" w14:paraId="7D9A7E6C" w14:textId="44D7D406">
      <w:pPr>
        <w:pStyle w:val="FootnoteText"/>
      </w:pPr>
      <w:r>
        <w:rPr>
          <w:rStyle w:val="FootnoteReference"/>
        </w:rPr>
        <w:footnoteRef/>
      </w:r>
      <w:r>
        <w:t xml:space="preserve"> </w:t>
      </w:r>
      <w:r w:rsidRPr="00BD5E0F">
        <w:t xml:space="preserve">Request at 7-8.  </w:t>
      </w:r>
    </w:p>
  </w:footnote>
  <w:footnote w:id="41">
    <w:p w:rsidR="00747563" w14:paraId="5CF97235" w14:textId="3F2AE7E5">
      <w:pPr>
        <w:pStyle w:val="FootnoteText"/>
      </w:pPr>
      <w:r>
        <w:rPr>
          <w:rStyle w:val="FootnoteReference"/>
        </w:rPr>
        <w:footnoteRef/>
      </w:r>
      <w:r>
        <w:t xml:space="preserve"> </w:t>
      </w:r>
      <w:r w:rsidRPr="00BD5E0F">
        <w:t xml:space="preserve">Request at 8 and Attachment.  </w:t>
      </w:r>
    </w:p>
  </w:footnote>
  <w:footnote w:id="42">
    <w:p w:rsidR="001578DC" w:rsidP="001578DC" w14:paraId="388350D5" w14:textId="77777777">
      <w:pPr>
        <w:pStyle w:val="FootnoteText"/>
      </w:pPr>
      <w:r>
        <w:rPr>
          <w:rStyle w:val="FootnoteReference"/>
        </w:rPr>
        <w:footnoteRef/>
      </w:r>
      <w:r>
        <w:t xml:space="preserve"> Request at 8.</w:t>
      </w:r>
    </w:p>
  </w:footnote>
  <w:footnote w:id="43">
    <w:p w:rsidR="00BF017F" w:rsidP="00BF017F" w14:paraId="616780C5" w14:textId="77777777">
      <w:pPr>
        <w:pStyle w:val="FootnoteText"/>
      </w:pPr>
      <w:r>
        <w:rPr>
          <w:rStyle w:val="FootnoteReference"/>
        </w:rPr>
        <w:footnoteRef/>
      </w:r>
      <w:r>
        <w:t xml:space="preserve"> Request at Attachment.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2EED94" w14:textId="660761B6">
    <w:pPr>
      <w:pStyle w:val="Header"/>
      <w:rPr>
        <w:b w:val="0"/>
      </w:rPr>
    </w:pPr>
    <w:r>
      <w:tab/>
      <w:t>Federal Communications Commission</w:t>
    </w:r>
    <w:r>
      <w:tab/>
    </w:r>
    <w:r w:rsidR="00613BDF">
      <w:t xml:space="preserve">DA </w:t>
    </w:r>
    <w:r w:rsidR="00307A32">
      <w:t>20-</w:t>
    </w:r>
    <w:r w:rsidR="000A4E01">
      <w:t>895</w:t>
    </w:r>
  </w:p>
  <w:p w:rsidR="00D25FB5" w14:paraId="215D046F" w14:textId="6479F07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7FDC9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78F20A" w14:textId="79F8B4E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F231D2">
      <w:tab/>
      <w:t>Federal Communications Commission</w:t>
    </w:r>
    <w:r w:rsidR="00F231D2">
      <w:tab/>
    </w:r>
    <w:r w:rsidR="00613BDF">
      <w:t>DA</w:t>
    </w:r>
    <w:r w:rsidR="00613BDF">
      <w:rPr>
        <w:spacing w:val="-2"/>
      </w:rPr>
      <w:t xml:space="preserve"> </w:t>
    </w:r>
    <w:r w:rsidR="00307A32">
      <w:rPr>
        <w:spacing w:val="-2"/>
      </w:rPr>
      <w:t>20-</w:t>
    </w:r>
    <w:r w:rsidR="000A4E01">
      <w:rPr>
        <w:spacing w:val="-2"/>
      </w:rPr>
      <w:t>895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B9309B"/>
    <w:multiLevelType w:val="hybridMultilevel"/>
    <w:tmpl w:val="AC246312"/>
    <w:lvl w:ilvl="0">
      <w:start w:val="1"/>
      <w:numFmt w:val="decimal"/>
      <w:pStyle w:val="Appendixnumber"/>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5993104"/>
    <w:multiLevelType w:val="singleLevel"/>
    <w:tmpl w:val="8612C2A2"/>
    <w:lvl w:ilvl="0">
      <w:start w:val="1"/>
      <w:numFmt w:val="decimal"/>
      <w:lvlText w:val="%1."/>
      <w:lvlJc w:val="left"/>
      <w:pPr>
        <w:tabs>
          <w:tab w:val="num" w:pos="1080"/>
        </w:tabs>
        <w:ind w:left="0" w:firstLine="720"/>
      </w:pPr>
      <w:rPr>
        <w:b w:val="0"/>
        <w:i w:val="0"/>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32"/>
    <w:rsid w:val="00001862"/>
    <w:rsid w:val="00003547"/>
    <w:rsid w:val="000046F0"/>
    <w:rsid w:val="000065EB"/>
    <w:rsid w:val="00007961"/>
    <w:rsid w:val="00011DDF"/>
    <w:rsid w:val="00016914"/>
    <w:rsid w:val="00024780"/>
    <w:rsid w:val="00033BFE"/>
    <w:rsid w:val="00035766"/>
    <w:rsid w:val="00036039"/>
    <w:rsid w:val="00037F90"/>
    <w:rsid w:val="000411E2"/>
    <w:rsid w:val="000460A4"/>
    <w:rsid w:val="0005317A"/>
    <w:rsid w:val="00054767"/>
    <w:rsid w:val="00054FFF"/>
    <w:rsid w:val="00055F58"/>
    <w:rsid w:val="00056AA6"/>
    <w:rsid w:val="00061818"/>
    <w:rsid w:val="000712F8"/>
    <w:rsid w:val="00074467"/>
    <w:rsid w:val="000763AE"/>
    <w:rsid w:val="000816C6"/>
    <w:rsid w:val="00084137"/>
    <w:rsid w:val="000875BF"/>
    <w:rsid w:val="00096D8C"/>
    <w:rsid w:val="000A1713"/>
    <w:rsid w:val="000A1F36"/>
    <w:rsid w:val="000A24CE"/>
    <w:rsid w:val="000A432A"/>
    <w:rsid w:val="000A4E01"/>
    <w:rsid w:val="000A5F31"/>
    <w:rsid w:val="000C0B65"/>
    <w:rsid w:val="000C7807"/>
    <w:rsid w:val="000D1338"/>
    <w:rsid w:val="000D5DAB"/>
    <w:rsid w:val="000D6404"/>
    <w:rsid w:val="000E05FE"/>
    <w:rsid w:val="000E1006"/>
    <w:rsid w:val="000E3D42"/>
    <w:rsid w:val="000E50B1"/>
    <w:rsid w:val="000E5D4D"/>
    <w:rsid w:val="000F26E6"/>
    <w:rsid w:val="000F465D"/>
    <w:rsid w:val="000F60B7"/>
    <w:rsid w:val="00100641"/>
    <w:rsid w:val="00106FE6"/>
    <w:rsid w:val="00107A93"/>
    <w:rsid w:val="00110666"/>
    <w:rsid w:val="001122B3"/>
    <w:rsid w:val="00112899"/>
    <w:rsid w:val="00112FFE"/>
    <w:rsid w:val="00117379"/>
    <w:rsid w:val="0012135D"/>
    <w:rsid w:val="00122BD5"/>
    <w:rsid w:val="001243D7"/>
    <w:rsid w:val="0012590A"/>
    <w:rsid w:val="001267AF"/>
    <w:rsid w:val="0013143C"/>
    <w:rsid w:val="00131976"/>
    <w:rsid w:val="00132FF2"/>
    <w:rsid w:val="00133F79"/>
    <w:rsid w:val="00135ABE"/>
    <w:rsid w:val="00140724"/>
    <w:rsid w:val="0014223A"/>
    <w:rsid w:val="00145A29"/>
    <w:rsid w:val="001578DC"/>
    <w:rsid w:val="001624CB"/>
    <w:rsid w:val="00162A84"/>
    <w:rsid w:val="0016423F"/>
    <w:rsid w:val="00166EFC"/>
    <w:rsid w:val="00167BEE"/>
    <w:rsid w:val="001723F2"/>
    <w:rsid w:val="0017296B"/>
    <w:rsid w:val="0017414E"/>
    <w:rsid w:val="00174CF2"/>
    <w:rsid w:val="0018214D"/>
    <w:rsid w:val="00182C94"/>
    <w:rsid w:val="00183ECB"/>
    <w:rsid w:val="0019084C"/>
    <w:rsid w:val="00191E48"/>
    <w:rsid w:val="00192EB1"/>
    <w:rsid w:val="00193024"/>
    <w:rsid w:val="001949FC"/>
    <w:rsid w:val="00194A66"/>
    <w:rsid w:val="00195392"/>
    <w:rsid w:val="00195D9C"/>
    <w:rsid w:val="00197224"/>
    <w:rsid w:val="001A256F"/>
    <w:rsid w:val="001A3D2D"/>
    <w:rsid w:val="001A7457"/>
    <w:rsid w:val="001B0FE1"/>
    <w:rsid w:val="001B5AC1"/>
    <w:rsid w:val="001C29C5"/>
    <w:rsid w:val="001C30D0"/>
    <w:rsid w:val="001C316F"/>
    <w:rsid w:val="001C433D"/>
    <w:rsid w:val="001C4405"/>
    <w:rsid w:val="001C479B"/>
    <w:rsid w:val="001D6BCF"/>
    <w:rsid w:val="001D7FAC"/>
    <w:rsid w:val="001E01CA"/>
    <w:rsid w:val="001E21C6"/>
    <w:rsid w:val="001F4E77"/>
    <w:rsid w:val="001F628B"/>
    <w:rsid w:val="0020032A"/>
    <w:rsid w:val="0020257A"/>
    <w:rsid w:val="0020660C"/>
    <w:rsid w:val="00210B83"/>
    <w:rsid w:val="002135CD"/>
    <w:rsid w:val="0021587C"/>
    <w:rsid w:val="00216B67"/>
    <w:rsid w:val="0021794D"/>
    <w:rsid w:val="002301AF"/>
    <w:rsid w:val="002324CE"/>
    <w:rsid w:val="00244B5B"/>
    <w:rsid w:val="00246D5C"/>
    <w:rsid w:val="00252FD9"/>
    <w:rsid w:val="002547CE"/>
    <w:rsid w:val="002557F3"/>
    <w:rsid w:val="00256DA1"/>
    <w:rsid w:val="00260186"/>
    <w:rsid w:val="002617DC"/>
    <w:rsid w:val="00261BE6"/>
    <w:rsid w:val="00263220"/>
    <w:rsid w:val="00264B9D"/>
    <w:rsid w:val="00265C0A"/>
    <w:rsid w:val="00275CF5"/>
    <w:rsid w:val="00276152"/>
    <w:rsid w:val="002778A5"/>
    <w:rsid w:val="00281708"/>
    <w:rsid w:val="0028301F"/>
    <w:rsid w:val="00285017"/>
    <w:rsid w:val="00291DA1"/>
    <w:rsid w:val="002A2D2E"/>
    <w:rsid w:val="002A6863"/>
    <w:rsid w:val="002B0B59"/>
    <w:rsid w:val="002B636F"/>
    <w:rsid w:val="002C00E8"/>
    <w:rsid w:val="002C789C"/>
    <w:rsid w:val="002D40F6"/>
    <w:rsid w:val="002E070B"/>
    <w:rsid w:val="002E1F1A"/>
    <w:rsid w:val="002F5911"/>
    <w:rsid w:val="002F696A"/>
    <w:rsid w:val="00301608"/>
    <w:rsid w:val="00301A2F"/>
    <w:rsid w:val="00304AD3"/>
    <w:rsid w:val="00307A32"/>
    <w:rsid w:val="00310471"/>
    <w:rsid w:val="00311D52"/>
    <w:rsid w:val="00317E69"/>
    <w:rsid w:val="00322AF6"/>
    <w:rsid w:val="00331649"/>
    <w:rsid w:val="00333CF6"/>
    <w:rsid w:val="00335A63"/>
    <w:rsid w:val="003400AF"/>
    <w:rsid w:val="0034166A"/>
    <w:rsid w:val="00343749"/>
    <w:rsid w:val="003461E8"/>
    <w:rsid w:val="00346915"/>
    <w:rsid w:val="00350788"/>
    <w:rsid w:val="003513DA"/>
    <w:rsid w:val="003531EA"/>
    <w:rsid w:val="00362AA3"/>
    <w:rsid w:val="00363327"/>
    <w:rsid w:val="003660ED"/>
    <w:rsid w:val="003670B9"/>
    <w:rsid w:val="00370717"/>
    <w:rsid w:val="003735DD"/>
    <w:rsid w:val="003835DF"/>
    <w:rsid w:val="00390014"/>
    <w:rsid w:val="00392259"/>
    <w:rsid w:val="00396B01"/>
    <w:rsid w:val="003A4CBC"/>
    <w:rsid w:val="003A51C7"/>
    <w:rsid w:val="003B0550"/>
    <w:rsid w:val="003B0713"/>
    <w:rsid w:val="003B694F"/>
    <w:rsid w:val="003C1166"/>
    <w:rsid w:val="003C21F3"/>
    <w:rsid w:val="003C378A"/>
    <w:rsid w:val="003C4399"/>
    <w:rsid w:val="003C690A"/>
    <w:rsid w:val="003C7FA5"/>
    <w:rsid w:val="003E18B5"/>
    <w:rsid w:val="003E7647"/>
    <w:rsid w:val="003E7A20"/>
    <w:rsid w:val="003F020E"/>
    <w:rsid w:val="003F102C"/>
    <w:rsid w:val="003F171C"/>
    <w:rsid w:val="00400749"/>
    <w:rsid w:val="00402B8F"/>
    <w:rsid w:val="00403364"/>
    <w:rsid w:val="00403CAB"/>
    <w:rsid w:val="004107B2"/>
    <w:rsid w:val="00412FC5"/>
    <w:rsid w:val="00422276"/>
    <w:rsid w:val="004242F1"/>
    <w:rsid w:val="0042582B"/>
    <w:rsid w:val="00427C84"/>
    <w:rsid w:val="0043038F"/>
    <w:rsid w:val="00437CAB"/>
    <w:rsid w:val="00440A44"/>
    <w:rsid w:val="004459C5"/>
    <w:rsid w:val="00445A00"/>
    <w:rsid w:val="00451B0F"/>
    <w:rsid w:val="00452310"/>
    <w:rsid w:val="00454595"/>
    <w:rsid w:val="00455966"/>
    <w:rsid w:val="004617E9"/>
    <w:rsid w:val="0046742E"/>
    <w:rsid w:val="00471496"/>
    <w:rsid w:val="0047246E"/>
    <w:rsid w:val="004752A0"/>
    <w:rsid w:val="00483075"/>
    <w:rsid w:val="00497826"/>
    <w:rsid w:val="004A65B5"/>
    <w:rsid w:val="004A6A33"/>
    <w:rsid w:val="004B64B9"/>
    <w:rsid w:val="004C0430"/>
    <w:rsid w:val="004C2EE3"/>
    <w:rsid w:val="004D499D"/>
    <w:rsid w:val="004D61BF"/>
    <w:rsid w:val="004E2026"/>
    <w:rsid w:val="004E4A22"/>
    <w:rsid w:val="004E7C27"/>
    <w:rsid w:val="004F1CBC"/>
    <w:rsid w:val="004F50D1"/>
    <w:rsid w:val="004F658E"/>
    <w:rsid w:val="00505E46"/>
    <w:rsid w:val="00507A4C"/>
    <w:rsid w:val="00511968"/>
    <w:rsid w:val="00513685"/>
    <w:rsid w:val="00533AF9"/>
    <w:rsid w:val="0054127D"/>
    <w:rsid w:val="0054159A"/>
    <w:rsid w:val="0054344F"/>
    <w:rsid w:val="0054461F"/>
    <w:rsid w:val="00547427"/>
    <w:rsid w:val="00547457"/>
    <w:rsid w:val="0055576B"/>
    <w:rsid w:val="00555E56"/>
    <w:rsid w:val="0055614C"/>
    <w:rsid w:val="00556D30"/>
    <w:rsid w:val="00557D3D"/>
    <w:rsid w:val="005606A2"/>
    <w:rsid w:val="00563163"/>
    <w:rsid w:val="005657EB"/>
    <w:rsid w:val="00566D06"/>
    <w:rsid w:val="00571356"/>
    <w:rsid w:val="0057313C"/>
    <w:rsid w:val="00574C80"/>
    <w:rsid w:val="0057530D"/>
    <w:rsid w:val="00580F30"/>
    <w:rsid w:val="00581DAA"/>
    <w:rsid w:val="005842F0"/>
    <w:rsid w:val="00596B51"/>
    <w:rsid w:val="005A39FE"/>
    <w:rsid w:val="005A58DF"/>
    <w:rsid w:val="005A613C"/>
    <w:rsid w:val="005B7775"/>
    <w:rsid w:val="005C4E98"/>
    <w:rsid w:val="005D1839"/>
    <w:rsid w:val="005D183B"/>
    <w:rsid w:val="005D5372"/>
    <w:rsid w:val="005E054B"/>
    <w:rsid w:val="005E0618"/>
    <w:rsid w:val="005E14C2"/>
    <w:rsid w:val="005E6812"/>
    <w:rsid w:val="005E6E20"/>
    <w:rsid w:val="005E7FE5"/>
    <w:rsid w:val="005F31CC"/>
    <w:rsid w:val="00601604"/>
    <w:rsid w:val="00602857"/>
    <w:rsid w:val="00606576"/>
    <w:rsid w:val="00606D7A"/>
    <w:rsid w:val="00607BA5"/>
    <w:rsid w:val="0061180A"/>
    <w:rsid w:val="0061382C"/>
    <w:rsid w:val="00613BDF"/>
    <w:rsid w:val="00617063"/>
    <w:rsid w:val="00621FC9"/>
    <w:rsid w:val="0062607D"/>
    <w:rsid w:val="00626EB6"/>
    <w:rsid w:val="006314C5"/>
    <w:rsid w:val="006318E3"/>
    <w:rsid w:val="00634019"/>
    <w:rsid w:val="00634027"/>
    <w:rsid w:val="00635E0B"/>
    <w:rsid w:val="00636F64"/>
    <w:rsid w:val="00647C0F"/>
    <w:rsid w:val="00651B04"/>
    <w:rsid w:val="006527B3"/>
    <w:rsid w:val="00655D03"/>
    <w:rsid w:val="006561FD"/>
    <w:rsid w:val="006623A8"/>
    <w:rsid w:val="00662F16"/>
    <w:rsid w:val="00665DBC"/>
    <w:rsid w:val="00672145"/>
    <w:rsid w:val="00675AA3"/>
    <w:rsid w:val="00677B48"/>
    <w:rsid w:val="0068148E"/>
    <w:rsid w:val="00683388"/>
    <w:rsid w:val="00683D61"/>
    <w:rsid w:val="00683F84"/>
    <w:rsid w:val="00684F36"/>
    <w:rsid w:val="00686AAC"/>
    <w:rsid w:val="00694BEB"/>
    <w:rsid w:val="00697FC5"/>
    <w:rsid w:val="006A3F95"/>
    <w:rsid w:val="006A4260"/>
    <w:rsid w:val="006A475B"/>
    <w:rsid w:val="006A6A81"/>
    <w:rsid w:val="006B02FE"/>
    <w:rsid w:val="006B2CA9"/>
    <w:rsid w:val="006C055F"/>
    <w:rsid w:val="006C2F10"/>
    <w:rsid w:val="006D1958"/>
    <w:rsid w:val="006D3F59"/>
    <w:rsid w:val="006E3E5E"/>
    <w:rsid w:val="006E5D55"/>
    <w:rsid w:val="006E7964"/>
    <w:rsid w:val="006F0568"/>
    <w:rsid w:val="006F7393"/>
    <w:rsid w:val="007006F2"/>
    <w:rsid w:val="0070111F"/>
    <w:rsid w:val="00701EBA"/>
    <w:rsid w:val="0070224F"/>
    <w:rsid w:val="00703E48"/>
    <w:rsid w:val="00704335"/>
    <w:rsid w:val="00704588"/>
    <w:rsid w:val="007057F9"/>
    <w:rsid w:val="00707627"/>
    <w:rsid w:val="007115F7"/>
    <w:rsid w:val="00712F4C"/>
    <w:rsid w:val="007146DE"/>
    <w:rsid w:val="00714BEB"/>
    <w:rsid w:val="0072724C"/>
    <w:rsid w:val="00730597"/>
    <w:rsid w:val="00732197"/>
    <w:rsid w:val="00741EFE"/>
    <w:rsid w:val="0074264C"/>
    <w:rsid w:val="007434FB"/>
    <w:rsid w:val="007446AD"/>
    <w:rsid w:val="00747563"/>
    <w:rsid w:val="00747F00"/>
    <w:rsid w:val="00755A8B"/>
    <w:rsid w:val="00755F5F"/>
    <w:rsid w:val="00755F6D"/>
    <w:rsid w:val="00756124"/>
    <w:rsid w:val="00770A97"/>
    <w:rsid w:val="00775390"/>
    <w:rsid w:val="00782200"/>
    <w:rsid w:val="00785689"/>
    <w:rsid w:val="00785C95"/>
    <w:rsid w:val="00785CB1"/>
    <w:rsid w:val="00787082"/>
    <w:rsid w:val="007920D0"/>
    <w:rsid w:val="0079442A"/>
    <w:rsid w:val="0079754B"/>
    <w:rsid w:val="007A1E6D"/>
    <w:rsid w:val="007A5A30"/>
    <w:rsid w:val="007A6211"/>
    <w:rsid w:val="007B0EB2"/>
    <w:rsid w:val="007B105B"/>
    <w:rsid w:val="007B10AC"/>
    <w:rsid w:val="007B2CCB"/>
    <w:rsid w:val="007B3E7D"/>
    <w:rsid w:val="007B71F5"/>
    <w:rsid w:val="007C13DB"/>
    <w:rsid w:val="007C3E40"/>
    <w:rsid w:val="007D5075"/>
    <w:rsid w:val="007E4A32"/>
    <w:rsid w:val="007E50FF"/>
    <w:rsid w:val="007F61BC"/>
    <w:rsid w:val="00803D61"/>
    <w:rsid w:val="0080471D"/>
    <w:rsid w:val="00810B6F"/>
    <w:rsid w:val="00811AE9"/>
    <w:rsid w:val="00812E14"/>
    <w:rsid w:val="00813CFC"/>
    <w:rsid w:val="00813E4C"/>
    <w:rsid w:val="00816C5E"/>
    <w:rsid w:val="008171F0"/>
    <w:rsid w:val="00821119"/>
    <w:rsid w:val="00821467"/>
    <w:rsid w:val="00822CE0"/>
    <w:rsid w:val="00823E5B"/>
    <w:rsid w:val="00833A86"/>
    <w:rsid w:val="008344EA"/>
    <w:rsid w:val="00835179"/>
    <w:rsid w:val="00841AB1"/>
    <w:rsid w:val="00843B6C"/>
    <w:rsid w:val="00843C67"/>
    <w:rsid w:val="00850852"/>
    <w:rsid w:val="008532AC"/>
    <w:rsid w:val="00856AEF"/>
    <w:rsid w:val="0086055C"/>
    <w:rsid w:val="00863513"/>
    <w:rsid w:val="00864C3B"/>
    <w:rsid w:val="00866869"/>
    <w:rsid w:val="00880F09"/>
    <w:rsid w:val="0088792B"/>
    <w:rsid w:val="0089185B"/>
    <w:rsid w:val="00892BE2"/>
    <w:rsid w:val="00895EB3"/>
    <w:rsid w:val="008A17BC"/>
    <w:rsid w:val="008A1A0D"/>
    <w:rsid w:val="008A7A35"/>
    <w:rsid w:val="008B56DE"/>
    <w:rsid w:val="008C236C"/>
    <w:rsid w:val="008C2D26"/>
    <w:rsid w:val="008C585B"/>
    <w:rsid w:val="008C6360"/>
    <w:rsid w:val="008C68F1"/>
    <w:rsid w:val="008D1B4C"/>
    <w:rsid w:val="008E22F1"/>
    <w:rsid w:val="008E466C"/>
    <w:rsid w:val="008F6ED0"/>
    <w:rsid w:val="00900510"/>
    <w:rsid w:val="00900ED7"/>
    <w:rsid w:val="00903C09"/>
    <w:rsid w:val="009137A6"/>
    <w:rsid w:val="0091749C"/>
    <w:rsid w:val="0091771D"/>
    <w:rsid w:val="009179E9"/>
    <w:rsid w:val="00921803"/>
    <w:rsid w:val="009218B9"/>
    <w:rsid w:val="009221B9"/>
    <w:rsid w:val="00922CE7"/>
    <w:rsid w:val="00922DC2"/>
    <w:rsid w:val="00925407"/>
    <w:rsid w:val="00926503"/>
    <w:rsid w:val="0092702C"/>
    <w:rsid w:val="009309B1"/>
    <w:rsid w:val="00937816"/>
    <w:rsid w:val="009402A3"/>
    <w:rsid w:val="00943365"/>
    <w:rsid w:val="00946546"/>
    <w:rsid w:val="00947D6C"/>
    <w:rsid w:val="00957C1C"/>
    <w:rsid w:val="009622DC"/>
    <w:rsid w:val="00962C21"/>
    <w:rsid w:val="00962FB7"/>
    <w:rsid w:val="0096490A"/>
    <w:rsid w:val="00967C8D"/>
    <w:rsid w:val="009701F3"/>
    <w:rsid w:val="0097047C"/>
    <w:rsid w:val="009726D8"/>
    <w:rsid w:val="00974264"/>
    <w:rsid w:val="009747B8"/>
    <w:rsid w:val="009843D4"/>
    <w:rsid w:val="00984422"/>
    <w:rsid w:val="009850E2"/>
    <w:rsid w:val="0098768E"/>
    <w:rsid w:val="00987FB5"/>
    <w:rsid w:val="00995434"/>
    <w:rsid w:val="00995E89"/>
    <w:rsid w:val="00997309"/>
    <w:rsid w:val="009A3DA6"/>
    <w:rsid w:val="009A50B4"/>
    <w:rsid w:val="009A6579"/>
    <w:rsid w:val="009B2BBB"/>
    <w:rsid w:val="009B6712"/>
    <w:rsid w:val="009C27CC"/>
    <w:rsid w:val="009C5DEA"/>
    <w:rsid w:val="009C6173"/>
    <w:rsid w:val="009D04D4"/>
    <w:rsid w:val="009D188A"/>
    <w:rsid w:val="009D7308"/>
    <w:rsid w:val="009D7898"/>
    <w:rsid w:val="009E2B23"/>
    <w:rsid w:val="009E50CF"/>
    <w:rsid w:val="009F00E1"/>
    <w:rsid w:val="009F29C8"/>
    <w:rsid w:val="009F5E38"/>
    <w:rsid w:val="009F7228"/>
    <w:rsid w:val="009F76DB"/>
    <w:rsid w:val="00A0000B"/>
    <w:rsid w:val="00A0215D"/>
    <w:rsid w:val="00A02E04"/>
    <w:rsid w:val="00A06E29"/>
    <w:rsid w:val="00A1038A"/>
    <w:rsid w:val="00A135D2"/>
    <w:rsid w:val="00A213B5"/>
    <w:rsid w:val="00A22F05"/>
    <w:rsid w:val="00A24845"/>
    <w:rsid w:val="00A26CA3"/>
    <w:rsid w:val="00A303FB"/>
    <w:rsid w:val="00A3201D"/>
    <w:rsid w:val="00A32C3B"/>
    <w:rsid w:val="00A34129"/>
    <w:rsid w:val="00A35325"/>
    <w:rsid w:val="00A3608E"/>
    <w:rsid w:val="00A36BFE"/>
    <w:rsid w:val="00A41041"/>
    <w:rsid w:val="00A4215A"/>
    <w:rsid w:val="00A42DDC"/>
    <w:rsid w:val="00A43079"/>
    <w:rsid w:val="00A45F4F"/>
    <w:rsid w:val="00A4736A"/>
    <w:rsid w:val="00A47D4E"/>
    <w:rsid w:val="00A51973"/>
    <w:rsid w:val="00A535CE"/>
    <w:rsid w:val="00A54106"/>
    <w:rsid w:val="00A54DBF"/>
    <w:rsid w:val="00A55EAD"/>
    <w:rsid w:val="00A600A9"/>
    <w:rsid w:val="00A60611"/>
    <w:rsid w:val="00A6186E"/>
    <w:rsid w:val="00A639F7"/>
    <w:rsid w:val="00A67EFE"/>
    <w:rsid w:val="00A70A45"/>
    <w:rsid w:val="00A70BC7"/>
    <w:rsid w:val="00A70E42"/>
    <w:rsid w:val="00A71C7A"/>
    <w:rsid w:val="00A76A41"/>
    <w:rsid w:val="00A77ADF"/>
    <w:rsid w:val="00A81B80"/>
    <w:rsid w:val="00A83500"/>
    <w:rsid w:val="00A925B9"/>
    <w:rsid w:val="00A978BF"/>
    <w:rsid w:val="00AA2C83"/>
    <w:rsid w:val="00AA55B7"/>
    <w:rsid w:val="00AA5AF1"/>
    <w:rsid w:val="00AA5B9E"/>
    <w:rsid w:val="00AA79C6"/>
    <w:rsid w:val="00AB2407"/>
    <w:rsid w:val="00AB3125"/>
    <w:rsid w:val="00AB53DF"/>
    <w:rsid w:val="00AB56C7"/>
    <w:rsid w:val="00AC734D"/>
    <w:rsid w:val="00AC7BF0"/>
    <w:rsid w:val="00AD2B5A"/>
    <w:rsid w:val="00AD6080"/>
    <w:rsid w:val="00AE1D00"/>
    <w:rsid w:val="00AE4B87"/>
    <w:rsid w:val="00AE57E5"/>
    <w:rsid w:val="00AE7591"/>
    <w:rsid w:val="00AF021B"/>
    <w:rsid w:val="00AF0ADF"/>
    <w:rsid w:val="00AF1873"/>
    <w:rsid w:val="00AF223A"/>
    <w:rsid w:val="00AF327F"/>
    <w:rsid w:val="00AF339F"/>
    <w:rsid w:val="00B02A33"/>
    <w:rsid w:val="00B036BA"/>
    <w:rsid w:val="00B07E5C"/>
    <w:rsid w:val="00B20ED0"/>
    <w:rsid w:val="00B21271"/>
    <w:rsid w:val="00B25E7C"/>
    <w:rsid w:val="00B26733"/>
    <w:rsid w:val="00B30EE6"/>
    <w:rsid w:val="00B33871"/>
    <w:rsid w:val="00B352F9"/>
    <w:rsid w:val="00B377DC"/>
    <w:rsid w:val="00B37C6B"/>
    <w:rsid w:val="00B404EE"/>
    <w:rsid w:val="00B5192D"/>
    <w:rsid w:val="00B52282"/>
    <w:rsid w:val="00B56DB5"/>
    <w:rsid w:val="00B57C5E"/>
    <w:rsid w:val="00B61394"/>
    <w:rsid w:val="00B61D12"/>
    <w:rsid w:val="00B62CCB"/>
    <w:rsid w:val="00B655C0"/>
    <w:rsid w:val="00B66F97"/>
    <w:rsid w:val="00B713B2"/>
    <w:rsid w:val="00B7294E"/>
    <w:rsid w:val="00B74DD0"/>
    <w:rsid w:val="00B811F7"/>
    <w:rsid w:val="00B82D00"/>
    <w:rsid w:val="00B846AE"/>
    <w:rsid w:val="00B87084"/>
    <w:rsid w:val="00B87D75"/>
    <w:rsid w:val="00BA5DC6"/>
    <w:rsid w:val="00BA6196"/>
    <w:rsid w:val="00BB6412"/>
    <w:rsid w:val="00BC04AC"/>
    <w:rsid w:val="00BC3D30"/>
    <w:rsid w:val="00BC6D8C"/>
    <w:rsid w:val="00BD2DEF"/>
    <w:rsid w:val="00BD5E0F"/>
    <w:rsid w:val="00BE0E67"/>
    <w:rsid w:val="00BE17B7"/>
    <w:rsid w:val="00BE191C"/>
    <w:rsid w:val="00BE60E1"/>
    <w:rsid w:val="00BF017F"/>
    <w:rsid w:val="00BF242D"/>
    <w:rsid w:val="00BF5306"/>
    <w:rsid w:val="00BF7042"/>
    <w:rsid w:val="00BF7FBB"/>
    <w:rsid w:val="00C03698"/>
    <w:rsid w:val="00C05F99"/>
    <w:rsid w:val="00C06629"/>
    <w:rsid w:val="00C15216"/>
    <w:rsid w:val="00C2300C"/>
    <w:rsid w:val="00C230AE"/>
    <w:rsid w:val="00C30426"/>
    <w:rsid w:val="00C34006"/>
    <w:rsid w:val="00C3542E"/>
    <w:rsid w:val="00C368A9"/>
    <w:rsid w:val="00C36B4C"/>
    <w:rsid w:val="00C401F5"/>
    <w:rsid w:val="00C426B1"/>
    <w:rsid w:val="00C43C63"/>
    <w:rsid w:val="00C44831"/>
    <w:rsid w:val="00C45F7C"/>
    <w:rsid w:val="00C50149"/>
    <w:rsid w:val="00C51691"/>
    <w:rsid w:val="00C6186F"/>
    <w:rsid w:val="00C66160"/>
    <w:rsid w:val="00C67073"/>
    <w:rsid w:val="00C67C78"/>
    <w:rsid w:val="00C721AC"/>
    <w:rsid w:val="00C76BFB"/>
    <w:rsid w:val="00C774CE"/>
    <w:rsid w:val="00C85F1D"/>
    <w:rsid w:val="00C879B8"/>
    <w:rsid w:val="00C90D6A"/>
    <w:rsid w:val="00C91410"/>
    <w:rsid w:val="00C93A57"/>
    <w:rsid w:val="00C94900"/>
    <w:rsid w:val="00C970F4"/>
    <w:rsid w:val="00CA1A6B"/>
    <w:rsid w:val="00CA247E"/>
    <w:rsid w:val="00CA2650"/>
    <w:rsid w:val="00CA2A81"/>
    <w:rsid w:val="00CA6B4E"/>
    <w:rsid w:val="00CA6D21"/>
    <w:rsid w:val="00CB213E"/>
    <w:rsid w:val="00CB67F9"/>
    <w:rsid w:val="00CC039D"/>
    <w:rsid w:val="00CC6088"/>
    <w:rsid w:val="00CC72B6"/>
    <w:rsid w:val="00CD2390"/>
    <w:rsid w:val="00CD32CE"/>
    <w:rsid w:val="00CD4573"/>
    <w:rsid w:val="00CD5408"/>
    <w:rsid w:val="00CD6501"/>
    <w:rsid w:val="00CE1D54"/>
    <w:rsid w:val="00CE2300"/>
    <w:rsid w:val="00CE3189"/>
    <w:rsid w:val="00CE6D77"/>
    <w:rsid w:val="00CF2097"/>
    <w:rsid w:val="00CF397F"/>
    <w:rsid w:val="00CF43DB"/>
    <w:rsid w:val="00CF519C"/>
    <w:rsid w:val="00D01FFD"/>
    <w:rsid w:val="00D0218D"/>
    <w:rsid w:val="00D14074"/>
    <w:rsid w:val="00D141B9"/>
    <w:rsid w:val="00D159ED"/>
    <w:rsid w:val="00D16D37"/>
    <w:rsid w:val="00D214EA"/>
    <w:rsid w:val="00D2205F"/>
    <w:rsid w:val="00D25FB5"/>
    <w:rsid w:val="00D2613E"/>
    <w:rsid w:val="00D30A25"/>
    <w:rsid w:val="00D3399F"/>
    <w:rsid w:val="00D349E8"/>
    <w:rsid w:val="00D34DD0"/>
    <w:rsid w:val="00D37327"/>
    <w:rsid w:val="00D431E9"/>
    <w:rsid w:val="00D43A6F"/>
    <w:rsid w:val="00D44223"/>
    <w:rsid w:val="00D478FA"/>
    <w:rsid w:val="00D506EE"/>
    <w:rsid w:val="00D50893"/>
    <w:rsid w:val="00D52777"/>
    <w:rsid w:val="00D55F2A"/>
    <w:rsid w:val="00D60089"/>
    <w:rsid w:val="00D60D1D"/>
    <w:rsid w:val="00D662D7"/>
    <w:rsid w:val="00D7045C"/>
    <w:rsid w:val="00D75BD3"/>
    <w:rsid w:val="00D803F3"/>
    <w:rsid w:val="00D82082"/>
    <w:rsid w:val="00D82B3E"/>
    <w:rsid w:val="00D87B72"/>
    <w:rsid w:val="00D90DD7"/>
    <w:rsid w:val="00D94D5B"/>
    <w:rsid w:val="00D9577E"/>
    <w:rsid w:val="00D967A3"/>
    <w:rsid w:val="00D97528"/>
    <w:rsid w:val="00D97C92"/>
    <w:rsid w:val="00D97F96"/>
    <w:rsid w:val="00DA091C"/>
    <w:rsid w:val="00DA2529"/>
    <w:rsid w:val="00DA58CB"/>
    <w:rsid w:val="00DA7D91"/>
    <w:rsid w:val="00DB0C2B"/>
    <w:rsid w:val="00DB130A"/>
    <w:rsid w:val="00DB29B4"/>
    <w:rsid w:val="00DB2EBB"/>
    <w:rsid w:val="00DC0AF5"/>
    <w:rsid w:val="00DC10A1"/>
    <w:rsid w:val="00DC3905"/>
    <w:rsid w:val="00DC655F"/>
    <w:rsid w:val="00DD0B59"/>
    <w:rsid w:val="00DD267E"/>
    <w:rsid w:val="00DD7EBD"/>
    <w:rsid w:val="00DE185D"/>
    <w:rsid w:val="00DE3DA4"/>
    <w:rsid w:val="00DE54C5"/>
    <w:rsid w:val="00DE6177"/>
    <w:rsid w:val="00DE7598"/>
    <w:rsid w:val="00DF1318"/>
    <w:rsid w:val="00DF62B6"/>
    <w:rsid w:val="00E02480"/>
    <w:rsid w:val="00E024C6"/>
    <w:rsid w:val="00E062C8"/>
    <w:rsid w:val="00E069CF"/>
    <w:rsid w:val="00E07225"/>
    <w:rsid w:val="00E07A68"/>
    <w:rsid w:val="00E14D94"/>
    <w:rsid w:val="00E217AA"/>
    <w:rsid w:val="00E239F4"/>
    <w:rsid w:val="00E24660"/>
    <w:rsid w:val="00E346FB"/>
    <w:rsid w:val="00E35CEF"/>
    <w:rsid w:val="00E420C1"/>
    <w:rsid w:val="00E421CD"/>
    <w:rsid w:val="00E440CF"/>
    <w:rsid w:val="00E454BE"/>
    <w:rsid w:val="00E46C78"/>
    <w:rsid w:val="00E523DE"/>
    <w:rsid w:val="00E5409F"/>
    <w:rsid w:val="00E5728A"/>
    <w:rsid w:val="00E63583"/>
    <w:rsid w:val="00E73AD6"/>
    <w:rsid w:val="00E73D39"/>
    <w:rsid w:val="00E778A4"/>
    <w:rsid w:val="00E820FA"/>
    <w:rsid w:val="00E83663"/>
    <w:rsid w:val="00E8689E"/>
    <w:rsid w:val="00E86997"/>
    <w:rsid w:val="00E86D32"/>
    <w:rsid w:val="00E87647"/>
    <w:rsid w:val="00E935D8"/>
    <w:rsid w:val="00E965AA"/>
    <w:rsid w:val="00E978FD"/>
    <w:rsid w:val="00EA3622"/>
    <w:rsid w:val="00EA7AE6"/>
    <w:rsid w:val="00EB2560"/>
    <w:rsid w:val="00EB466C"/>
    <w:rsid w:val="00EC0309"/>
    <w:rsid w:val="00EC1F21"/>
    <w:rsid w:val="00EC2A4A"/>
    <w:rsid w:val="00EC3BB7"/>
    <w:rsid w:val="00EC7F83"/>
    <w:rsid w:val="00ED1F9B"/>
    <w:rsid w:val="00ED3BE6"/>
    <w:rsid w:val="00ED40F7"/>
    <w:rsid w:val="00EE1DCC"/>
    <w:rsid w:val="00EE33F3"/>
    <w:rsid w:val="00EE4A00"/>
    <w:rsid w:val="00EE4F95"/>
    <w:rsid w:val="00EE6488"/>
    <w:rsid w:val="00EF00A7"/>
    <w:rsid w:val="00EF3639"/>
    <w:rsid w:val="00EF5CCF"/>
    <w:rsid w:val="00F021FA"/>
    <w:rsid w:val="00F02D0D"/>
    <w:rsid w:val="00F063EA"/>
    <w:rsid w:val="00F1550F"/>
    <w:rsid w:val="00F16E69"/>
    <w:rsid w:val="00F215BD"/>
    <w:rsid w:val="00F231D2"/>
    <w:rsid w:val="00F24864"/>
    <w:rsid w:val="00F2650F"/>
    <w:rsid w:val="00F30313"/>
    <w:rsid w:val="00F3502A"/>
    <w:rsid w:val="00F42590"/>
    <w:rsid w:val="00F435EF"/>
    <w:rsid w:val="00F51A16"/>
    <w:rsid w:val="00F51CE2"/>
    <w:rsid w:val="00F535F1"/>
    <w:rsid w:val="00F57A5F"/>
    <w:rsid w:val="00F623DE"/>
    <w:rsid w:val="00F62D73"/>
    <w:rsid w:val="00F62E97"/>
    <w:rsid w:val="00F63F1E"/>
    <w:rsid w:val="00F64209"/>
    <w:rsid w:val="00F66408"/>
    <w:rsid w:val="00F730C3"/>
    <w:rsid w:val="00F77E47"/>
    <w:rsid w:val="00F81F38"/>
    <w:rsid w:val="00F83024"/>
    <w:rsid w:val="00F8474E"/>
    <w:rsid w:val="00F907D8"/>
    <w:rsid w:val="00F91A03"/>
    <w:rsid w:val="00F93BF5"/>
    <w:rsid w:val="00F94883"/>
    <w:rsid w:val="00F94A95"/>
    <w:rsid w:val="00FA0E4B"/>
    <w:rsid w:val="00FA50AD"/>
    <w:rsid w:val="00FA6FA1"/>
    <w:rsid w:val="00FB23F8"/>
    <w:rsid w:val="00FB48DB"/>
    <w:rsid w:val="00FC0B10"/>
    <w:rsid w:val="00FC38C3"/>
    <w:rsid w:val="00FC3D26"/>
    <w:rsid w:val="00FE0202"/>
    <w:rsid w:val="00FE1298"/>
    <w:rsid w:val="00FE306D"/>
    <w:rsid w:val="00FE5CCA"/>
    <w:rsid w:val="00FE6921"/>
    <w:rsid w:val="00FF5758"/>
    <w:rsid w:val="00FF783E"/>
    <w:rsid w:val="00FF7A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F7"/>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A639F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A639F7"/>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A639F7"/>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A639F7"/>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A639F7"/>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A639F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A639F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639F7"/>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A639F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39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39F7"/>
  </w:style>
  <w:style w:type="paragraph" w:customStyle="1" w:styleId="ParaNum">
    <w:name w:val="ParaNum"/>
    <w:basedOn w:val="Normal"/>
    <w:link w:val="ParaNumChar"/>
    <w:rsid w:val="00A639F7"/>
    <w:pPr>
      <w:numPr>
        <w:numId w:val="2"/>
      </w:numPr>
      <w:tabs>
        <w:tab w:val="clear" w:pos="1080"/>
        <w:tab w:val="num" w:pos="1440"/>
      </w:tabs>
      <w:spacing w:after="120"/>
    </w:pPr>
  </w:style>
  <w:style w:type="paragraph" w:styleId="EndnoteText">
    <w:name w:val="endnote text"/>
    <w:basedOn w:val="Normal"/>
    <w:semiHidden/>
    <w:rsid w:val="00A639F7"/>
    <w:rPr>
      <w:sz w:val="20"/>
    </w:rPr>
  </w:style>
  <w:style w:type="character" w:styleId="EndnoteReference">
    <w:name w:val="endnote reference"/>
    <w:semiHidden/>
    <w:rsid w:val="00A639F7"/>
    <w:rPr>
      <w:vertAlign w:val="superscript"/>
    </w:rPr>
  </w:style>
  <w:style w:type="paragraph" w:styleId="FootnoteText">
    <w:name w:val="footnote text"/>
    <w:aliases w:val="ALTS FOOTNOT,Footnote Text Char,Footnote Text Char Char6 Char,Footnote Text Char Char6 Char Char1 Char1,Footnote Text Char2 Char3,Footnote Text Char4 Char2 Char Char Char Char,Footnote Text Char6 Char,Footnote Text Char6 Char Char Char,fn"/>
    <w:link w:val="FootnoteTextChar1"/>
    <w:rsid w:val="00A639F7"/>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639F7"/>
    <w:rPr>
      <w:rFonts w:ascii="Times New Roman" w:hAnsi="Times New Roman"/>
      <w:dstrike w:val="0"/>
      <w:color w:val="auto"/>
      <w:sz w:val="20"/>
      <w:vertAlign w:val="superscript"/>
    </w:rPr>
  </w:style>
  <w:style w:type="paragraph" w:styleId="TOC1">
    <w:name w:val="toc 1"/>
    <w:basedOn w:val="Normal"/>
    <w:next w:val="Normal"/>
    <w:semiHidden/>
    <w:rsid w:val="00A639F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639F7"/>
    <w:pPr>
      <w:tabs>
        <w:tab w:val="left" w:pos="720"/>
        <w:tab w:val="right" w:leader="dot" w:pos="9360"/>
      </w:tabs>
      <w:suppressAutoHyphens/>
      <w:ind w:left="720" w:right="720" w:hanging="360"/>
    </w:pPr>
    <w:rPr>
      <w:noProof/>
    </w:rPr>
  </w:style>
  <w:style w:type="paragraph" w:styleId="TOC3">
    <w:name w:val="toc 3"/>
    <w:basedOn w:val="Normal"/>
    <w:next w:val="Normal"/>
    <w:semiHidden/>
    <w:rsid w:val="00A639F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39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39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39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39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39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39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39F7"/>
    <w:pPr>
      <w:tabs>
        <w:tab w:val="right" w:pos="9360"/>
      </w:tabs>
      <w:suppressAutoHyphens/>
    </w:pPr>
  </w:style>
  <w:style w:type="character" w:customStyle="1" w:styleId="EquationCaption">
    <w:name w:val="_Equation Caption"/>
    <w:rsid w:val="00A639F7"/>
  </w:style>
  <w:style w:type="paragraph" w:styleId="Header">
    <w:name w:val="header"/>
    <w:basedOn w:val="Normal"/>
    <w:autoRedefine/>
    <w:rsid w:val="00A639F7"/>
    <w:pPr>
      <w:tabs>
        <w:tab w:val="center" w:pos="4680"/>
        <w:tab w:val="right" w:pos="9360"/>
      </w:tabs>
    </w:pPr>
    <w:rPr>
      <w:b/>
    </w:rPr>
  </w:style>
  <w:style w:type="paragraph" w:styleId="Footer">
    <w:name w:val="footer"/>
    <w:basedOn w:val="Normal"/>
    <w:link w:val="FooterChar"/>
    <w:uiPriority w:val="99"/>
    <w:rsid w:val="00A639F7"/>
    <w:pPr>
      <w:tabs>
        <w:tab w:val="center" w:pos="4320"/>
        <w:tab w:val="right" w:pos="8640"/>
      </w:tabs>
    </w:pPr>
  </w:style>
  <w:style w:type="character" w:styleId="PageNumber">
    <w:name w:val="page number"/>
    <w:basedOn w:val="DefaultParagraphFont"/>
    <w:rsid w:val="00A639F7"/>
  </w:style>
  <w:style w:type="paragraph" w:styleId="BlockText">
    <w:name w:val="Block Text"/>
    <w:basedOn w:val="Normal"/>
    <w:rsid w:val="00A639F7"/>
    <w:pPr>
      <w:spacing w:after="240"/>
      <w:ind w:left="1440" w:right="1440"/>
    </w:pPr>
  </w:style>
  <w:style w:type="paragraph" w:customStyle="1" w:styleId="Paratitle">
    <w:name w:val="Para title"/>
    <w:basedOn w:val="Normal"/>
    <w:rsid w:val="00A639F7"/>
    <w:pPr>
      <w:tabs>
        <w:tab w:val="center" w:pos="9270"/>
      </w:tabs>
      <w:spacing w:after="240"/>
    </w:pPr>
    <w:rPr>
      <w:spacing w:val="-2"/>
    </w:rPr>
  </w:style>
  <w:style w:type="paragraph" w:customStyle="1" w:styleId="Bullet">
    <w:name w:val="Bullet"/>
    <w:basedOn w:val="Normal"/>
    <w:rsid w:val="00A639F7"/>
    <w:pPr>
      <w:tabs>
        <w:tab w:val="left" w:pos="2160"/>
      </w:tabs>
      <w:spacing w:after="220"/>
      <w:ind w:left="2160" w:hanging="720"/>
    </w:pPr>
  </w:style>
  <w:style w:type="paragraph" w:customStyle="1" w:styleId="TableFormat">
    <w:name w:val="TableFormat"/>
    <w:basedOn w:val="Bullet"/>
    <w:rsid w:val="00A639F7"/>
    <w:pPr>
      <w:tabs>
        <w:tab w:val="clear" w:pos="2160"/>
        <w:tab w:val="left" w:pos="5040"/>
      </w:tabs>
      <w:ind w:left="5040" w:hanging="3600"/>
    </w:pPr>
  </w:style>
  <w:style w:type="paragraph" w:customStyle="1" w:styleId="TOCTitle">
    <w:name w:val="TOC Title"/>
    <w:basedOn w:val="Normal"/>
    <w:rsid w:val="00A639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39F7"/>
    <w:pPr>
      <w:jc w:val="center"/>
    </w:pPr>
    <w:rPr>
      <w:rFonts w:ascii="Times New Roman Bold" w:hAnsi="Times New Roman Bold"/>
      <w:b/>
      <w:bCs/>
      <w:caps/>
      <w:szCs w:val="22"/>
    </w:rPr>
  </w:style>
  <w:style w:type="character" w:styleId="Hyperlink">
    <w:name w:val="Hyperlink"/>
    <w:rsid w:val="00A639F7"/>
    <w:rPr>
      <w:color w:val="0000FF"/>
      <w:u w:val="single"/>
    </w:rPr>
  </w:style>
  <w:style w:type="character" w:customStyle="1" w:styleId="FooterChar">
    <w:name w:val="Footer Char"/>
    <w:link w:val="Footer"/>
    <w:uiPriority w:val="99"/>
    <w:rsid w:val="00A639F7"/>
    <w:rPr>
      <w:snapToGrid w:val="0"/>
      <w:kern w:val="28"/>
      <w:sz w:val="22"/>
    </w:rPr>
  </w:style>
  <w:style w:type="character" w:customStyle="1" w:styleId="ParaNumChar">
    <w:name w:val="ParaNum Char"/>
    <w:link w:val="ParaNum"/>
    <w:locked/>
    <w:rsid w:val="00307A32"/>
    <w:rPr>
      <w:snapToGrid w:val="0"/>
      <w:kern w:val="28"/>
      <w:sz w:val="22"/>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locked/>
    <w:rsid w:val="00307A32"/>
    <w:rPr>
      <w:rFonts w:ascii="Times New Roman Bold" w:hAnsi="Times New Roman Bold"/>
      <w:b/>
      <w:caps/>
      <w:snapToGrid w:val="0"/>
      <w:kern w:val="28"/>
      <w:sz w:val="22"/>
    </w:rPr>
  </w:style>
  <w:style w:type="character" w:customStyle="1" w:styleId="FootnoteTextChar1">
    <w:name w:val="Footnote Text Char1"/>
    <w:aliases w:val="ALTS FOOTNOT Char,Footnote Text Char Char,Footnote Text Char Char6 Char Char,Footnote Text Char Char6 Char Char1 Char1 Char,Footnote Text Char2 Char3 Char,Footnote Text Char4 Char2 Char Char Char Char Char,fn Char"/>
    <w:link w:val="FootnoteText"/>
    <w:locked/>
    <w:rsid w:val="00307A32"/>
  </w:style>
  <w:style w:type="character" w:styleId="Emphasis">
    <w:name w:val="Emphasis"/>
    <w:uiPriority w:val="20"/>
    <w:qFormat/>
    <w:rsid w:val="00307A32"/>
    <w:rPr>
      <w:rFonts w:cs="Times New Roman"/>
      <w:i/>
    </w:rPr>
  </w:style>
  <w:style w:type="paragraph" w:customStyle="1" w:styleId="Appendixnumber">
    <w:name w:val="Appendix number"/>
    <w:basedOn w:val="Normal"/>
    <w:rsid w:val="00307A32"/>
    <w:pPr>
      <w:numPr>
        <w:numId w:val="7"/>
      </w:numPr>
      <w:spacing w:after="120"/>
    </w:pPr>
    <w:rPr>
      <w:snapToGrid/>
    </w:rPr>
  </w:style>
  <w:style w:type="character" w:customStyle="1" w:styleId="cosearchterm">
    <w:name w:val="co_searchterm"/>
    <w:rsid w:val="00307A32"/>
  </w:style>
  <w:style w:type="paragraph" w:styleId="BalloonText">
    <w:name w:val="Balloon Text"/>
    <w:basedOn w:val="Normal"/>
    <w:link w:val="BalloonTextChar"/>
    <w:rsid w:val="00E87647"/>
    <w:rPr>
      <w:rFonts w:ascii="Segoe UI" w:hAnsi="Segoe UI" w:cs="Segoe UI"/>
      <w:sz w:val="18"/>
      <w:szCs w:val="18"/>
    </w:rPr>
  </w:style>
  <w:style w:type="character" w:customStyle="1" w:styleId="BalloonTextChar">
    <w:name w:val="Balloon Text Char"/>
    <w:link w:val="BalloonText"/>
    <w:rsid w:val="00E87647"/>
    <w:rPr>
      <w:rFonts w:ascii="Segoe UI" w:hAnsi="Segoe UI" w:cs="Segoe UI"/>
      <w:snapToGrid w:val="0"/>
      <w:kern w:val="28"/>
      <w:sz w:val="18"/>
      <w:szCs w:val="18"/>
    </w:rPr>
  </w:style>
  <w:style w:type="character" w:styleId="CommentReference">
    <w:name w:val="annotation reference"/>
    <w:basedOn w:val="DefaultParagraphFont"/>
    <w:rsid w:val="007146DE"/>
    <w:rPr>
      <w:sz w:val="16"/>
      <w:szCs w:val="16"/>
    </w:rPr>
  </w:style>
  <w:style w:type="paragraph" w:styleId="CommentText">
    <w:name w:val="annotation text"/>
    <w:basedOn w:val="Normal"/>
    <w:link w:val="CommentTextChar"/>
    <w:rsid w:val="007146DE"/>
    <w:rPr>
      <w:sz w:val="20"/>
    </w:rPr>
  </w:style>
  <w:style w:type="character" w:customStyle="1" w:styleId="CommentTextChar">
    <w:name w:val="Comment Text Char"/>
    <w:basedOn w:val="DefaultParagraphFont"/>
    <w:link w:val="CommentText"/>
    <w:rsid w:val="007146DE"/>
    <w:rPr>
      <w:snapToGrid w:val="0"/>
      <w:kern w:val="28"/>
    </w:rPr>
  </w:style>
  <w:style w:type="paragraph" w:styleId="CommentSubject">
    <w:name w:val="annotation subject"/>
    <w:basedOn w:val="CommentText"/>
    <w:next w:val="CommentText"/>
    <w:link w:val="CommentSubjectChar"/>
    <w:rsid w:val="007146DE"/>
    <w:rPr>
      <w:b/>
      <w:bCs/>
    </w:rPr>
  </w:style>
  <w:style w:type="character" w:customStyle="1" w:styleId="CommentSubjectChar">
    <w:name w:val="Comment Subject Char"/>
    <w:basedOn w:val="CommentTextChar"/>
    <w:link w:val="CommentSubject"/>
    <w:rsid w:val="007146DE"/>
    <w:rPr>
      <w:b/>
      <w:bCs/>
      <w:snapToGrid w:val="0"/>
      <w:kern w:val="28"/>
    </w:rPr>
  </w:style>
  <w:style w:type="character" w:customStyle="1" w:styleId="UnresolvedMention1">
    <w:name w:val="Unresolved Mention1"/>
    <w:basedOn w:val="DefaultParagraphFont"/>
    <w:rsid w:val="00AF327F"/>
    <w:rPr>
      <w:color w:val="605E5C"/>
      <w:shd w:val="clear" w:color="auto" w:fill="E1DFDD"/>
    </w:rPr>
  </w:style>
  <w:style w:type="character" w:customStyle="1" w:styleId="cohl">
    <w:name w:val="co_hl"/>
    <w:basedOn w:val="DefaultParagraphFont"/>
    <w:rsid w:val="002A6863"/>
  </w:style>
  <w:style w:type="paragraph" w:styleId="Revision">
    <w:name w:val="Revision"/>
    <w:hidden/>
    <w:uiPriority w:val="99"/>
    <w:semiHidden/>
    <w:rsid w:val="004F658E"/>
    <w:rPr>
      <w:snapToGrid w:val="0"/>
      <w:kern w:val="28"/>
      <w:sz w:val="22"/>
    </w:rPr>
  </w:style>
  <w:style w:type="character" w:styleId="FollowedHyperlink">
    <w:name w:val="FollowedHyperlink"/>
    <w:basedOn w:val="DefaultParagraphFont"/>
    <w:rsid w:val="00FA6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gps.gov/technical/icwg/" TargetMode="External" /><Relationship Id="rId2" Type="http://schemas.openxmlformats.org/officeDocument/2006/relationships/hyperlink" Target="http://www.gps.gov" TargetMode="External" /><Relationship Id="rId3" Type="http://schemas.openxmlformats.org/officeDocument/2006/relationships/hyperlink" Target="http://www.dhs.gov/science-and-technology/pnt-progra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