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33B58" w:rsidRPr="00BC4319" w:rsidP="00733B58" w14:paraId="34BC66CC" w14:textId="77777777">
      <w:pPr>
        <w:jc w:val="center"/>
        <w:rPr>
          <w:b/>
          <w:szCs w:val="22"/>
        </w:rPr>
      </w:pPr>
      <w:r>
        <w:rPr>
          <w:b/>
          <w:szCs w:val="22"/>
        </w:rPr>
        <w:t xml:space="preserve"> </w:t>
      </w:r>
      <w:r w:rsidR="00750C73">
        <w:rPr>
          <w:b/>
          <w:szCs w:val="22"/>
        </w:rPr>
        <w:t xml:space="preserve"> </w:t>
      </w:r>
      <w:r w:rsidRPr="00BC4319">
        <w:rPr>
          <w:b/>
          <w:szCs w:val="22"/>
        </w:rPr>
        <w:t>Before the</w:t>
      </w:r>
    </w:p>
    <w:p w:rsidR="00733B58" w:rsidRPr="00BC4319" w:rsidP="00733B58" w14:paraId="3AC06E09" w14:textId="77777777">
      <w:pPr>
        <w:pStyle w:val="StyleBoldCentered"/>
        <w:rPr>
          <w:rFonts w:ascii="Times New Roman" w:hAnsi="Times New Roman"/>
        </w:rPr>
      </w:pPr>
      <w:r w:rsidRPr="00BC4319">
        <w:rPr>
          <w:rFonts w:ascii="Times New Roman" w:hAnsi="Times New Roman"/>
        </w:rPr>
        <w:t>F</w:t>
      </w:r>
      <w:r w:rsidRPr="00BC4319">
        <w:rPr>
          <w:rFonts w:ascii="Times New Roman" w:hAnsi="Times New Roman"/>
          <w:caps w:val="0"/>
        </w:rPr>
        <w:t>ederal Communications Commission</w:t>
      </w:r>
    </w:p>
    <w:p w:rsidR="00733B58" w:rsidRPr="00BC4319" w:rsidP="00733B58" w14:paraId="034A2584" w14:textId="77777777">
      <w:pPr>
        <w:pStyle w:val="StyleBoldCentered"/>
        <w:rPr>
          <w:rFonts w:ascii="Times New Roman" w:hAnsi="Times New Roman"/>
        </w:rPr>
      </w:pPr>
      <w:r w:rsidRPr="00BC4319">
        <w:rPr>
          <w:rFonts w:ascii="Times New Roman" w:hAnsi="Times New Roman"/>
          <w:caps w:val="0"/>
        </w:rPr>
        <w:t>Washington</w:t>
      </w:r>
      <w:r w:rsidRPr="00BC4319">
        <w:rPr>
          <w:rFonts w:ascii="Times New Roman" w:hAnsi="Times New Roman"/>
        </w:rPr>
        <w:t>, D.C. 20554</w:t>
      </w:r>
    </w:p>
    <w:p w:rsidR="00733B58" w:rsidRPr="00BC4319" w:rsidP="00733B58" w14:paraId="4E8DEF0D" w14:textId="77777777">
      <w:pPr>
        <w:rPr>
          <w:szCs w:val="22"/>
        </w:rPr>
      </w:pPr>
    </w:p>
    <w:p w:rsidR="00733B58" w:rsidRPr="00BC4319" w:rsidP="00733B58" w14:paraId="3618A51C" w14:textId="77777777">
      <w:pPr>
        <w:rPr>
          <w:szCs w:val="22"/>
        </w:rPr>
      </w:pPr>
    </w:p>
    <w:tbl>
      <w:tblPr>
        <w:tblW w:w="0" w:type="auto"/>
        <w:tblLayout w:type="fixed"/>
        <w:tblLook w:val="0000"/>
      </w:tblPr>
      <w:tblGrid>
        <w:gridCol w:w="4698"/>
        <w:gridCol w:w="630"/>
        <w:gridCol w:w="4248"/>
      </w:tblGrid>
      <w:tr w14:paraId="0B669AF7" w14:textId="77777777" w:rsidTr="00630074">
        <w:tblPrEx>
          <w:tblW w:w="0" w:type="auto"/>
          <w:tblLayout w:type="fixed"/>
          <w:tblLook w:val="0000"/>
        </w:tblPrEx>
        <w:trPr>
          <w:trHeight w:val="1350"/>
        </w:trPr>
        <w:tc>
          <w:tcPr>
            <w:tcW w:w="4698" w:type="dxa"/>
          </w:tcPr>
          <w:p w:rsidR="00733B58" w:rsidRPr="00BC4319" w:rsidP="00E735D1" w14:paraId="6A82F66A" w14:textId="77777777">
            <w:pPr>
              <w:tabs>
                <w:tab w:val="center" w:pos="4680"/>
              </w:tabs>
              <w:suppressAutoHyphens/>
              <w:rPr>
                <w:spacing w:val="-2"/>
                <w:szCs w:val="22"/>
              </w:rPr>
            </w:pPr>
            <w:r w:rsidRPr="00BC4319">
              <w:rPr>
                <w:spacing w:val="-2"/>
                <w:szCs w:val="22"/>
              </w:rPr>
              <w:t>In the Matter of</w:t>
            </w:r>
          </w:p>
          <w:p w:rsidR="00733B58" w:rsidRPr="00BC4319" w:rsidP="00E735D1" w14:paraId="3D343925" w14:textId="77777777">
            <w:pPr>
              <w:tabs>
                <w:tab w:val="center" w:pos="4680"/>
              </w:tabs>
              <w:suppressAutoHyphens/>
              <w:rPr>
                <w:spacing w:val="-2"/>
                <w:szCs w:val="22"/>
              </w:rPr>
            </w:pPr>
          </w:p>
          <w:p w:rsidR="00733B58" w:rsidP="00E735D1" w14:paraId="178104DB" w14:textId="66CF76D4">
            <w:pPr>
              <w:rPr>
                <w:szCs w:val="22"/>
              </w:rPr>
            </w:pPr>
            <w:r>
              <w:rPr>
                <w:szCs w:val="22"/>
              </w:rPr>
              <w:t>S</w:t>
            </w:r>
            <w:r w:rsidR="00307F2D">
              <w:rPr>
                <w:szCs w:val="22"/>
              </w:rPr>
              <w:t>t</w:t>
            </w:r>
            <w:r w:rsidR="00F34831">
              <w:rPr>
                <w:szCs w:val="22"/>
              </w:rPr>
              <w:t xml:space="preserve">ate </w:t>
            </w:r>
            <w:r w:rsidR="003728ED">
              <w:rPr>
                <w:szCs w:val="22"/>
              </w:rPr>
              <w:t>of Nevada Department of Transportation</w:t>
            </w:r>
          </w:p>
          <w:p w:rsidR="00DB7C24" w:rsidRPr="00BC4319" w:rsidP="00E735D1" w14:paraId="4BA3F2D1" w14:textId="77777777">
            <w:pPr>
              <w:rPr>
                <w:szCs w:val="22"/>
              </w:rPr>
            </w:pPr>
          </w:p>
          <w:p w:rsidR="00733B58" w:rsidRPr="00BC4319" w:rsidP="00E735D1" w14:paraId="6BA70AAC" w14:textId="77777777">
            <w:pPr>
              <w:tabs>
                <w:tab w:val="left" w:pos="3430"/>
              </w:tabs>
              <w:suppressAutoHyphens/>
              <w:rPr>
                <w:spacing w:val="-2"/>
                <w:szCs w:val="22"/>
              </w:rPr>
            </w:pPr>
            <w:r w:rsidRPr="00BC4319">
              <w:rPr>
                <w:szCs w:val="22"/>
              </w:rPr>
              <w:t xml:space="preserve">Petition for Reconsideration </w:t>
            </w:r>
            <w:r w:rsidRPr="00BC4319">
              <w:rPr>
                <w:szCs w:val="22"/>
              </w:rPr>
              <w:tab/>
            </w:r>
          </w:p>
        </w:tc>
        <w:tc>
          <w:tcPr>
            <w:tcW w:w="630" w:type="dxa"/>
          </w:tcPr>
          <w:p w:rsidR="00733B58" w:rsidRPr="00BC4319" w:rsidP="00E735D1" w14:paraId="02516505" w14:textId="77777777">
            <w:pPr>
              <w:tabs>
                <w:tab w:val="center" w:pos="4680"/>
              </w:tabs>
              <w:suppressAutoHyphens/>
              <w:rPr>
                <w:b/>
                <w:spacing w:val="-2"/>
                <w:szCs w:val="22"/>
              </w:rPr>
            </w:pPr>
            <w:r w:rsidRPr="00BC4319">
              <w:rPr>
                <w:b/>
                <w:spacing w:val="-2"/>
                <w:szCs w:val="22"/>
              </w:rPr>
              <w:t>)</w:t>
            </w:r>
          </w:p>
          <w:p w:rsidR="00733B58" w:rsidRPr="00BC4319" w:rsidP="00E735D1" w14:paraId="079D201A" w14:textId="77777777">
            <w:pPr>
              <w:tabs>
                <w:tab w:val="center" w:pos="4680"/>
              </w:tabs>
              <w:suppressAutoHyphens/>
              <w:rPr>
                <w:b/>
                <w:spacing w:val="-2"/>
                <w:szCs w:val="22"/>
              </w:rPr>
            </w:pPr>
            <w:r w:rsidRPr="00BC4319">
              <w:rPr>
                <w:b/>
                <w:spacing w:val="-2"/>
                <w:szCs w:val="22"/>
              </w:rPr>
              <w:t>)</w:t>
            </w:r>
          </w:p>
          <w:p w:rsidR="00733B58" w:rsidRPr="00BC4319" w:rsidP="00E735D1" w14:paraId="31E52A2A" w14:textId="77777777">
            <w:pPr>
              <w:tabs>
                <w:tab w:val="center" w:pos="4680"/>
              </w:tabs>
              <w:suppressAutoHyphens/>
              <w:rPr>
                <w:b/>
                <w:spacing w:val="-2"/>
                <w:szCs w:val="22"/>
              </w:rPr>
            </w:pPr>
            <w:r w:rsidRPr="00BC4319">
              <w:rPr>
                <w:b/>
                <w:spacing w:val="-2"/>
                <w:szCs w:val="22"/>
              </w:rPr>
              <w:t>)</w:t>
            </w:r>
          </w:p>
          <w:p w:rsidR="00733B58" w:rsidRPr="00BC4319" w:rsidP="00E735D1" w14:paraId="3F8F57E1" w14:textId="77777777">
            <w:pPr>
              <w:tabs>
                <w:tab w:val="center" w:pos="4680"/>
              </w:tabs>
              <w:suppressAutoHyphens/>
              <w:rPr>
                <w:b/>
                <w:spacing w:val="-2"/>
                <w:szCs w:val="22"/>
              </w:rPr>
            </w:pPr>
            <w:r w:rsidRPr="00BC4319">
              <w:rPr>
                <w:b/>
                <w:spacing w:val="-2"/>
                <w:szCs w:val="22"/>
              </w:rPr>
              <w:t>)</w:t>
            </w:r>
          </w:p>
          <w:p w:rsidR="00733B58" w:rsidP="00E735D1" w14:paraId="792B1A08" w14:textId="77777777">
            <w:pPr>
              <w:tabs>
                <w:tab w:val="center" w:pos="4680"/>
              </w:tabs>
              <w:suppressAutoHyphens/>
              <w:rPr>
                <w:b/>
                <w:spacing w:val="-2"/>
                <w:szCs w:val="22"/>
              </w:rPr>
            </w:pPr>
            <w:r w:rsidRPr="00BC4319">
              <w:rPr>
                <w:b/>
                <w:spacing w:val="-2"/>
                <w:szCs w:val="22"/>
              </w:rPr>
              <w:t>)</w:t>
            </w:r>
          </w:p>
          <w:p w:rsidR="00C15B9B" w:rsidRPr="00BC4319" w:rsidP="00E735D1" w14:paraId="05928B69" w14:textId="19CB2D24">
            <w:pPr>
              <w:tabs>
                <w:tab w:val="center" w:pos="4680"/>
              </w:tabs>
              <w:suppressAutoHyphens/>
              <w:rPr>
                <w:b/>
                <w:spacing w:val="-2"/>
                <w:szCs w:val="22"/>
              </w:rPr>
            </w:pPr>
          </w:p>
        </w:tc>
        <w:tc>
          <w:tcPr>
            <w:tcW w:w="4248" w:type="dxa"/>
          </w:tcPr>
          <w:p w:rsidR="00733B58" w:rsidRPr="00BC4319" w:rsidP="00E735D1" w14:paraId="61FB0133" w14:textId="77777777">
            <w:pPr>
              <w:tabs>
                <w:tab w:val="center" w:pos="4680"/>
              </w:tabs>
              <w:suppressAutoHyphens/>
              <w:rPr>
                <w:spacing w:val="-2"/>
                <w:szCs w:val="22"/>
              </w:rPr>
            </w:pPr>
          </w:p>
          <w:p w:rsidR="00762E14" w:rsidP="00630074" w14:paraId="1FE5DEA3" w14:textId="77777777">
            <w:pPr>
              <w:pStyle w:val="TOAHeading"/>
              <w:tabs>
                <w:tab w:val="left" w:pos="915"/>
                <w:tab w:val="clear" w:pos="9360"/>
              </w:tabs>
              <w:rPr>
                <w:spacing w:val="-2"/>
                <w:szCs w:val="22"/>
              </w:rPr>
            </w:pPr>
            <w:r>
              <w:rPr>
                <w:spacing w:val="-2"/>
                <w:szCs w:val="22"/>
              </w:rPr>
              <w:tab/>
            </w:r>
          </w:p>
          <w:p w:rsidR="00733B58" w:rsidP="00630074" w14:paraId="7569FB5C" w14:textId="40DB5491">
            <w:pPr>
              <w:pStyle w:val="TOAHeading"/>
              <w:tabs>
                <w:tab w:val="left" w:pos="915"/>
                <w:tab w:val="clear" w:pos="9360"/>
              </w:tabs>
              <w:rPr>
                <w:spacing w:val="-2"/>
                <w:szCs w:val="22"/>
              </w:rPr>
            </w:pPr>
            <w:r>
              <w:rPr>
                <w:spacing w:val="-2"/>
                <w:szCs w:val="22"/>
              </w:rPr>
              <w:t xml:space="preserve">Call Sign </w:t>
            </w:r>
            <w:r w:rsidR="00FE7BB7">
              <w:rPr>
                <w:spacing w:val="-2"/>
                <w:szCs w:val="22"/>
              </w:rPr>
              <w:t>WPWR989</w:t>
            </w:r>
          </w:p>
          <w:p w:rsidR="00630074" w:rsidRPr="00630074" w:rsidP="00630074" w14:paraId="7DDCDF98" w14:textId="77777777"/>
          <w:p w:rsidR="00733B58" w:rsidRPr="005B6304" w:rsidP="00630074" w14:paraId="1D7ACF12" w14:textId="77777777">
            <w:pPr>
              <w:tabs>
                <w:tab w:val="left" w:pos="960"/>
              </w:tabs>
              <w:suppressAutoHyphens/>
              <w:rPr>
                <w:spacing w:val="-2"/>
                <w:szCs w:val="22"/>
              </w:rPr>
            </w:pPr>
            <w:r>
              <w:rPr>
                <w:spacing w:val="-2"/>
                <w:szCs w:val="22"/>
              </w:rPr>
              <w:tab/>
            </w:r>
          </w:p>
        </w:tc>
      </w:tr>
    </w:tbl>
    <w:p w:rsidR="00733B58" w:rsidRPr="001B4B42" w:rsidP="00733B58" w14:paraId="7A53BCC2" w14:textId="77777777">
      <w:pPr>
        <w:rPr>
          <w:szCs w:val="22"/>
        </w:rPr>
      </w:pPr>
    </w:p>
    <w:p w:rsidR="00733B58" w:rsidRPr="005B6304" w:rsidP="00733B58" w14:paraId="797D662B" w14:textId="77777777">
      <w:pPr>
        <w:pStyle w:val="StyleBoldCentered"/>
        <w:rPr>
          <w:rFonts w:ascii="Times New Roman" w:hAnsi="Times New Roman"/>
        </w:rPr>
      </w:pPr>
      <w:r w:rsidRPr="005B6304">
        <w:rPr>
          <w:rFonts w:ascii="Times New Roman" w:hAnsi="Times New Roman"/>
        </w:rPr>
        <w:t>Order</w:t>
      </w:r>
    </w:p>
    <w:p w:rsidR="00733B58" w:rsidRPr="001B4B42" w:rsidP="00733B58" w14:paraId="5AC57E06" w14:textId="77777777">
      <w:pPr>
        <w:tabs>
          <w:tab w:val="left" w:pos="-720"/>
        </w:tabs>
        <w:suppressAutoHyphens/>
        <w:spacing w:line="227" w:lineRule="auto"/>
        <w:rPr>
          <w:spacing w:val="-2"/>
          <w:szCs w:val="22"/>
        </w:rPr>
      </w:pPr>
    </w:p>
    <w:p w:rsidR="00733B58" w:rsidRPr="005B6304" w:rsidP="00733B58" w14:paraId="65809680" w14:textId="6D1522C0">
      <w:pPr>
        <w:tabs>
          <w:tab w:val="left" w:pos="720"/>
          <w:tab w:val="left" w:pos="5760"/>
          <w:tab w:val="right" w:pos="9360"/>
        </w:tabs>
        <w:suppressAutoHyphens/>
        <w:spacing w:line="227" w:lineRule="auto"/>
        <w:rPr>
          <w:spacing w:val="-2"/>
          <w:szCs w:val="22"/>
        </w:rPr>
      </w:pPr>
      <w:r w:rsidRPr="005B6304">
        <w:rPr>
          <w:b/>
          <w:spacing w:val="-2"/>
          <w:szCs w:val="22"/>
        </w:rPr>
        <w:t xml:space="preserve">Adopted:  </w:t>
      </w:r>
      <w:r w:rsidR="00001FA3">
        <w:rPr>
          <w:b/>
          <w:spacing w:val="-2"/>
          <w:szCs w:val="22"/>
        </w:rPr>
        <w:t>January 3</w:t>
      </w:r>
      <w:r w:rsidR="00131C92">
        <w:rPr>
          <w:b/>
          <w:spacing w:val="-2"/>
          <w:szCs w:val="22"/>
        </w:rPr>
        <w:t>, 20</w:t>
      </w:r>
      <w:r w:rsidR="00AC0180">
        <w:rPr>
          <w:b/>
          <w:spacing w:val="-2"/>
          <w:szCs w:val="22"/>
        </w:rPr>
        <w:t>20</w:t>
      </w:r>
      <w:r w:rsidRPr="005B6304">
        <w:rPr>
          <w:b/>
          <w:spacing w:val="-2"/>
          <w:szCs w:val="22"/>
        </w:rPr>
        <w:tab/>
        <w:t>Released:</w:t>
      </w:r>
      <w:r w:rsidR="00131C92">
        <w:rPr>
          <w:b/>
          <w:spacing w:val="-2"/>
          <w:szCs w:val="22"/>
        </w:rPr>
        <w:t xml:space="preserve"> </w:t>
      </w:r>
      <w:r w:rsidR="00001FA3">
        <w:rPr>
          <w:b/>
          <w:spacing w:val="-2"/>
          <w:szCs w:val="22"/>
        </w:rPr>
        <w:t>January 3, 2020</w:t>
      </w:r>
      <w:r w:rsidRPr="005B6304">
        <w:rPr>
          <w:b/>
          <w:spacing w:val="-2"/>
          <w:szCs w:val="22"/>
        </w:rPr>
        <w:t xml:space="preserve"> </w:t>
      </w:r>
    </w:p>
    <w:p w:rsidR="00733B58" w:rsidRPr="005B6304" w:rsidP="00733B58" w14:paraId="111AA30A" w14:textId="77777777">
      <w:pPr>
        <w:rPr>
          <w:szCs w:val="22"/>
        </w:rPr>
      </w:pPr>
    </w:p>
    <w:p w:rsidR="00733B58" w:rsidRPr="001B4B42" w:rsidP="00733B58" w14:paraId="45ED77BF" w14:textId="77777777">
      <w:pPr>
        <w:rPr>
          <w:spacing w:val="-2"/>
          <w:szCs w:val="22"/>
        </w:rPr>
      </w:pPr>
      <w:r w:rsidRPr="005B6304">
        <w:rPr>
          <w:szCs w:val="22"/>
        </w:rPr>
        <w:t>By the</w:t>
      </w:r>
      <w:r w:rsidRPr="005B6304">
        <w:rPr>
          <w:spacing w:val="-2"/>
          <w:szCs w:val="22"/>
        </w:rPr>
        <w:t xml:space="preserve"> Chief, Policy and Licensing Division, Public Safety and Homeland Security Bureau:</w:t>
      </w:r>
    </w:p>
    <w:p w:rsidR="00733B58" w:rsidRPr="001B4B42" w:rsidP="00733B58" w14:paraId="4217AE4E" w14:textId="77777777">
      <w:pPr>
        <w:rPr>
          <w:szCs w:val="22"/>
        </w:rPr>
      </w:pPr>
    </w:p>
    <w:p w:rsidR="00733B58" w:rsidRPr="00BE4E1E" w:rsidP="00733B58" w14:paraId="2186D0F6" w14:textId="77777777">
      <w:pPr>
        <w:pStyle w:val="Heading1"/>
        <w:rPr>
          <w:rFonts w:ascii="Times New Roman" w:hAnsi="Times New Roman"/>
          <w:szCs w:val="22"/>
        </w:rPr>
      </w:pPr>
      <w:r w:rsidRPr="00BE4E1E">
        <w:rPr>
          <w:rFonts w:ascii="Times New Roman" w:hAnsi="Times New Roman"/>
          <w:szCs w:val="22"/>
        </w:rPr>
        <w:t>introduction</w:t>
      </w:r>
    </w:p>
    <w:p w:rsidR="00733B58" w:rsidRPr="001B4B42" w:rsidP="00B5154B" w14:paraId="4C0B330D" w14:textId="000A3C51">
      <w:pPr>
        <w:pStyle w:val="ParaNum"/>
      </w:pPr>
      <w:r w:rsidRPr="4439A411">
        <w:t xml:space="preserve">On </w:t>
      </w:r>
      <w:r w:rsidR="006D407B">
        <w:t xml:space="preserve">September </w:t>
      </w:r>
      <w:r w:rsidR="00464D23">
        <w:t>19</w:t>
      </w:r>
      <w:r w:rsidRPr="4439A411">
        <w:t>, 2019</w:t>
      </w:r>
      <w:r w:rsidR="00287029">
        <w:t>,</w:t>
      </w:r>
      <w:r w:rsidRPr="4439A411">
        <w:t xml:space="preserve"> </w:t>
      </w:r>
      <w:r w:rsidR="00DB7C24">
        <w:t xml:space="preserve">the </w:t>
      </w:r>
      <w:r w:rsidR="003802E0">
        <w:t>State of Nevada Department</w:t>
      </w:r>
      <w:r w:rsidR="009C2AEE">
        <w:t xml:space="preserve"> of Transportation </w:t>
      </w:r>
      <w:r w:rsidR="0075660E">
        <w:t>(</w:t>
      </w:r>
      <w:r w:rsidR="008E3750">
        <w:t>Department</w:t>
      </w:r>
      <w:r w:rsidR="0075660E">
        <w:t xml:space="preserve">) </w:t>
      </w:r>
      <w:r w:rsidRPr="005B6304">
        <w:t xml:space="preserve">filed a Petition for Reconsideration </w:t>
      </w:r>
      <w:r w:rsidR="00CB50C8">
        <w:t xml:space="preserve">(Petition) </w:t>
      </w:r>
      <w:r w:rsidRPr="005B6304">
        <w:t xml:space="preserve">of the Commission’s notice </w:t>
      </w:r>
      <w:r w:rsidR="0050132D">
        <w:t xml:space="preserve">partially </w:t>
      </w:r>
      <w:r w:rsidR="00C537DC">
        <w:t xml:space="preserve">terminating </w:t>
      </w:r>
      <w:r w:rsidR="00D73E23">
        <w:t>the Department</w:t>
      </w:r>
      <w:r w:rsidR="0075660E">
        <w:t>’</w:t>
      </w:r>
      <w:r w:rsidR="009A0775">
        <w:t>s</w:t>
      </w:r>
      <w:r w:rsidRPr="001B4B42" w:rsidR="0075660E">
        <w:t xml:space="preserve"> </w:t>
      </w:r>
      <w:r w:rsidRPr="001B4B42">
        <w:t xml:space="preserve">license to </w:t>
      </w:r>
      <w:r w:rsidRPr="001B4B42" w:rsidR="00620AAF">
        <w:t xml:space="preserve">operate </w:t>
      </w:r>
      <w:r w:rsidRPr="001B4B42">
        <w:t xml:space="preserve">under </w:t>
      </w:r>
      <w:bookmarkStart w:id="0" w:name="_Hlk526432993"/>
      <w:r w:rsidRPr="001B4B42">
        <w:t>call sign</w:t>
      </w:r>
      <w:bookmarkEnd w:id="0"/>
      <w:r w:rsidR="00DB7C24">
        <w:t xml:space="preserve"> </w:t>
      </w:r>
      <w:r w:rsidR="00FE7BB7">
        <w:t>WPWR989</w:t>
      </w:r>
      <w:r w:rsidRPr="001B4B42">
        <w:t>.</w:t>
      </w:r>
      <w:r>
        <w:rPr>
          <w:rStyle w:val="FootnoteReference"/>
          <w:sz w:val="22"/>
          <w:szCs w:val="22"/>
        </w:rPr>
        <w:footnoteReference w:id="3"/>
      </w:r>
      <w:r w:rsidRPr="005B6304">
        <w:t xml:space="preserve">  </w:t>
      </w:r>
      <w:r w:rsidR="00A804C7">
        <w:t>For the reasons stated below, w</w:t>
      </w:r>
      <w:r w:rsidR="006B4C65">
        <w:t xml:space="preserve">e </w:t>
      </w:r>
      <w:r w:rsidR="0050132D">
        <w:t xml:space="preserve">deny </w:t>
      </w:r>
      <w:r w:rsidR="006B4C65">
        <w:t>the Petition.</w:t>
      </w:r>
      <w:r w:rsidRPr="001B4B42">
        <w:t xml:space="preserve"> </w:t>
      </w:r>
    </w:p>
    <w:p w:rsidR="00733B58" w:rsidRPr="00BE4E1E" w:rsidP="00733B58" w14:paraId="64B250B6" w14:textId="77777777">
      <w:pPr>
        <w:pStyle w:val="Heading1"/>
        <w:rPr>
          <w:rFonts w:ascii="Times New Roman" w:hAnsi="Times New Roman"/>
          <w:szCs w:val="22"/>
        </w:rPr>
      </w:pPr>
      <w:r w:rsidRPr="00BE4E1E">
        <w:rPr>
          <w:rFonts w:ascii="Times New Roman" w:hAnsi="Times New Roman"/>
          <w:szCs w:val="22"/>
        </w:rPr>
        <w:t>background</w:t>
      </w:r>
    </w:p>
    <w:p w:rsidR="00BE0155" w:rsidP="00BD76D6" w14:paraId="27CF51E7" w14:textId="644C577C">
      <w:pPr>
        <w:pStyle w:val="ParaNum"/>
      </w:pPr>
      <w:r w:rsidRPr="4439A411">
        <w:rPr>
          <w:color w:val="212121"/>
        </w:rPr>
        <w:t xml:space="preserve">On </w:t>
      </w:r>
      <w:r w:rsidR="00A7227B">
        <w:rPr>
          <w:color w:val="212121"/>
        </w:rPr>
        <w:t>May</w:t>
      </w:r>
      <w:r w:rsidR="0050132D">
        <w:rPr>
          <w:color w:val="212121"/>
        </w:rPr>
        <w:t xml:space="preserve"> </w:t>
      </w:r>
      <w:r w:rsidR="008B6C1F">
        <w:rPr>
          <w:color w:val="212121"/>
        </w:rPr>
        <w:t>7</w:t>
      </w:r>
      <w:r w:rsidR="000376D8">
        <w:rPr>
          <w:color w:val="212121"/>
        </w:rPr>
        <w:t>, 2019</w:t>
      </w:r>
      <w:r w:rsidRPr="4439A411">
        <w:rPr>
          <w:color w:val="212121"/>
        </w:rPr>
        <w:t>, the</w:t>
      </w:r>
      <w:r w:rsidRPr="4439A411" w:rsidR="003146C7">
        <w:rPr>
          <w:color w:val="212121"/>
        </w:rPr>
        <w:t xml:space="preserve"> Commission’s </w:t>
      </w:r>
      <w:r w:rsidRPr="4439A411">
        <w:rPr>
          <w:color w:val="212121"/>
        </w:rPr>
        <w:t>Universal Licensing System</w:t>
      </w:r>
      <w:r w:rsidRPr="4439A411" w:rsidR="006E6CAF">
        <w:rPr>
          <w:color w:val="212121"/>
        </w:rPr>
        <w:t xml:space="preserve"> (ULS)</w:t>
      </w:r>
      <w:r w:rsidRPr="4439A411">
        <w:rPr>
          <w:color w:val="212121"/>
        </w:rPr>
        <w:t xml:space="preserve"> sent a </w:t>
      </w:r>
      <w:r w:rsidRPr="000376D8">
        <w:rPr>
          <w:color w:val="212121"/>
        </w:rPr>
        <w:t>reminder to</w:t>
      </w:r>
      <w:r w:rsidR="00A7227B">
        <w:rPr>
          <w:color w:val="212121"/>
        </w:rPr>
        <w:t xml:space="preserve"> the</w:t>
      </w:r>
      <w:r w:rsidRPr="000376D8">
        <w:rPr>
          <w:color w:val="212121"/>
        </w:rPr>
        <w:t xml:space="preserve"> </w:t>
      </w:r>
      <w:r w:rsidR="00D73E23">
        <w:t>Department</w:t>
      </w:r>
      <w:r w:rsidRPr="000376D8" w:rsidR="0075660E">
        <w:rPr>
          <w:color w:val="212121"/>
        </w:rPr>
        <w:t xml:space="preserve"> </w:t>
      </w:r>
      <w:r w:rsidRPr="000376D8" w:rsidR="00C537DC">
        <w:rPr>
          <w:color w:val="212121"/>
        </w:rPr>
        <w:t xml:space="preserve">advising it of </w:t>
      </w:r>
      <w:r w:rsidR="0050132D">
        <w:rPr>
          <w:color w:val="212121"/>
        </w:rPr>
        <w:t>the</w:t>
      </w:r>
      <w:r w:rsidRPr="000376D8" w:rsidR="00C537DC">
        <w:rPr>
          <w:color w:val="212121"/>
        </w:rPr>
        <w:t xml:space="preserve"> pending construction deadline</w:t>
      </w:r>
      <w:r w:rsidRPr="000376D8" w:rsidR="00655447">
        <w:rPr>
          <w:color w:val="212121"/>
        </w:rPr>
        <w:t xml:space="preserve">s for </w:t>
      </w:r>
      <w:r w:rsidRPr="000376D8" w:rsidR="001E356C">
        <w:rPr>
          <w:color w:val="212121"/>
        </w:rPr>
        <w:t xml:space="preserve">the </w:t>
      </w:r>
      <w:r w:rsidR="009A0775">
        <w:rPr>
          <w:color w:val="212121"/>
        </w:rPr>
        <w:t>license</w:t>
      </w:r>
      <w:r w:rsidRPr="000376D8">
        <w:rPr>
          <w:color w:val="212121"/>
        </w:rPr>
        <w:t>.</w:t>
      </w:r>
      <w:r>
        <w:rPr>
          <w:rStyle w:val="FootnoteReference"/>
          <w:sz w:val="22"/>
          <w:szCs w:val="22"/>
        </w:rPr>
        <w:footnoteReference w:id="4"/>
      </w:r>
      <w:r w:rsidRPr="4439A411" w:rsidR="00085A0A">
        <w:t xml:space="preserve">  </w:t>
      </w:r>
      <w:r w:rsidR="003A516D">
        <w:t>The Department</w:t>
      </w:r>
      <w:r w:rsidR="003A516D">
        <w:rPr>
          <w:color w:val="212121"/>
        </w:rPr>
        <w:t xml:space="preserve"> had a deadline of August 6, 2019 to file a Notice of Construction </w:t>
      </w:r>
      <w:r w:rsidRPr="4439A411" w:rsidR="003A516D">
        <w:rPr>
          <w:color w:val="212121"/>
        </w:rPr>
        <w:t xml:space="preserve">for </w:t>
      </w:r>
      <w:r w:rsidR="003A516D">
        <w:rPr>
          <w:color w:val="212121"/>
        </w:rPr>
        <w:t xml:space="preserve">two frequencies under call sign </w:t>
      </w:r>
      <w:r w:rsidR="003A516D">
        <w:t>WPWR989</w:t>
      </w:r>
      <w:r w:rsidRPr="4439A411" w:rsidR="003A516D">
        <w:rPr>
          <w:color w:val="212121"/>
        </w:rPr>
        <w:t>.</w:t>
      </w:r>
      <w:r>
        <w:rPr>
          <w:rStyle w:val="FootnoteReference"/>
        </w:rPr>
        <w:footnoteReference w:id="5"/>
      </w:r>
      <w:r w:rsidRPr="4439A411" w:rsidR="003A516D">
        <w:rPr>
          <w:color w:val="212121"/>
        </w:rPr>
        <w:t xml:space="preserve">  </w:t>
      </w:r>
      <w:r w:rsidRPr="4439A411" w:rsidR="00AF46E1">
        <w:t xml:space="preserve">On </w:t>
      </w:r>
      <w:r w:rsidR="0050132D">
        <w:t xml:space="preserve">September </w:t>
      </w:r>
      <w:r w:rsidR="00B53E2E">
        <w:t>11</w:t>
      </w:r>
      <w:r w:rsidR="000376D8">
        <w:t>, 2019</w:t>
      </w:r>
      <w:r w:rsidR="003A516D">
        <w:t>,</w:t>
      </w:r>
      <w:r w:rsidRPr="4439A411" w:rsidR="00AF46E1">
        <w:t xml:space="preserve"> ULS issued </w:t>
      </w:r>
      <w:r w:rsidR="00AD309E">
        <w:t xml:space="preserve">the </w:t>
      </w:r>
      <w:r w:rsidR="00D73E23">
        <w:t>Department</w:t>
      </w:r>
      <w:r w:rsidRPr="4439A411" w:rsidR="0075660E">
        <w:t xml:space="preserve"> </w:t>
      </w:r>
      <w:r w:rsidRPr="4439A411" w:rsidR="003146C7">
        <w:t xml:space="preserve">a letter advising </w:t>
      </w:r>
      <w:r w:rsidRPr="4439A411" w:rsidR="009C365B">
        <w:t>it</w:t>
      </w:r>
      <w:r w:rsidRPr="4439A411" w:rsidR="003146C7">
        <w:t xml:space="preserve"> </w:t>
      </w:r>
      <w:r w:rsidRPr="4439A411" w:rsidR="00C537DC">
        <w:t>that the</w:t>
      </w:r>
      <w:r w:rsidR="00CB2F61">
        <w:t xml:space="preserve"> </w:t>
      </w:r>
      <w:r w:rsidRPr="4439A411" w:rsidR="00C537DC">
        <w:t>deadline</w:t>
      </w:r>
      <w:r w:rsidR="00CB2F61">
        <w:t xml:space="preserve"> to submit the Notice of Construction</w:t>
      </w:r>
      <w:r w:rsidRPr="4439A411" w:rsidR="00C537DC">
        <w:t xml:space="preserve"> had passed and </w:t>
      </w:r>
      <w:r w:rsidRPr="4439A411" w:rsidR="003146C7">
        <w:t xml:space="preserve">that </w:t>
      </w:r>
      <w:r w:rsidR="00D87938">
        <w:t>the</w:t>
      </w:r>
      <w:r w:rsidRPr="4439A411" w:rsidR="00D87938">
        <w:t xml:space="preserve"> </w:t>
      </w:r>
      <w:r w:rsidRPr="4439A411" w:rsidR="003146C7">
        <w:t>license w</w:t>
      </w:r>
      <w:r w:rsidR="001E356C">
        <w:t>as</w:t>
      </w:r>
      <w:r w:rsidRPr="4439A411" w:rsidR="003146C7">
        <w:t xml:space="preserve"> in </w:t>
      </w:r>
      <w:r w:rsidRPr="4439A411" w:rsidR="00AF46E1">
        <w:t>termination pending</w:t>
      </w:r>
      <w:r w:rsidRPr="4439A411" w:rsidR="00BD76D6">
        <w:t xml:space="preserve"> </w:t>
      </w:r>
      <w:r w:rsidRPr="4439A411" w:rsidR="00AF46E1">
        <w:t>status.</w:t>
      </w:r>
      <w:r>
        <w:rPr>
          <w:rStyle w:val="FootnoteReference"/>
          <w:sz w:val="22"/>
          <w:szCs w:val="22"/>
        </w:rPr>
        <w:footnoteReference w:id="6"/>
      </w:r>
      <w:r w:rsidRPr="4439A411" w:rsidR="00AF46E1">
        <w:t xml:space="preserve">  </w:t>
      </w:r>
      <w:r w:rsidR="00791CD9">
        <w:t>O</w:t>
      </w:r>
      <w:r w:rsidRPr="00BC2358" w:rsidR="00BD76D6">
        <w:t xml:space="preserve">n </w:t>
      </w:r>
      <w:r w:rsidR="0050132D">
        <w:t xml:space="preserve">September </w:t>
      </w:r>
      <w:r w:rsidR="00682E19">
        <w:t>19</w:t>
      </w:r>
      <w:r w:rsidR="00BD76D6">
        <w:t>, 2019,</w:t>
      </w:r>
      <w:r w:rsidR="00DB7C24">
        <w:t xml:space="preserve"> </w:t>
      </w:r>
      <w:r w:rsidR="00AD309E">
        <w:t xml:space="preserve">the </w:t>
      </w:r>
      <w:r w:rsidR="00604D3A">
        <w:t>D</w:t>
      </w:r>
      <w:r w:rsidR="00465502">
        <w:t>epartment</w:t>
      </w:r>
      <w:r w:rsidR="00604D3A">
        <w:t xml:space="preserve"> </w:t>
      </w:r>
      <w:r w:rsidR="00944497">
        <w:t xml:space="preserve">timely </w:t>
      </w:r>
      <w:r w:rsidRPr="00BC2358" w:rsidR="00BD76D6">
        <w:t>filed the instant Petition.</w:t>
      </w:r>
      <w:r>
        <w:rPr>
          <w:rStyle w:val="FootnoteReference"/>
          <w:sz w:val="22"/>
          <w:szCs w:val="22"/>
        </w:rPr>
        <w:footnoteReference w:id="7"/>
      </w:r>
      <w:r w:rsidRPr="00BC2358" w:rsidR="00BD76D6">
        <w:t xml:space="preserve">  </w:t>
      </w:r>
    </w:p>
    <w:p w:rsidR="00CB2F61" w:rsidRPr="00B83786" w:rsidP="00BD76D6" w14:paraId="414D75B5" w14:textId="29494AE6">
      <w:pPr>
        <w:pStyle w:val="ParaNum"/>
      </w:pPr>
      <w:r>
        <w:t xml:space="preserve">The </w:t>
      </w:r>
      <w:r w:rsidR="00D73E23">
        <w:t>Department</w:t>
      </w:r>
      <w:r w:rsidR="00FF1C64">
        <w:t xml:space="preserve"> concedes that </w:t>
      </w:r>
      <w:r w:rsidR="001E356C">
        <w:t xml:space="preserve">it did not submit the </w:t>
      </w:r>
      <w:r>
        <w:t>Notice of Construction</w:t>
      </w:r>
      <w:r w:rsidR="001E356C">
        <w:t xml:space="preserve"> to the Commission by the deadline</w:t>
      </w:r>
      <w:r w:rsidR="009A0775">
        <w:t>.</w:t>
      </w:r>
      <w:r>
        <w:rPr>
          <w:rStyle w:val="FootnoteReference"/>
        </w:rPr>
        <w:footnoteReference w:id="8"/>
      </w:r>
      <w:r w:rsidR="00FF1C64">
        <w:t xml:space="preserve"> </w:t>
      </w:r>
      <w:r w:rsidR="001E356C">
        <w:t xml:space="preserve"> </w:t>
      </w:r>
      <w:r w:rsidR="009A0775">
        <w:t>It</w:t>
      </w:r>
      <w:r w:rsidR="00FF1C64">
        <w:t xml:space="preserve"> contends, however</w:t>
      </w:r>
      <w:r w:rsidR="00791CD9">
        <w:t>,</w:t>
      </w:r>
      <w:r w:rsidR="00FF1C64">
        <w:t xml:space="preserve"> that </w:t>
      </w:r>
      <w:r w:rsidR="00CE30AF">
        <w:t xml:space="preserve">this was due to the </w:t>
      </w:r>
      <w:r w:rsidR="001F7D03">
        <w:t xml:space="preserve">abrupt retirement of one </w:t>
      </w:r>
      <w:r w:rsidR="00363775">
        <w:rPr>
          <w:rFonts w:eastAsiaTheme="minorEastAsia"/>
        </w:rPr>
        <w:t xml:space="preserve">of its </w:t>
      </w:r>
      <w:r w:rsidR="001F7D03">
        <w:rPr>
          <w:rFonts w:eastAsiaTheme="minorEastAsia"/>
        </w:rPr>
        <w:t>staff</w:t>
      </w:r>
      <w:r>
        <w:t>.</w:t>
      </w:r>
      <w:r>
        <w:rPr>
          <w:rStyle w:val="FootnoteReference"/>
        </w:rPr>
        <w:footnoteReference w:id="9"/>
      </w:r>
      <w:r>
        <w:t xml:space="preserve"> </w:t>
      </w:r>
      <w:r w:rsidR="009A0775">
        <w:t xml:space="preserve"> </w:t>
      </w:r>
      <w:r w:rsidR="00363775">
        <w:t xml:space="preserve">The </w:t>
      </w:r>
      <w:r w:rsidR="00D73E23">
        <w:t>Department</w:t>
      </w:r>
      <w:r>
        <w:t xml:space="preserve"> states </w:t>
      </w:r>
      <w:r w:rsidR="001C59E1">
        <w:t xml:space="preserve">that </w:t>
      </w:r>
      <w:r w:rsidR="006532DD">
        <w:t xml:space="preserve">due to materials </w:t>
      </w:r>
      <w:r w:rsidR="003A516D">
        <w:t xml:space="preserve">on </w:t>
      </w:r>
      <w:r w:rsidR="006532DD">
        <w:t>backorder and delayed power installation</w:t>
      </w:r>
      <w:r w:rsidR="003A516D">
        <w:t>,</w:t>
      </w:r>
      <w:r w:rsidR="006532DD">
        <w:t xml:space="preserve"> </w:t>
      </w:r>
      <w:r w:rsidR="00490471">
        <w:t xml:space="preserve">it </w:t>
      </w:r>
      <w:r w:rsidR="006532DD">
        <w:t>f</w:t>
      </w:r>
      <w:r w:rsidR="003A516D">
        <w:t>e</w:t>
      </w:r>
      <w:r w:rsidR="006532DD">
        <w:t xml:space="preserve">ll behind schedule but </w:t>
      </w:r>
      <w:r w:rsidR="00183DE0">
        <w:t xml:space="preserve">anticipates </w:t>
      </w:r>
      <w:r w:rsidR="001C59E1">
        <w:t>plac</w:t>
      </w:r>
      <w:r w:rsidR="00183DE0">
        <w:t>ing</w:t>
      </w:r>
      <w:r w:rsidR="001C59E1">
        <w:t xml:space="preserve"> the system into operation </w:t>
      </w:r>
      <w:r w:rsidR="00183DE0">
        <w:t>in May 2020, and seeks a waiver to do</w:t>
      </w:r>
      <w:r w:rsidR="00F028D2">
        <w:t xml:space="preserve"> so</w:t>
      </w:r>
      <w:r w:rsidR="009A0775">
        <w:t>.</w:t>
      </w:r>
      <w:r>
        <w:rPr>
          <w:rStyle w:val="FootnoteReference"/>
        </w:rPr>
        <w:footnoteReference w:id="10"/>
      </w:r>
      <w:r w:rsidR="009A0775">
        <w:t xml:space="preserve"> </w:t>
      </w:r>
    </w:p>
    <w:p w:rsidR="00733B58" w:rsidP="00BE4E1E" w14:paraId="53A97F3D" w14:textId="77777777">
      <w:pPr>
        <w:pStyle w:val="Heading1"/>
        <w:rPr>
          <w:szCs w:val="22"/>
        </w:rPr>
      </w:pPr>
      <w:r w:rsidRPr="001B4B42">
        <w:rPr>
          <w:szCs w:val="22"/>
        </w:rPr>
        <w:t>DISCUSSION</w:t>
      </w:r>
    </w:p>
    <w:p w:rsidR="00FF1C64" w:rsidRPr="005C40D8" w:rsidP="00944497" w14:paraId="49DDAB70" w14:textId="3D4DE8EE">
      <w:pPr>
        <w:pStyle w:val="ParaNum"/>
      </w:pPr>
      <w:r>
        <w:t>As an initial matter</w:t>
      </w:r>
      <w:r w:rsidR="00F028D2">
        <w:t>,</w:t>
      </w:r>
      <w:r>
        <w:t xml:space="preserve"> we note that </w:t>
      </w:r>
      <w:r w:rsidR="008245C4">
        <w:t xml:space="preserve">the </w:t>
      </w:r>
      <w:r w:rsidR="00D73E23">
        <w:t>Department</w:t>
      </w:r>
      <w:r w:rsidR="00410127">
        <w:t xml:space="preserve"> </w:t>
      </w:r>
      <w:r>
        <w:t xml:space="preserve">is seeking </w:t>
      </w:r>
      <w:r w:rsidR="009A0775">
        <w:t xml:space="preserve">both (a) </w:t>
      </w:r>
      <w:r>
        <w:t xml:space="preserve">reconsideration of the </w:t>
      </w:r>
      <w:r w:rsidR="00CC3DC0">
        <w:t xml:space="preserve">partial </w:t>
      </w:r>
      <w:r>
        <w:t xml:space="preserve">termination of </w:t>
      </w:r>
      <w:r w:rsidR="00FE7BB7">
        <w:rPr>
          <w:color w:val="212121"/>
        </w:rPr>
        <w:t>WPWR989</w:t>
      </w:r>
      <w:r w:rsidRPr="4439A411">
        <w:rPr>
          <w:color w:val="212121"/>
        </w:rPr>
        <w:t xml:space="preserve"> </w:t>
      </w:r>
      <w:r w:rsidR="00944497">
        <w:rPr>
          <w:color w:val="212121"/>
        </w:rPr>
        <w:t xml:space="preserve">for failure to comply with </w:t>
      </w:r>
      <w:r w:rsidR="00A178F5">
        <w:rPr>
          <w:color w:val="212121"/>
        </w:rPr>
        <w:t xml:space="preserve">the notification requirement of </w:t>
      </w:r>
      <w:r w:rsidR="00944497">
        <w:rPr>
          <w:color w:val="212121"/>
        </w:rPr>
        <w:t xml:space="preserve">Section </w:t>
      </w:r>
      <w:r w:rsidRPr="00CE5A4A" w:rsidR="00944497">
        <w:t>1.9</w:t>
      </w:r>
      <w:r w:rsidR="00944497">
        <w:t xml:space="preserve">46 </w:t>
      </w:r>
      <w:r w:rsidRPr="00BF0F53" w:rsidR="00944497">
        <w:t xml:space="preserve">(d) </w:t>
      </w:r>
      <w:r w:rsidR="00944497">
        <w:t xml:space="preserve">of the Commission’s rules </w:t>
      </w:r>
      <w:r w:rsidR="009A0775">
        <w:rPr>
          <w:color w:val="212121"/>
        </w:rPr>
        <w:t xml:space="preserve">and (b) </w:t>
      </w:r>
      <w:r>
        <w:rPr>
          <w:color w:val="212121"/>
        </w:rPr>
        <w:t xml:space="preserve">a waiver of </w:t>
      </w:r>
      <w:r w:rsidR="00A178F5">
        <w:rPr>
          <w:color w:val="212121"/>
        </w:rPr>
        <w:t xml:space="preserve">the build-out requirement of </w:t>
      </w:r>
      <w:r>
        <w:rPr>
          <w:color w:val="212121"/>
        </w:rPr>
        <w:t>Section</w:t>
      </w:r>
      <w:r w:rsidR="00614220">
        <w:rPr>
          <w:color w:val="212121"/>
        </w:rPr>
        <w:t>s</w:t>
      </w:r>
      <w:r>
        <w:rPr>
          <w:color w:val="212121"/>
        </w:rPr>
        <w:t xml:space="preserve"> </w:t>
      </w:r>
      <w:r w:rsidRPr="000D0117" w:rsidR="000D0117">
        <w:t>1.955(a)(2)</w:t>
      </w:r>
      <w:r w:rsidR="00BA498D">
        <w:t xml:space="preserve"> and</w:t>
      </w:r>
      <w:r w:rsidRPr="000D0117" w:rsidR="000D0117">
        <w:t xml:space="preserve"> 90.155</w:t>
      </w:r>
      <w:r w:rsidR="00652B4D">
        <w:t xml:space="preserve"> </w:t>
      </w:r>
      <w:r>
        <w:rPr>
          <w:color w:val="212121"/>
        </w:rPr>
        <w:t>o</w:t>
      </w:r>
      <w:r w:rsidRPr="005C40D8">
        <w:rPr>
          <w:color w:val="212121"/>
        </w:rPr>
        <w:t>f the Commission’s rules.</w:t>
      </w:r>
      <w:r>
        <w:rPr>
          <w:rStyle w:val="FootnoteReference"/>
        </w:rPr>
        <w:footnoteReference w:id="11"/>
      </w:r>
      <w:r w:rsidRPr="005C40D8">
        <w:t xml:space="preserve">  We address each </w:t>
      </w:r>
      <w:r w:rsidRPr="005C40D8" w:rsidR="00D71F6E">
        <w:t xml:space="preserve">request separately.  </w:t>
      </w:r>
    </w:p>
    <w:p w:rsidR="000748D0" w:rsidRPr="005C40D8" w:rsidP="00CC3DC0" w14:paraId="244BD650" w14:textId="7BCB3051">
      <w:pPr>
        <w:pStyle w:val="ParaNum"/>
      </w:pPr>
      <w:r w:rsidRPr="005C40D8">
        <w:t>Section 1.106(c)(2) of the Commission’s rules provides that a petition for reconsideration may rely on facts not previously presented if we find that “consideration of the facts relied on is required in the public interest</w:t>
      </w:r>
      <w:r w:rsidRPr="005C40D8" w:rsidR="00550982">
        <w:t>.</w:t>
      </w:r>
      <w:r w:rsidRPr="005C40D8">
        <w:t>”</w:t>
      </w:r>
      <w:r>
        <w:rPr>
          <w:rStyle w:val="FootnoteReference"/>
        </w:rPr>
        <w:footnoteReference w:id="12"/>
      </w:r>
      <w:r w:rsidRPr="005C40D8">
        <w:t xml:space="preserve"> </w:t>
      </w:r>
      <w:r w:rsidRPr="005C40D8" w:rsidR="007A5EEC">
        <w:t xml:space="preserve"> </w:t>
      </w:r>
      <w:r w:rsidRPr="005C40D8" w:rsidR="007C7091">
        <w:t xml:space="preserve">It is well </w:t>
      </w:r>
      <w:r w:rsidRPr="005C40D8">
        <w:t xml:space="preserve">settled </w:t>
      </w:r>
      <w:r w:rsidRPr="005C40D8" w:rsidR="007C7091">
        <w:t>that a</w:t>
      </w:r>
      <w:r w:rsidRPr="005C40D8" w:rsidR="007A5EEC">
        <w:t xml:space="preserve">n inadvertent failure to file a </w:t>
      </w:r>
      <w:r w:rsidR="00287029">
        <w:t>r</w:t>
      </w:r>
      <w:r w:rsidRPr="005C40D8" w:rsidR="007A5EEC">
        <w:t xml:space="preserve">equired Notice of Construction </w:t>
      </w:r>
      <w:r w:rsidRPr="005C40D8" w:rsidR="007C7091">
        <w:t xml:space="preserve">for such reasons as </w:t>
      </w:r>
      <w:r w:rsidRPr="005C40D8" w:rsidR="007A5EEC">
        <w:t xml:space="preserve">“abrupt retirement of . . . staff,” </w:t>
      </w:r>
      <w:r w:rsidRPr="005C40D8" w:rsidR="007C7091">
        <w:rPr>
          <w:i/>
        </w:rPr>
        <w:t>supra</w:t>
      </w:r>
      <w:r w:rsidRPr="005C40D8">
        <w:t>,</w:t>
      </w:r>
      <w:r w:rsidRPr="005C40D8" w:rsidR="007C7091">
        <w:t xml:space="preserve"> </w:t>
      </w:r>
      <w:r w:rsidRPr="005C40D8" w:rsidR="007A5EEC">
        <w:t xml:space="preserve">is insufficient </w:t>
      </w:r>
      <w:r w:rsidRPr="005C40D8" w:rsidR="002D116D">
        <w:t xml:space="preserve">to warrant grant of </w:t>
      </w:r>
      <w:r w:rsidRPr="005C40D8" w:rsidR="007A5EEC">
        <w:t>the Department’s petition</w:t>
      </w:r>
      <w:r w:rsidRPr="005C40D8">
        <w:t>.</w:t>
      </w:r>
      <w:r>
        <w:rPr>
          <w:rStyle w:val="FootnoteReference"/>
        </w:rPr>
        <w:footnoteReference w:id="13"/>
      </w:r>
      <w:r w:rsidRPr="005C40D8">
        <w:t xml:space="preserve">  </w:t>
      </w:r>
      <w:r w:rsidRPr="005C40D8" w:rsidR="007A5EEC">
        <w:t>Additionally, under the Commission's automatic termination process, if a licensee, by the end of the 30-day period for seeking reconsideration, does not rebut the presumption that it did not timely meet its construction or coverage requirement, ULS will change the status of the license, location, or frequency to “Terminated,” effective on the date of the construction deadline.</w:t>
      </w:r>
      <w:r>
        <w:rPr>
          <w:rStyle w:val="FootnoteReference"/>
        </w:rPr>
        <w:footnoteReference w:id="14"/>
      </w:r>
      <w:r w:rsidRPr="005C40D8" w:rsidR="007A5EEC">
        <w:t xml:space="preserve"> Here, </w:t>
      </w:r>
      <w:r w:rsidRPr="005C40D8">
        <w:t xml:space="preserve">the Department </w:t>
      </w:r>
      <w:r w:rsidRPr="005C40D8" w:rsidR="002D116D">
        <w:t xml:space="preserve">has not rebutted that presumption and </w:t>
      </w:r>
      <w:r w:rsidRPr="005C40D8" w:rsidR="007A5EEC">
        <w:t>concedes that it did not timely construct and that it was aware of ongoing construction delays.</w:t>
      </w:r>
      <w:r w:rsidR="00645A7B">
        <w:t xml:space="preserve"> </w:t>
      </w:r>
      <w:r w:rsidRPr="005C40D8" w:rsidR="007A5EEC">
        <w:t xml:space="preserve"> Thus, the </w:t>
      </w:r>
      <w:r w:rsidRPr="005C40D8">
        <w:t xml:space="preserve">Department </w:t>
      </w:r>
      <w:r w:rsidRPr="005C40D8" w:rsidR="007A5EEC">
        <w:t>could have and should have filed an extension request before the construction deadline</w:t>
      </w:r>
      <w:r w:rsidRPr="005C40D8">
        <w:t xml:space="preserve">.  </w:t>
      </w:r>
    </w:p>
    <w:p w:rsidR="00622448" w:rsidP="00CC3DC0" w14:paraId="17F8B5AC" w14:textId="4CF81939">
      <w:pPr>
        <w:pStyle w:val="ParaNum"/>
      </w:pPr>
      <w:r>
        <w:t xml:space="preserve">The </w:t>
      </w:r>
      <w:r w:rsidR="00D73E23">
        <w:t>Department</w:t>
      </w:r>
      <w:r w:rsidR="00762E14">
        <w:t>’s</w:t>
      </w:r>
      <w:r w:rsidRPr="4439A411">
        <w:t xml:space="preserve"> request </w:t>
      </w:r>
      <w:r w:rsidR="00380376">
        <w:t>for waiver of Section</w:t>
      </w:r>
      <w:r w:rsidR="00FB64C6">
        <w:t>s</w:t>
      </w:r>
      <w:r w:rsidR="00380376">
        <w:t xml:space="preserve"> </w:t>
      </w:r>
      <w:r w:rsidRPr="008C4A55" w:rsidR="008C4A55">
        <w:t>1.9</w:t>
      </w:r>
      <w:r w:rsidR="00497596">
        <w:t>55</w:t>
      </w:r>
      <w:r w:rsidR="00844D73">
        <w:t xml:space="preserve"> and 90.155</w:t>
      </w:r>
      <w:r w:rsidR="008C4A55">
        <w:t xml:space="preserve"> </w:t>
      </w:r>
      <w:r w:rsidR="00380376">
        <w:t xml:space="preserve">of the Commission’s </w:t>
      </w:r>
      <w:r w:rsidR="00412A75">
        <w:t>R</w:t>
      </w:r>
      <w:r w:rsidR="00380376">
        <w:t>ules</w:t>
      </w:r>
      <w:r w:rsidR="00340649">
        <w:t xml:space="preserve"> </w:t>
      </w:r>
      <w:r w:rsidR="009A0775">
        <w:t>does not meet the Commission’s waiver standard</w:t>
      </w:r>
      <w:r w:rsidR="00D82EB5">
        <w:t>.</w:t>
      </w:r>
      <w:r>
        <w:rPr>
          <w:rStyle w:val="FootnoteReference"/>
        </w:rPr>
        <w:footnoteReference w:id="15"/>
      </w:r>
      <w:r w:rsidR="00D82EB5">
        <w:t xml:space="preserve"> </w:t>
      </w:r>
      <w:r w:rsidR="009A0775">
        <w:t xml:space="preserve"> </w:t>
      </w:r>
      <w:r w:rsidR="007424D3">
        <w:t xml:space="preserve">Under the </w:t>
      </w:r>
      <w:r w:rsidR="00D26E2C">
        <w:t>plain terms of</w:t>
      </w:r>
      <w:r w:rsidR="00A6049E">
        <w:t xml:space="preserve"> these </w:t>
      </w:r>
      <w:r w:rsidR="00412A75">
        <w:t>rule</w:t>
      </w:r>
      <w:r w:rsidR="009A0775">
        <w:t xml:space="preserve"> sections</w:t>
      </w:r>
      <w:r w:rsidR="0067724A">
        <w:t xml:space="preserve">, the authorizations </w:t>
      </w:r>
      <w:r w:rsidR="003F0F8B">
        <w:t>for th</w:t>
      </w:r>
      <w:r w:rsidR="00A97AEB">
        <w:t>e two frequencies under call sign WPWR989</w:t>
      </w:r>
      <w:r w:rsidR="003F0F8B">
        <w:t xml:space="preserve"> </w:t>
      </w:r>
      <w:r w:rsidR="0067724A">
        <w:t>terminated automatically</w:t>
      </w:r>
      <w:r w:rsidR="009F7D09">
        <w:t xml:space="preserve"> </w:t>
      </w:r>
      <w:r w:rsidR="009A0775">
        <w:t xml:space="preserve">when </w:t>
      </w:r>
      <w:r w:rsidR="00D73E23">
        <w:t>Department</w:t>
      </w:r>
      <w:r w:rsidR="009A0775">
        <w:t xml:space="preserve"> failed to construct </w:t>
      </w:r>
      <w:r w:rsidR="00182F91">
        <w:t xml:space="preserve">it </w:t>
      </w:r>
      <w:r w:rsidR="009A0775">
        <w:t xml:space="preserve">by the deadline. </w:t>
      </w:r>
      <w:r w:rsidR="00A97AEB">
        <w:t xml:space="preserve"> </w:t>
      </w:r>
      <w:r w:rsidR="009A0775">
        <w:t xml:space="preserve">Denying the waiver request would not frustrate the </w:t>
      </w:r>
      <w:r w:rsidR="009A0775">
        <w:t xml:space="preserve">purpose of the rule, and we see no public interest justification for granting </w:t>
      </w:r>
      <w:r w:rsidR="00D73E23">
        <w:t>Department</w:t>
      </w:r>
      <w:r w:rsidR="009A0775">
        <w:t>’s requested relief.</w:t>
      </w:r>
      <w:r>
        <w:rPr>
          <w:rStyle w:val="FootnoteReference"/>
        </w:rPr>
        <w:footnoteReference w:id="16"/>
      </w:r>
      <w:r w:rsidR="009A0775">
        <w:t xml:space="preserve"> </w:t>
      </w:r>
    </w:p>
    <w:p w:rsidR="0028159D" w:rsidRPr="000748D0" w:rsidP="00BE57E0" w14:paraId="13F0D940" w14:textId="3D09A0AB">
      <w:pPr>
        <w:pStyle w:val="ParaNum"/>
        <w:spacing w:after="160" w:line="259" w:lineRule="auto"/>
        <w:rPr>
          <w:b/>
          <w:caps/>
          <w:szCs w:val="22"/>
        </w:rPr>
      </w:pPr>
      <w:r w:rsidRPr="00C23EFD">
        <w:t xml:space="preserve">However, </w:t>
      </w:r>
      <w:r w:rsidR="00EB28D8">
        <w:t xml:space="preserve">the </w:t>
      </w:r>
      <w:r w:rsidR="00D73E23">
        <w:t>Department</w:t>
      </w:r>
      <w:r w:rsidR="00CA4DAD">
        <w:t xml:space="preserve"> </w:t>
      </w:r>
      <w:r w:rsidRPr="00C23EFD">
        <w:t xml:space="preserve">may file a new, properly coordinated application if it desires to use </w:t>
      </w:r>
      <w:r w:rsidR="009A0775">
        <w:t xml:space="preserve">its </w:t>
      </w:r>
      <w:r w:rsidR="004E2BAC">
        <w:t xml:space="preserve">previously licensed </w:t>
      </w:r>
      <w:r w:rsidR="009A0775">
        <w:t>frequencies</w:t>
      </w:r>
      <w:r w:rsidRPr="00C23EFD">
        <w:t xml:space="preserve">.  In addition, if </w:t>
      </w:r>
      <w:r w:rsidR="004E2BAC">
        <w:t xml:space="preserve">the </w:t>
      </w:r>
      <w:r w:rsidR="00D73E23">
        <w:t>Department</w:t>
      </w:r>
      <w:r w:rsidR="00CA4DAD">
        <w:t xml:space="preserve"> </w:t>
      </w:r>
      <w:r w:rsidRPr="00C23EFD">
        <w:t>needs to operate</w:t>
      </w:r>
      <w:r>
        <w:t xml:space="preserve"> while </w:t>
      </w:r>
      <w:r w:rsidR="009A0775">
        <w:t xml:space="preserve">its </w:t>
      </w:r>
      <w:r w:rsidRPr="00C23EFD">
        <w:t xml:space="preserve">is pending with the Commission, it may file a request for </w:t>
      </w:r>
      <w:r>
        <w:t xml:space="preserve">special temporary authority </w:t>
      </w:r>
      <w:r w:rsidRPr="00C23EFD">
        <w:t xml:space="preserve">in </w:t>
      </w:r>
      <w:r>
        <w:t>accordance with Section 1.931</w:t>
      </w:r>
      <w:r w:rsidRPr="00C23EFD">
        <w:t xml:space="preserve"> of the Commission’s rules.</w:t>
      </w:r>
      <w:r>
        <w:rPr>
          <w:rStyle w:val="FootnoteReference"/>
        </w:rPr>
        <w:footnoteReference w:id="17"/>
      </w:r>
      <w:r w:rsidR="000748D0">
        <w:t xml:space="preserve"> </w:t>
      </w:r>
    </w:p>
    <w:p w:rsidR="00733B58" w:rsidRPr="00BE4E1E" w:rsidP="00733B58" w14:paraId="2AFA0AAB" w14:textId="47474362">
      <w:pPr>
        <w:pStyle w:val="Heading1"/>
        <w:rPr>
          <w:rFonts w:ascii="Times New Roman" w:hAnsi="Times New Roman"/>
          <w:szCs w:val="22"/>
        </w:rPr>
      </w:pPr>
      <w:r w:rsidRPr="00BE4E1E">
        <w:rPr>
          <w:rFonts w:ascii="Times New Roman" w:hAnsi="Times New Roman"/>
          <w:szCs w:val="22"/>
        </w:rPr>
        <w:t>Ordering clause</w:t>
      </w:r>
    </w:p>
    <w:p w:rsidR="00035411" w:rsidP="00035411" w14:paraId="5578051B" w14:textId="7083E480">
      <w:pPr>
        <w:pStyle w:val="ParaNum"/>
        <w:tabs>
          <w:tab w:val="clear" w:pos="1440"/>
        </w:tabs>
        <w:rPr>
          <w:spacing w:val="-2"/>
        </w:rPr>
      </w:pPr>
      <w:r w:rsidRPr="4439A411">
        <w:t xml:space="preserve"> Accordingly, IT IS ORDERED, pursuant to Sections 4(i) and 303(c) of the Communications Act of 1934, as amended, 47 U.S.C. §§ 154(i), 303(c), and Sections 1.106 of t</w:t>
      </w:r>
      <w:r w:rsidRPr="4439A411" w:rsidR="00CB50C8">
        <w:t>he Commission’s rules, 47 CFR §</w:t>
      </w:r>
      <w:r w:rsidRPr="4439A411">
        <w:t xml:space="preserve"> 1.106, that the Petition for Reconsideration filed </w:t>
      </w:r>
      <w:r w:rsidR="00CC3DC0">
        <w:t xml:space="preserve">September </w:t>
      </w:r>
      <w:r w:rsidR="00CD3FD4">
        <w:t>19</w:t>
      </w:r>
      <w:r w:rsidRPr="4439A411" w:rsidR="00B5154B">
        <w:t>,</w:t>
      </w:r>
      <w:r w:rsidRPr="4439A411">
        <w:t xml:space="preserve"> 201</w:t>
      </w:r>
      <w:r w:rsidRPr="4439A411" w:rsidR="00B764CA">
        <w:t>9</w:t>
      </w:r>
      <w:r w:rsidRPr="4439A411" w:rsidR="00550982">
        <w:t>,</w:t>
      </w:r>
      <w:r w:rsidRPr="4439A411">
        <w:t xml:space="preserve"> by </w:t>
      </w:r>
      <w:r w:rsidR="008C4A55">
        <w:t xml:space="preserve">the </w:t>
      </w:r>
      <w:r w:rsidR="00CD3FD4">
        <w:t>State of Neva</w:t>
      </w:r>
      <w:r w:rsidR="00BA6A3E">
        <w:t>da</w:t>
      </w:r>
      <w:r w:rsidR="00154034">
        <w:t xml:space="preserve"> Department of Transportation</w:t>
      </w:r>
      <w:r w:rsidR="00CA4DAD">
        <w:t xml:space="preserve">, </w:t>
      </w:r>
      <w:r w:rsidRPr="4439A411">
        <w:t xml:space="preserve">IS </w:t>
      </w:r>
      <w:r w:rsidR="00CC3DC0">
        <w:t>DENIED</w:t>
      </w:r>
      <w:r w:rsidRPr="4439A411" w:rsidR="00BA6FBF">
        <w:t>.</w:t>
      </w:r>
    </w:p>
    <w:p w:rsidR="00733B58" w:rsidRPr="001B4B42" w:rsidP="00733B58" w14:paraId="666CF65E" w14:textId="77777777">
      <w:pPr>
        <w:pStyle w:val="ParaNum"/>
        <w:tabs>
          <w:tab w:val="clear" w:pos="1440"/>
        </w:tabs>
      </w:pPr>
      <w:r>
        <w:t xml:space="preserve">This action is taken under delegated authority pursuant to Sections 0.191 and 0.392 of the Commission’s rules, 47 CFR §§ 0.191, 0.392.  </w:t>
      </w:r>
    </w:p>
    <w:p w:rsidR="00733B58" w:rsidRPr="001B4B42" w:rsidP="00733B58" w14:paraId="7D34698F" w14:textId="77777777">
      <w:pPr>
        <w:pStyle w:val="ParaNum"/>
        <w:keepNext/>
        <w:keepLines/>
        <w:numPr>
          <w:ilvl w:val="0"/>
          <w:numId w:val="0"/>
        </w:numPr>
        <w:spacing w:after="0"/>
        <w:ind w:left="3600" w:firstLine="720"/>
        <w:rPr>
          <w:szCs w:val="22"/>
        </w:rPr>
      </w:pPr>
      <w:r w:rsidRPr="001B4B42">
        <w:rPr>
          <w:szCs w:val="22"/>
        </w:rPr>
        <w:t xml:space="preserve">FEDERAL COMMUNICATIONS COMMISSION </w:t>
      </w:r>
    </w:p>
    <w:p w:rsidR="00733B58" w:rsidRPr="001B4B42" w:rsidP="00733B58" w14:paraId="5EC284FD" w14:textId="77777777">
      <w:pPr>
        <w:pStyle w:val="ParaNum"/>
        <w:keepNext/>
        <w:keepLines/>
        <w:numPr>
          <w:ilvl w:val="0"/>
          <w:numId w:val="0"/>
        </w:numPr>
        <w:spacing w:after="0"/>
        <w:ind w:left="720"/>
        <w:rPr>
          <w:szCs w:val="22"/>
        </w:rPr>
      </w:pPr>
    </w:p>
    <w:p w:rsidR="00733B58" w:rsidRPr="001B4B42" w:rsidP="00733B58" w14:paraId="6774C96E" w14:textId="77777777">
      <w:pPr>
        <w:pStyle w:val="ParaNum"/>
        <w:keepNext/>
        <w:keepLines/>
        <w:numPr>
          <w:ilvl w:val="0"/>
          <w:numId w:val="0"/>
        </w:numPr>
        <w:spacing w:after="0"/>
        <w:ind w:left="720"/>
        <w:rPr>
          <w:szCs w:val="22"/>
        </w:rPr>
      </w:pPr>
    </w:p>
    <w:p w:rsidR="00733B58" w:rsidRPr="001B4B42" w:rsidP="00733B58" w14:paraId="066073E8" w14:textId="77777777">
      <w:pPr>
        <w:pStyle w:val="ParaNum"/>
        <w:keepNext/>
        <w:keepLines/>
        <w:numPr>
          <w:ilvl w:val="0"/>
          <w:numId w:val="0"/>
        </w:numPr>
        <w:spacing w:after="0"/>
        <w:ind w:left="720"/>
        <w:rPr>
          <w:szCs w:val="22"/>
        </w:rPr>
      </w:pPr>
    </w:p>
    <w:p w:rsidR="00733B58" w:rsidRPr="001B4B42" w:rsidP="00733B58" w14:paraId="3D4B30D2" w14:textId="77777777">
      <w:pPr>
        <w:pStyle w:val="ParaNum"/>
        <w:keepNext/>
        <w:keepLines/>
        <w:numPr>
          <w:ilvl w:val="0"/>
          <w:numId w:val="0"/>
        </w:numPr>
        <w:spacing w:after="0"/>
        <w:ind w:left="720"/>
        <w:rPr>
          <w:szCs w:val="22"/>
        </w:rPr>
      </w:pPr>
    </w:p>
    <w:p w:rsidR="00733B58" w:rsidRPr="001B4B42" w:rsidP="00733B58" w14:paraId="089CC235" w14:textId="77777777">
      <w:pPr>
        <w:pStyle w:val="ParaNum"/>
        <w:keepNext/>
        <w:keepLines/>
        <w:numPr>
          <w:ilvl w:val="0"/>
          <w:numId w:val="0"/>
        </w:numPr>
        <w:spacing w:after="0"/>
        <w:ind w:left="3600" w:firstLine="720"/>
        <w:rPr>
          <w:szCs w:val="22"/>
        </w:rPr>
      </w:pPr>
      <w:r w:rsidRPr="001B4B42">
        <w:rPr>
          <w:szCs w:val="22"/>
        </w:rPr>
        <w:t xml:space="preserve">Michael J. Wilhelm  </w:t>
      </w:r>
    </w:p>
    <w:p w:rsidR="00733B58" w:rsidRPr="001B4B42" w:rsidP="00733B58" w14:paraId="00D31D89" w14:textId="77777777">
      <w:pPr>
        <w:pStyle w:val="ParaNum"/>
        <w:keepNext/>
        <w:keepLines/>
        <w:numPr>
          <w:ilvl w:val="0"/>
          <w:numId w:val="0"/>
        </w:numPr>
        <w:spacing w:after="0"/>
        <w:ind w:left="3600" w:firstLine="720"/>
        <w:rPr>
          <w:szCs w:val="22"/>
        </w:rPr>
      </w:pPr>
      <w:r w:rsidRPr="001B4B42">
        <w:rPr>
          <w:szCs w:val="22"/>
        </w:rPr>
        <w:t xml:space="preserve">Chief, Policy and Licensing Division </w:t>
      </w:r>
    </w:p>
    <w:p w:rsidR="00733B58" w:rsidRPr="001B4B42" w:rsidP="00733B58" w14:paraId="3E20BFAD" w14:textId="77777777">
      <w:pPr>
        <w:pStyle w:val="ParaNum"/>
        <w:keepNext/>
        <w:keepLines/>
        <w:numPr>
          <w:ilvl w:val="0"/>
          <w:numId w:val="0"/>
        </w:numPr>
        <w:spacing w:after="0"/>
        <w:ind w:left="3600" w:firstLine="720"/>
        <w:rPr>
          <w:szCs w:val="22"/>
        </w:rPr>
      </w:pPr>
      <w:r w:rsidRPr="001B4B42">
        <w:rPr>
          <w:szCs w:val="22"/>
        </w:rPr>
        <w:t>Public Safety and Homeland Security Bureau</w:t>
      </w:r>
    </w:p>
    <w:p w:rsidR="00733B58" w:rsidRPr="001B4B42" w:rsidP="00733B58" w14:paraId="09661E74" w14:textId="77777777">
      <w:pPr>
        <w:rPr>
          <w:szCs w:val="22"/>
        </w:rPr>
      </w:pPr>
    </w:p>
    <w:p w:rsidR="00D641D3" w:rsidRPr="001B4B42" w:rsidP="00BE0155" w14:paraId="2DAAF579" w14:textId="77777777">
      <w:pPr>
        <w:spacing w:after="120"/>
        <w:rPr>
          <w:szCs w:val="22"/>
        </w:r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61D97B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851FC2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EAB167C" w14:textId="77777777">
    <w:pPr>
      <w:pStyle w:val="Footer"/>
      <w:framePr w:wrap="around" w:vAnchor="text" w:hAnchor="margin" w:xAlign="center" w:y="1"/>
    </w:pPr>
    <w:r>
      <w:fldChar w:fldCharType="begin"/>
    </w:r>
    <w:r>
      <w:instrText xml:space="preserve">PAGE  </w:instrText>
    </w:r>
    <w:r>
      <w:fldChar w:fldCharType="separate"/>
    </w:r>
    <w:r w:rsidR="00A178F5">
      <w:rPr>
        <w:noProof/>
      </w:rPr>
      <w:t>3</w:t>
    </w:r>
    <w:r>
      <w:fldChar w:fldCharType="end"/>
    </w:r>
  </w:p>
  <w:p w:rsidR="00D25FB5" w14:paraId="348A8DB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78354D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71693" w:rsidP="00733B58" w14:paraId="3EDDD818" w14:textId="77777777">
      <w:r>
        <w:separator/>
      </w:r>
    </w:p>
  </w:footnote>
  <w:footnote w:type="continuationSeparator" w:id="1">
    <w:p w:rsidR="00071693" w:rsidP="00733B58" w14:paraId="2D580581" w14:textId="77777777">
      <w:r>
        <w:continuationSeparator/>
      </w:r>
    </w:p>
  </w:footnote>
  <w:footnote w:type="continuationNotice" w:id="2">
    <w:p w:rsidR="00071693" w14:paraId="08F02250" w14:textId="77777777"/>
  </w:footnote>
  <w:footnote w:id="3">
    <w:p w:rsidR="00733B58" w:rsidRPr="00CE5A4A" w:rsidP="007717E4" w14:paraId="5F0CB370" w14:textId="09FD4BCC">
      <w:pPr>
        <w:pStyle w:val="FootnoteText"/>
        <w:rPr>
          <w:b/>
        </w:rPr>
      </w:pPr>
      <w:r w:rsidRPr="00CE5A4A">
        <w:rPr>
          <w:rStyle w:val="FootnoteReference"/>
        </w:rPr>
        <w:footnoteRef/>
      </w:r>
      <w:r w:rsidRPr="00CE5A4A">
        <w:t xml:space="preserve"> </w:t>
      </w:r>
      <w:r w:rsidRPr="00CE5A4A">
        <w:rPr>
          <w:i/>
        </w:rPr>
        <w:t>See</w:t>
      </w:r>
      <w:r w:rsidRPr="00CE5A4A">
        <w:t xml:space="preserve"> </w:t>
      </w:r>
      <w:r w:rsidR="00406B82">
        <w:t>State of Nevada Department of Transportation</w:t>
      </w:r>
      <w:r w:rsidR="00DB7C24">
        <w:t xml:space="preserve">, </w:t>
      </w:r>
      <w:r w:rsidRPr="00CE5A4A">
        <w:t xml:space="preserve">Petition for Reconsideration, </w:t>
      </w:r>
      <w:r w:rsidRPr="00CE5A4A" w:rsidR="00085A0A">
        <w:rPr>
          <w:i/>
        </w:rPr>
        <w:t>re</w:t>
      </w:r>
      <w:r w:rsidRPr="00CE5A4A" w:rsidR="00085A0A">
        <w:t xml:space="preserve"> </w:t>
      </w:r>
      <w:r w:rsidRPr="00CE5A4A">
        <w:t>Call Sign</w:t>
      </w:r>
      <w:r w:rsidR="00DB7C24">
        <w:t xml:space="preserve"> </w:t>
      </w:r>
      <w:r w:rsidR="008B6C1F">
        <w:t>WPWR989</w:t>
      </w:r>
      <w:r w:rsidRPr="00CE5A4A">
        <w:t xml:space="preserve"> </w:t>
      </w:r>
      <w:r w:rsidRPr="00CE5A4A" w:rsidR="00C2593C">
        <w:t>(</w:t>
      </w:r>
      <w:r w:rsidR="0050132D">
        <w:t xml:space="preserve">September </w:t>
      </w:r>
      <w:r w:rsidR="008B6C1F">
        <w:t>19</w:t>
      </w:r>
      <w:r w:rsidR="00465DE8">
        <w:t>, 2019</w:t>
      </w:r>
      <w:r w:rsidRPr="00CE5A4A" w:rsidR="00C2593C">
        <w:t>)</w:t>
      </w:r>
      <w:r w:rsidR="007E43DB">
        <w:t xml:space="preserve"> </w:t>
      </w:r>
      <w:r w:rsidRPr="00CE5A4A">
        <w:t xml:space="preserve">(Petition).  </w:t>
      </w:r>
    </w:p>
  </w:footnote>
  <w:footnote w:id="4">
    <w:p w:rsidR="007717E4" w:rsidRPr="00CE5A4A" w:rsidP="007717E4" w14:paraId="699D56D7" w14:textId="3CC468FF">
      <w:pPr>
        <w:pStyle w:val="FootnoteText"/>
      </w:pPr>
      <w:r w:rsidRPr="00CE5A4A">
        <w:rPr>
          <w:rStyle w:val="FootnoteReference"/>
        </w:rPr>
        <w:footnoteRef/>
      </w:r>
      <w:r w:rsidRPr="00CE5A4A">
        <w:t xml:space="preserve"> </w:t>
      </w:r>
      <w:r w:rsidRPr="00CE5A4A">
        <w:rPr>
          <w:i/>
        </w:rPr>
        <w:t xml:space="preserve">See </w:t>
      </w:r>
      <w:r w:rsidRPr="000376D8" w:rsidR="00DF690D">
        <w:t>Construction/Coverage Deadline Reminder Notice, Reference No</w:t>
      </w:r>
      <w:r w:rsidR="000376D8">
        <w:t>.</w:t>
      </w:r>
      <w:r w:rsidR="00944497">
        <w:t xml:space="preserve"> </w:t>
      </w:r>
      <w:r w:rsidR="007B2138">
        <w:t>6490875</w:t>
      </w:r>
      <w:r w:rsidRPr="000376D8" w:rsidR="0050132D">
        <w:t xml:space="preserve"> </w:t>
      </w:r>
      <w:r w:rsidRPr="000376D8">
        <w:t>(</w:t>
      </w:r>
      <w:r w:rsidRPr="000376D8" w:rsidR="0011455A">
        <w:t xml:space="preserve">dated </w:t>
      </w:r>
      <w:r w:rsidR="005B01C1">
        <w:t xml:space="preserve">May </w:t>
      </w:r>
      <w:r w:rsidR="007B2138">
        <w:t>7</w:t>
      </w:r>
      <w:r w:rsidR="000376D8">
        <w:t>, 2019</w:t>
      </w:r>
      <w:r w:rsidRPr="000376D8">
        <w:t>)</w:t>
      </w:r>
      <w:r w:rsidRPr="000376D8" w:rsidR="00D60396">
        <w:t>.</w:t>
      </w:r>
      <w:r w:rsidR="000376D8">
        <w:t xml:space="preserve"> </w:t>
      </w:r>
      <w:r w:rsidR="000D2817">
        <w:t xml:space="preserve"> </w:t>
      </w:r>
    </w:p>
  </w:footnote>
  <w:footnote w:id="5">
    <w:p w:rsidR="003A516D" w:rsidP="003A516D" w14:paraId="18DE0535" w14:textId="187A7E6D">
      <w:pPr>
        <w:pStyle w:val="FootnoteText"/>
      </w:pPr>
      <w:r>
        <w:rPr>
          <w:rStyle w:val="FootnoteReference"/>
        </w:rPr>
        <w:footnoteRef/>
      </w:r>
      <w:r>
        <w:t xml:space="preserve"> </w:t>
      </w:r>
      <w:r>
        <w:rPr>
          <w:i/>
        </w:rPr>
        <w:t xml:space="preserve">See </w:t>
      </w:r>
      <w:r w:rsidRPr="00CE5A4A">
        <w:t>47 CFR § 1.9</w:t>
      </w:r>
      <w:r>
        <w:t xml:space="preserve">46 </w:t>
      </w:r>
      <w:r w:rsidRPr="00BF0F53">
        <w:t xml:space="preserve">(d) </w:t>
      </w:r>
      <w:r>
        <w:t>(“</w:t>
      </w:r>
      <w:r w:rsidRPr="00BF0F53">
        <w:t xml:space="preserve">A licensee who commences service or operations within the construction period or meets its coverage or substantial services obligations within the coverage period must notify the Commission by filing FCC Form 601. </w:t>
      </w:r>
      <w:r>
        <w:t xml:space="preserve"> </w:t>
      </w:r>
      <w:r w:rsidRPr="00BF0F53">
        <w:t>The notification must be filed within 15 days of the expiration of the applicable construction or coverage period.</w:t>
      </w:r>
      <w:r>
        <w:t xml:space="preserve">”)  The frequencies in question are 807.5625 MHz and 852.5625 </w:t>
      </w:r>
      <w:r>
        <w:t>MHz.</w:t>
      </w:r>
    </w:p>
  </w:footnote>
  <w:footnote w:id="6">
    <w:p w:rsidR="00BE0155" w:rsidRPr="00CE5A4A" w:rsidP="00BE0155" w14:paraId="541963BA" w14:textId="71F8B9FE">
      <w:pPr>
        <w:pStyle w:val="FootnoteText"/>
      </w:pPr>
      <w:r w:rsidRPr="00CE5A4A">
        <w:rPr>
          <w:rStyle w:val="FootnoteReference"/>
        </w:rPr>
        <w:footnoteRef/>
      </w:r>
      <w:r w:rsidRPr="00CE5A4A">
        <w:t xml:space="preserve"> </w:t>
      </w:r>
      <w:r w:rsidRPr="00CE5A4A">
        <w:rPr>
          <w:i/>
        </w:rPr>
        <w:t>See</w:t>
      </w:r>
      <w:r w:rsidRPr="00CE5A4A">
        <w:t xml:space="preserve"> </w:t>
      </w:r>
      <w:r w:rsidRPr="000376D8" w:rsidR="00DF690D">
        <w:t xml:space="preserve">Construction/Coverage Deadline, Notice of Termination Pending Status, Reference No. </w:t>
      </w:r>
      <w:r w:rsidR="00B53E2E">
        <w:t>654</w:t>
      </w:r>
      <w:r w:rsidR="004C6691">
        <w:t>9432</w:t>
      </w:r>
      <w:r w:rsidRPr="000376D8" w:rsidR="0050132D">
        <w:t xml:space="preserve"> </w:t>
      </w:r>
      <w:r w:rsidRPr="000376D8" w:rsidR="00085A0A">
        <w:t>(</w:t>
      </w:r>
      <w:r w:rsidRPr="000376D8" w:rsidR="009605FE">
        <w:t xml:space="preserve">dated </w:t>
      </w:r>
      <w:r w:rsidR="0050132D">
        <w:t xml:space="preserve">Sep. </w:t>
      </w:r>
      <w:r w:rsidR="00B53E2E">
        <w:t>11</w:t>
      </w:r>
      <w:r w:rsidR="000376D8">
        <w:t>, 2019).</w:t>
      </w:r>
    </w:p>
  </w:footnote>
  <w:footnote w:id="7">
    <w:p w:rsidR="00BD76D6" w:rsidRPr="00944497" w:rsidP="00BD76D6" w14:paraId="6D13A671" w14:textId="49F9F0E6">
      <w:pPr>
        <w:pStyle w:val="FootnoteText"/>
        <w:rPr>
          <w:i/>
        </w:rPr>
      </w:pPr>
      <w:r w:rsidRPr="00CE5A4A">
        <w:rPr>
          <w:rStyle w:val="FootnoteReference"/>
        </w:rPr>
        <w:footnoteRef/>
      </w:r>
      <w:r w:rsidRPr="00CE5A4A">
        <w:t xml:space="preserve"> </w:t>
      </w:r>
      <w:r w:rsidRPr="00CE5A4A">
        <w:rPr>
          <w:i/>
        </w:rPr>
        <w:t>See</w:t>
      </w:r>
      <w:r w:rsidRPr="00CE5A4A">
        <w:t xml:space="preserve"> Petition at 1.</w:t>
      </w:r>
      <w:r w:rsidR="00944497">
        <w:t xml:space="preserve">  </w:t>
      </w:r>
      <w:r w:rsidRPr="00944497" w:rsidR="00944497">
        <w:t>Under the Commission’s auto-term process, if a licensee, by the end of the 30-day period for seeking reconsideration does not rebut the presumption that it did not timely meet its construction or coverage requirement, ULS will change the status of the license, location, or frequency to “Terminated,” effective on the date of the construction deadline.</w:t>
      </w:r>
      <w:r w:rsidR="00944497">
        <w:t xml:space="preserve">  </w:t>
      </w:r>
      <w:r w:rsidR="00944497">
        <w:rPr>
          <w:i/>
        </w:rPr>
        <w:t xml:space="preserve">See </w:t>
      </w:r>
      <w:r w:rsidRPr="00CE5A4A" w:rsidR="00944497">
        <w:rPr>
          <w:i/>
        </w:rPr>
        <w:t>Wireless Telecommunications Bureau Announces Deployment Of “Auto-Term,” the Automated Feature in its Universal Licensing System That Identifies Unconstructed Stations Resulting in Automatic Termination of Licenses</w:t>
      </w:r>
      <w:r w:rsidRPr="00CE5A4A" w:rsidR="00944497">
        <w:t>, Public Notice, 21 FCC Rcd 163 (WTB 2006).</w:t>
      </w:r>
      <w:r w:rsidR="00944497">
        <w:t xml:space="preserve">  </w:t>
      </w:r>
      <w:r w:rsidR="009A0775">
        <w:t xml:space="preserve">Because </w:t>
      </w:r>
      <w:r w:rsidRPr="00944497" w:rsidR="00944497">
        <w:t xml:space="preserve">ULS issued the Notices of Termination Pending Status on </w:t>
      </w:r>
      <w:r w:rsidR="0050132D">
        <w:t xml:space="preserve">September </w:t>
      </w:r>
      <w:r w:rsidR="003E7824">
        <w:t>11</w:t>
      </w:r>
      <w:r w:rsidR="00944497">
        <w:t>,</w:t>
      </w:r>
      <w:r w:rsidRPr="00944497" w:rsidR="00944497">
        <w:t xml:space="preserve"> </w:t>
      </w:r>
      <w:r w:rsidR="00944497">
        <w:t xml:space="preserve">2019 and </w:t>
      </w:r>
      <w:r w:rsidR="00D73E23">
        <w:t>Department</w:t>
      </w:r>
      <w:r w:rsidRPr="00944497" w:rsidR="00944497">
        <w:t xml:space="preserve"> filed its Petition on </w:t>
      </w:r>
      <w:r w:rsidR="0050132D">
        <w:t xml:space="preserve">September </w:t>
      </w:r>
      <w:r w:rsidR="003E7824">
        <w:t>19</w:t>
      </w:r>
      <w:r w:rsidR="00944497">
        <w:t>, 2019, its petition is timely</w:t>
      </w:r>
      <w:r w:rsidRPr="00944497" w:rsidR="00944497">
        <w:t xml:space="preserve">.  </w:t>
      </w:r>
    </w:p>
  </w:footnote>
  <w:footnote w:id="8">
    <w:p w:rsidR="00FF1C64" w:rsidRPr="00CE5A4A" w:rsidP="00FF1C64" w14:paraId="25E52F05" w14:textId="77777777">
      <w:pPr>
        <w:pStyle w:val="FootnoteText"/>
      </w:pPr>
      <w:r w:rsidRPr="00CE5A4A">
        <w:rPr>
          <w:rStyle w:val="FootnoteReference"/>
        </w:rPr>
        <w:footnoteRef/>
      </w:r>
      <w:r w:rsidRPr="00CE5A4A">
        <w:t xml:space="preserve"> Petition at 1.</w:t>
      </w:r>
    </w:p>
  </w:footnote>
  <w:footnote w:id="9">
    <w:p w:rsidR="00CB2F61" w14:paraId="05E3FBB6" w14:textId="3976FFFF">
      <w:pPr>
        <w:pStyle w:val="FootnoteText"/>
      </w:pPr>
      <w:r>
        <w:rPr>
          <w:rStyle w:val="FootnoteReference"/>
        </w:rPr>
        <w:footnoteRef/>
      </w:r>
      <w:r>
        <w:t xml:space="preserve"> </w:t>
      </w:r>
      <w:r w:rsidRPr="00CE5A4A" w:rsidR="002550D5">
        <w:rPr>
          <w:i/>
        </w:rPr>
        <w:t>Id</w:t>
      </w:r>
      <w:r w:rsidRPr="00CE5A4A" w:rsidR="002550D5">
        <w:t>.</w:t>
      </w:r>
    </w:p>
  </w:footnote>
  <w:footnote w:id="10">
    <w:p w:rsidR="00CB2F61" w14:paraId="163C1903" w14:textId="47420915">
      <w:pPr>
        <w:pStyle w:val="FootnoteText"/>
      </w:pPr>
      <w:r>
        <w:rPr>
          <w:rStyle w:val="FootnoteReference"/>
        </w:rPr>
        <w:footnoteRef/>
      </w:r>
      <w:r>
        <w:t xml:space="preserve"> </w:t>
      </w:r>
      <w:r w:rsidRPr="00CE5A4A" w:rsidR="002550D5">
        <w:rPr>
          <w:i/>
        </w:rPr>
        <w:t>Id</w:t>
      </w:r>
      <w:r w:rsidRPr="00CE5A4A" w:rsidR="002550D5">
        <w:t>.</w:t>
      </w:r>
    </w:p>
  </w:footnote>
  <w:footnote w:id="11">
    <w:p w:rsidR="00D87938" w14:paraId="1A983BCB" w14:textId="526B5638">
      <w:pPr>
        <w:pStyle w:val="FootnoteText"/>
      </w:pPr>
      <w:r>
        <w:rPr>
          <w:rStyle w:val="FootnoteReference"/>
        </w:rPr>
        <w:footnoteRef/>
      </w:r>
      <w:r>
        <w:t xml:space="preserve"> </w:t>
      </w:r>
      <w:r w:rsidR="007267A6">
        <w:rPr>
          <w:i/>
        </w:rPr>
        <w:t xml:space="preserve">See </w:t>
      </w:r>
      <w:r w:rsidR="008C4A55">
        <w:t xml:space="preserve">47 CFR. </w:t>
      </w:r>
      <w:r w:rsidRPr="00CE5A4A" w:rsidR="007267A6">
        <w:t>§ 1.955</w:t>
      </w:r>
      <w:r w:rsidR="007267A6">
        <w:t>(a)(2) (“</w:t>
      </w:r>
      <w:r w:rsidRPr="00D87938" w:rsidR="007267A6">
        <w:t>Authorizations automatically terminate (in whole or in part as set forth in the service rules), without specific Commission action, if the licensee fails to meet applicable construction or coverage requirements.</w:t>
      </w:r>
      <w:r w:rsidR="007267A6">
        <w:t xml:space="preserve">”) and </w:t>
      </w:r>
      <w:r w:rsidRPr="00CE5A4A" w:rsidR="007267A6">
        <w:t>§</w:t>
      </w:r>
      <w:r w:rsidR="007267A6">
        <w:t xml:space="preserve"> 90.155 (“</w:t>
      </w:r>
      <w:r w:rsidRPr="00D87938" w:rsidR="007267A6">
        <w:t>All stations authorized under this pa</w:t>
      </w:r>
      <w:r w:rsidR="007267A6">
        <w:t xml:space="preserve">rt . . . </w:t>
      </w:r>
      <w:r w:rsidRPr="00D87938" w:rsidR="007267A6">
        <w:t>must be placed in operation within twelve (12) months from the date of grant or the authorization cancels automatically and must be returned to the Commission.</w:t>
      </w:r>
      <w:r w:rsidR="007267A6">
        <w:t>”).</w:t>
      </w:r>
    </w:p>
  </w:footnote>
  <w:footnote w:id="12">
    <w:p w:rsidR="00C1768D" w:rsidRPr="00CE5A4A" w:rsidP="00C1768D" w14:paraId="2C579C65" w14:textId="77777777">
      <w:pPr>
        <w:pStyle w:val="FootnoteText"/>
      </w:pPr>
      <w:r w:rsidRPr="00CE5A4A">
        <w:rPr>
          <w:rStyle w:val="FootnoteReference"/>
        </w:rPr>
        <w:footnoteRef/>
      </w:r>
      <w:r w:rsidRPr="00CE5A4A">
        <w:t xml:space="preserve"> 47 CFR § 1.106(c)(2).</w:t>
      </w:r>
    </w:p>
  </w:footnote>
  <w:footnote w:id="13">
    <w:p w:rsidR="002D116D" w14:paraId="07668AAC" w14:textId="5F5BBD64">
      <w:pPr>
        <w:pStyle w:val="FootnoteText"/>
      </w:pPr>
      <w:r>
        <w:rPr>
          <w:rStyle w:val="FootnoteReference"/>
        </w:rPr>
        <w:footnoteRef/>
      </w:r>
      <w:r>
        <w:t xml:space="preserve"> </w:t>
      </w:r>
      <w:r w:rsidRPr="002D116D">
        <w:rPr>
          <w:i/>
        </w:rPr>
        <w:t xml:space="preserve">See </w:t>
      </w:r>
      <w:r w:rsidRPr="002D116D">
        <w:rPr>
          <w:i/>
        </w:rPr>
        <w:t>Instapage</w:t>
      </w:r>
      <w:r w:rsidRPr="002D116D">
        <w:rPr>
          <w:i/>
        </w:rPr>
        <w:t xml:space="preserve"> Network, Ltd</w:t>
      </w:r>
      <w:r w:rsidRPr="002D116D">
        <w:t>., Order on Reconsideration, 17 FCC Rcd 19083, 19091-92 (WTB 2002) paras. 16-19 (“[o]</w:t>
      </w:r>
      <w:r w:rsidRPr="002D116D">
        <w:t>versight</w:t>
      </w:r>
      <w:r w:rsidRPr="002D116D">
        <w:t>,” “[c]</w:t>
      </w:r>
      <w:r w:rsidRPr="002D116D">
        <w:t>onfusion</w:t>
      </w:r>
      <w:r w:rsidRPr="002D116D">
        <w:t xml:space="preserve">,” and “[b]ad judgment” inadequate to excuse failure to file construction notification).  </w:t>
      </w:r>
      <w:r w:rsidRPr="002D116D">
        <w:rPr>
          <w:i/>
        </w:rPr>
        <w:t>See also</w:t>
      </w:r>
      <w:r w:rsidRPr="002D116D">
        <w:t xml:space="preserve"> </w:t>
      </w:r>
      <w:r w:rsidRPr="002D116D">
        <w:rPr>
          <w:i/>
        </w:rPr>
        <w:t>Broward County, Florida</w:t>
      </w:r>
      <w:r w:rsidRPr="002D116D">
        <w:t xml:space="preserve">, Order, ___ FCC Rcd ___ (PSHSB Dec. 19, 2018). </w:t>
      </w:r>
      <w:r w:rsidRPr="002D116D">
        <w:rPr>
          <w:i/>
        </w:rPr>
        <w:t>Cf.</w:t>
      </w:r>
      <w:r w:rsidRPr="002D116D">
        <w:t xml:space="preserve"> </w:t>
      </w:r>
      <w:r w:rsidRPr="002D116D">
        <w:rPr>
          <w:i/>
        </w:rPr>
        <w:t>Anderson Communications</w:t>
      </w:r>
      <w:r w:rsidRPr="002D116D">
        <w:t xml:space="preserve">, Memorandum Opinion and Order, 16 FCC Rcd 15020, 15021 para 5 (2001); </w:t>
      </w:r>
      <w:r w:rsidRPr="002D116D">
        <w:rPr>
          <w:i/>
        </w:rPr>
        <w:t>Peacock's Radio and Wild's Computer Service, Inc.</w:t>
      </w:r>
      <w:r w:rsidRPr="002D116D">
        <w:t xml:space="preserve">, Memorandum Opinion and Order, 16 FCC Rcd 15016, 15017 para. 5 (2001); </w:t>
      </w:r>
      <w:r w:rsidRPr="002D116D">
        <w:rPr>
          <w:i/>
        </w:rPr>
        <w:t>Fresno City and County Housing Authorities,</w:t>
      </w:r>
      <w:r w:rsidRPr="002D116D">
        <w:t xml:space="preserve"> Order on Reconsideration, 15 FCC Rcd 10998 ¶ 11 (2000);</w:t>
      </w:r>
      <w:r w:rsidRPr="002D116D">
        <w:rPr>
          <w:i/>
        </w:rPr>
        <w:t xml:space="preserve"> Plumas-Sierra Rural Electric Cooperative</w:t>
      </w:r>
      <w:r w:rsidRPr="002D116D">
        <w:t xml:space="preserve">, Order, 15 FCC Rcd 5572, 5575 para. 9 (WTB 2000). </w:t>
      </w:r>
    </w:p>
  </w:footnote>
  <w:footnote w:id="14">
    <w:p w:rsidR="000748D0" w14:paraId="185067EB" w14:textId="0368DEE2">
      <w:pPr>
        <w:pStyle w:val="FootnoteText"/>
      </w:pPr>
      <w:r>
        <w:rPr>
          <w:rStyle w:val="FootnoteReference"/>
        </w:rPr>
        <w:footnoteRef/>
      </w:r>
      <w:r>
        <w:t xml:space="preserve"> </w:t>
      </w:r>
      <w:hyperlink r:id="rId1" w:history="1">
        <w:r w:rsidRPr="000748D0">
          <w:rPr>
            <w:rStyle w:val="Hyperlink"/>
            <w:i/>
            <w:iCs/>
            <w:color w:val="000000" w:themeColor="text1"/>
            <w:u w:val="none"/>
          </w:rPr>
          <w:t>Wireless Telecommunications Bureau Announces Deployment Of “Auto-Term,” the Automated Feature in its Universal Licensing System That Identifies Unconstructed Stations Resulting in Automatic Termination of Licenses</w:t>
        </w:r>
        <w:r w:rsidRPr="000748D0">
          <w:rPr>
            <w:rStyle w:val="Hyperlink"/>
            <w:color w:val="000000" w:themeColor="text1"/>
            <w:u w:val="none"/>
          </w:rPr>
          <w:t>, Public </w:t>
        </w:r>
        <w:r w:rsidRPr="000748D0">
          <w:rPr>
            <w:rStyle w:val="Hyperlink"/>
            <w:bCs/>
            <w:color w:val="000000" w:themeColor="text1"/>
            <w:u w:val="none"/>
          </w:rPr>
          <w:t>Notice</w:t>
        </w:r>
        <w:r w:rsidRPr="000748D0">
          <w:rPr>
            <w:rStyle w:val="Hyperlink"/>
            <w:color w:val="000000" w:themeColor="text1"/>
            <w:u w:val="none"/>
          </w:rPr>
          <w:t>, 21 FCC Rcd 163 (WTB 2006)</w:t>
        </w:r>
      </w:hyperlink>
      <w:r w:rsidRPr="000748D0">
        <w:rPr>
          <w:color w:val="000000" w:themeColor="text1"/>
        </w:rPr>
        <w:t>.</w:t>
      </w:r>
    </w:p>
  </w:footnote>
  <w:footnote w:id="15">
    <w:p w:rsidR="009A0775" w14:paraId="1AC8BDF8" w14:textId="476405CD">
      <w:pPr>
        <w:pStyle w:val="FootnoteText"/>
      </w:pPr>
      <w:r>
        <w:rPr>
          <w:rStyle w:val="FootnoteReference"/>
        </w:rPr>
        <w:footnoteRef/>
      </w:r>
      <w:r>
        <w:t xml:space="preserve"> </w:t>
      </w:r>
      <w:r w:rsidRPr="009A0775">
        <w:rPr>
          <w:i/>
        </w:rPr>
        <w:t xml:space="preserve">See </w:t>
      </w:r>
      <w:r>
        <w:t>47 CFR § 1.925</w:t>
      </w:r>
      <w:r w:rsidRPr="00CE44A7">
        <w:t xml:space="preserve">. </w:t>
      </w:r>
      <w:r w:rsidRPr="00CE44A7">
        <w:rPr>
          <w:i/>
        </w:rPr>
        <w:t>See also</w:t>
      </w:r>
      <w:r w:rsidRPr="00CE44A7">
        <w:t xml:space="preserve">, </w:t>
      </w:r>
      <w:r w:rsidRPr="00CE44A7" w:rsidR="00BC0882">
        <w:rPr>
          <w:i/>
          <w:snapToGrid w:val="0"/>
          <w:kern w:val="28"/>
        </w:rPr>
        <w:t xml:space="preserve">WAIT Radio v. FCC, </w:t>
      </w:r>
      <w:r w:rsidRPr="00CE44A7" w:rsidR="00BC0882">
        <w:rPr>
          <w:snapToGrid w:val="0"/>
          <w:kern w:val="28"/>
        </w:rPr>
        <w:t>413 F.2d 1153, 1157 (D.C. Cir. 1969) (</w:t>
      </w:r>
      <w:r w:rsidRPr="00CE44A7" w:rsidR="00BC0882">
        <w:rPr>
          <w:i/>
          <w:snapToGrid w:val="0"/>
          <w:kern w:val="28"/>
        </w:rPr>
        <w:t>WAIT Radio</w:t>
      </w:r>
      <w:r w:rsidRPr="00CE44A7" w:rsidR="00BC0882">
        <w:rPr>
          <w:snapToGrid w:val="0"/>
          <w:kern w:val="28"/>
        </w:rPr>
        <w:t xml:space="preserve">), </w:t>
      </w:r>
      <w:r w:rsidRPr="00CE44A7" w:rsidR="00BC0882">
        <w:rPr>
          <w:i/>
          <w:snapToGrid w:val="0"/>
          <w:kern w:val="28"/>
        </w:rPr>
        <w:t xml:space="preserve">aff’d, </w:t>
      </w:r>
      <w:r w:rsidRPr="00CE44A7" w:rsidR="00BC0882">
        <w:rPr>
          <w:snapToGrid w:val="0"/>
          <w:kern w:val="28"/>
        </w:rPr>
        <w:t xml:space="preserve">459 F.2d 1203 (1973), </w:t>
      </w:r>
      <w:r w:rsidRPr="00CE44A7" w:rsidR="00BC0882">
        <w:rPr>
          <w:i/>
          <w:snapToGrid w:val="0"/>
          <w:kern w:val="28"/>
        </w:rPr>
        <w:t xml:space="preserve">cert. denied, </w:t>
      </w:r>
      <w:r w:rsidRPr="00CE44A7" w:rsidR="00BC0882">
        <w:rPr>
          <w:snapToGrid w:val="0"/>
          <w:kern w:val="28"/>
        </w:rPr>
        <w:t>409 U.S. 1027 (1972) (</w:t>
      </w:r>
      <w:r w:rsidRPr="00CE44A7" w:rsidR="00BC0882">
        <w:rPr>
          <w:i/>
          <w:snapToGrid w:val="0"/>
          <w:kern w:val="28"/>
        </w:rPr>
        <w:t xml:space="preserve">citing Rio Grande Family Radio Fellowship, Inc. v. FCC, </w:t>
      </w:r>
      <w:r w:rsidRPr="00CE44A7" w:rsidR="00BC0882">
        <w:rPr>
          <w:snapToGrid w:val="0"/>
          <w:kern w:val="28"/>
        </w:rPr>
        <w:t>406 F.2d 664 (D.C. Cir. 1968))</w:t>
      </w:r>
      <w:r w:rsidRPr="00CE44A7">
        <w:t>.</w:t>
      </w:r>
    </w:p>
  </w:footnote>
  <w:footnote w:id="16">
    <w:p w:rsidR="009A0775" w14:paraId="3F745550" w14:textId="53C64A74">
      <w:pPr>
        <w:pStyle w:val="FootnoteText"/>
      </w:pPr>
      <w:r>
        <w:rPr>
          <w:rStyle w:val="FootnoteReference"/>
        </w:rPr>
        <w:footnoteRef/>
      </w:r>
      <w:r>
        <w:t xml:space="preserve"> </w:t>
      </w:r>
      <w:r w:rsidRPr="009A0775">
        <w:rPr>
          <w:i/>
        </w:rPr>
        <w:t xml:space="preserve">See </w:t>
      </w:r>
      <w:r>
        <w:t>47 CFR § 1.925.</w:t>
      </w:r>
    </w:p>
  </w:footnote>
  <w:footnote w:id="17">
    <w:p w:rsidR="008F0794" w:rsidP="008F0794" w14:paraId="688B5E55" w14:textId="77777777">
      <w:pPr>
        <w:pStyle w:val="FootnoteText"/>
      </w:pPr>
      <w:r w:rsidRPr="00CE5A4A">
        <w:rPr>
          <w:rStyle w:val="FootnoteReference"/>
        </w:rPr>
        <w:footnoteRef/>
      </w:r>
      <w:r w:rsidRPr="00CE5A4A">
        <w:t xml:space="preserve"> </w:t>
      </w:r>
      <w:r w:rsidRPr="00CE5A4A">
        <w:rPr>
          <w:i/>
        </w:rPr>
        <w:t>S</w:t>
      </w:r>
      <w:bookmarkStart w:id="1" w:name="_GoBack"/>
      <w:bookmarkEnd w:id="1"/>
      <w:r w:rsidRPr="00CE5A4A">
        <w:rPr>
          <w:i/>
        </w:rPr>
        <w:t>ee</w:t>
      </w:r>
      <w:r w:rsidRPr="00CE5A4A">
        <w:t xml:space="preserve"> 47 CFR § 1.931.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18EB6A2" w14:textId="3047CDE8">
    <w:pPr>
      <w:pStyle w:val="Header"/>
      <w:rPr>
        <w:b w:val="0"/>
      </w:rPr>
    </w:pPr>
    <w:r>
      <w:tab/>
      <w:t>Federal Communications Commission</w:t>
    </w:r>
    <w:r>
      <w:tab/>
      <w:t xml:space="preserve">DA </w:t>
    </w:r>
    <w:r w:rsidR="00AC0180">
      <w:t>20</w:t>
    </w:r>
    <w:r>
      <w:t>-</w:t>
    </w:r>
    <w:r w:rsidR="00296F6E">
      <w:t>8</w:t>
    </w:r>
  </w:p>
  <w:p w:rsidR="00D25FB5" w14:paraId="2B012511"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65F7CA3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1C0AE16" w14:textId="4B686849">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 xml:space="preserve">DA </w:t>
    </w:r>
    <w:r w:rsidR="00AC0180">
      <w:rPr>
        <w:spacing w:val="-2"/>
      </w:rPr>
      <w:t>20</w:t>
    </w:r>
    <w:r>
      <w:rPr>
        <w:spacing w:val="-2"/>
      </w:rPr>
      <w:t>-</w:t>
    </w:r>
    <w:r w:rsidR="00001FA3">
      <w:rPr>
        <w:spacing w:val="-2"/>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5B285004"/>
    <w:multiLevelType w:val="hybridMultilevel"/>
    <w:tmpl w:val="EE70EA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1182925"/>
    <w:multiLevelType w:val="singleLevel"/>
    <w:tmpl w:val="FA3A3462"/>
    <w:lvl w:ilvl="0">
      <w:start w:val="1"/>
      <w:numFmt w:val="decimal"/>
      <w:pStyle w:val="ParaNum"/>
      <w:lvlText w:val="%1."/>
      <w:lvlJc w:val="left"/>
      <w:pPr>
        <w:tabs>
          <w:tab w:val="num" w:pos="1080"/>
        </w:tabs>
        <w:ind w:left="0" w:firstLine="720"/>
      </w:pPr>
      <w:rPr>
        <w:b w:val="0"/>
      </w:rPr>
    </w:lvl>
  </w:abstractNum>
  <w:abstractNum w:abstractNumId="3">
    <w:nsid w:val="7BB809F3"/>
    <w:multiLevelType w:val="hybridMultilevel"/>
    <w:tmpl w:val="D646BEC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B58"/>
    <w:rsid w:val="000006C7"/>
    <w:rsid w:val="00001FA3"/>
    <w:rsid w:val="00004AA9"/>
    <w:rsid w:val="000062FF"/>
    <w:rsid w:val="00015FAC"/>
    <w:rsid w:val="00016372"/>
    <w:rsid w:val="00017FE3"/>
    <w:rsid w:val="00023DF1"/>
    <w:rsid w:val="0002507A"/>
    <w:rsid w:val="00026913"/>
    <w:rsid w:val="00032266"/>
    <w:rsid w:val="00035411"/>
    <w:rsid w:val="000376D8"/>
    <w:rsid w:val="000431C6"/>
    <w:rsid w:val="0005031D"/>
    <w:rsid w:val="00054D75"/>
    <w:rsid w:val="0005689C"/>
    <w:rsid w:val="0006173D"/>
    <w:rsid w:val="00071693"/>
    <w:rsid w:val="00071AD9"/>
    <w:rsid w:val="00071B5A"/>
    <w:rsid w:val="00072F92"/>
    <w:rsid w:val="00073C5B"/>
    <w:rsid w:val="000748D0"/>
    <w:rsid w:val="00085A0A"/>
    <w:rsid w:val="000B730C"/>
    <w:rsid w:val="000D0117"/>
    <w:rsid w:val="000D2817"/>
    <w:rsid w:val="000D3DAC"/>
    <w:rsid w:val="000D41E4"/>
    <w:rsid w:val="000E2871"/>
    <w:rsid w:val="000E4BAC"/>
    <w:rsid w:val="000E7788"/>
    <w:rsid w:val="001066CE"/>
    <w:rsid w:val="00112EF4"/>
    <w:rsid w:val="0011455A"/>
    <w:rsid w:val="0012401D"/>
    <w:rsid w:val="00125E99"/>
    <w:rsid w:val="001310E3"/>
    <w:rsid w:val="00131C92"/>
    <w:rsid w:val="001352B3"/>
    <w:rsid w:val="001409C0"/>
    <w:rsid w:val="00142558"/>
    <w:rsid w:val="00144213"/>
    <w:rsid w:val="00145BEA"/>
    <w:rsid w:val="00147C41"/>
    <w:rsid w:val="001503E6"/>
    <w:rsid w:val="00152757"/>
    <w:rsid w:val="00154034"/>
    <w:rsid w:val="0015509B"/>
    <w:rsid w:val="00170486"/>
    <w:rsid w:val="00173F92"/>
    <w:rsid w:val="00174146"/>
    <w:rsid w:val="00177913"/>
    <w:rsid w:val="00182F91"/>
    <w:rsid w:val="00183DE0"/>
    <w:rsid w:val="00187558"/>
    <w:rsid w:val="00187D46"/>
    <w:rsid w:val="001A04CA"/>
    <w:rsid w:val="001A0629"/>
    <w:rsid w:val="001A1A4C"/>
    <w:rsid w:val="001A226A"/>
    <w:rsid w:val="001A7BC7"/>
    <w:rsid w:val="001A7BC8"/>
    <w:rsid w:val="001B3A00"/>
    <w:rsid w:val="001B4B42"/>
    <w:rsid w:val="001B7C18"/>
    <w:rsid w:val="001C0A01"/>
    <w:rsid w:val="001C59E1"/>
    <w:rsid w:val="001D77EC"/>
    <w:rsid w:val="001E0EB5"/>
    <w:rsid w:val="001E356C"/>
    <w:rsid w:val="001F7D03"/>
    <w:rsid w:val="0020246F"/>
    <w:rsid w:val="00202DAB"/>
    <w:rsid w:val="00205852"/>
    <w:rsid w:val="00230A13"/>
    <w:rsid w:val="002550D5"/>
    <w:rsid w:val="00261288"/>
    <w:rsid w:val="00265049"/>
    <w:rsid w:val="00274428"/>
    <w:rsid w:val="0028159D"/>
    <w:rsid w:val="00282941"/>
    <w:rsid w:val="00287029"/>
    <w:rsid w:val="00290D2E"/>
    <w:rsid w:val="0029269D"/>
    <w:rsid w:val="00296F6E"/>
    <w:rsid w:val="002A0365"/>
    <w:rsid w:val="002A7EE6"/>
    <w:rsid w:val="002C00F8"/>
    <w:rsid w:val="002D05AF"/>
    <w:rsid w:val="002D116D"/>
    <w:rsid w:val="002D19FD"/>
    <w:rsid w:val="002D2468"/>
    <w:rsid w:val="002F420C"/>
    <w:rsid w:val="00303926"/>
    <w:rsid w:val="00307F2D"/>
    <w:rsid w:val="003146C7"/>
    <w:rsid w:val="00320C3F"/>
    <w:rsid w:val="003358DA"/>
    <w:rsid w:val="00340649"/>
    <w:rsid w:val="0034505C"/>
    <w:rsid w:val="00355994"/>
    <w:rsid w:val="00360696"/>
    <w:rsid w:val="00360DAE"/>
    <w:rsid w:val="00363775"/>
    <w:rsid w:val="00365599"/>
    <w:rsid w:val="003728ED"/>
    <w:rsid w:val="003731DC"/>
    <w:rsid w:val="003802E0"/>
    <w:rsid w:val="00380376"/>
    <w:rsid w:val="003A516D"/>
    <w:rsid w:val="003B1C49"/>
    <w:rsid w:val="003B4E3A"/>
    <w:rsid w:val="003B5825"/>
    <w:rsid w:val="003C5745"/>
    <w:rsid w:val="003C7D13"/>
    <w:rsid w:val="003D157F"/>
    <w:rsid w:val="003D51A8"/>
    <w:rsid w:val="003E4412"/>
    <w:rsid w:val="003E7824"/>
    <w:rsid w:val="003E79CD"/>
    <w:rsid w:val="003F0F8B"/>
    <w:rsid w:val="003F78BC"/>
    <w:rsid w:val="00406B82"/>
    <w:rsid w:val="00410127"/>
    <w:rsid w:val="00412A75"/>
    <w:rsid w:val="004278FC"/>
    <w:rsid w:val="00432AD8"/>
    <w:rsid w:val="00451C3E"/>
    <w:rsid w:val="00455798"/>
    <w:rsid w:val="00464D23"/>
    <w:rsid w:val="00465502"/>
    <w:rsid w:val="00465DE8"/>
    <w:rsid w:val="0046679D"/>
    <w:rsid w:val="00470875"/>
    <w:rsid w:val="004777E3"/>
    <w:rsid w:val="004828C5"/>
    <w:rsid w:val="0048749A"/>
    <w:rsid w:val="00487638"/>
    <w:rsid w:val="0048765C"/>
    <w:rsid w:val="00490025"/>
    <w:rsid w:val="00490471"/>
    <w:rsid w:val="00497596"/>
    <w:rsid w:val="00497C83"/>
    <w:rsid w:val="004A2BBC"/>
    <w:rsid w:val="004A4351"/>
    <w:rsid w:val="004A7412"/>
    <w:rsid w:val="004C04EF"/>
    <w:rsid w:val="004C0EB7"/>
    <w:rsid w:val="004C6691"/>
    <w:rsid w:val="004C7BD5"/>
    <w:rsid w:val="004E1277"/>
    <w:rsid w:val="004E2BAC"/>
    <w:rsid w:val="004F40C8"/>
    <w:rsid w:val="00500438"/>
    <w:rsid w:val="0050132D"/>
    <w:rsid w:val="00502752"/>
    <w:rsid w:val="00504E7E"/>
    <w:rsid w:val="00524467"/>
    <w:rsid w:val="00524974"/>
    <w:rsid w:val="005267E3"/>
    <w:rsid w:val="005273E0"/>
    <w:rsid w:val="00550982"/>
    <w:rsid w:val="005533E1"/>
    <w:rsid w:val="00555C6F"/>
    <w:rsid w:val="0055614C"/>
    <w:rsid w:val="00556527"/>
    <w:rsid w:val="00565E93"/>
    <w:rsid w:val="00583E4E"/>
    <w:rsid w:val="005B01C1"/>
    <w:rsid w:val="005B3E3D"/>
    <w:rsid w:val="005B6304"/>
    <w:rsid w:val="005B63E9"/>
    <w:rsid w:val="005B7681"/>
    <w:rsid w:val="005C40D8"/>
    <w:rsid w:val="005C48E8"/>
    <w:rsid w:val="005C7258"/>
    <w:rsid w:val="005D1F42"/>
    <w:rsid w:val="005E6862"/>
    <w:rsid w:val="005F1FCF"/>
    <w:rsid w:val="00600661"/>
    <w:rsid w:val="00604D3A"/>
    <w:rsid w:val="00614220"/>
    <w:rsid w:val="00614886"/>
    <w:rsid w:val="00620AAF"/>
    <w:rsid w:val="00622448"/>
    <w:rsid w:val="00630074"/>
    <w:rsid w:val="0064471E"/>
    <w:rsid w:val="00645A7B"/>
    <w:rsid w:val="00652B4D"/>
    <w:rsid w:val="006532DD"/>
    <w:rsid w:val="00655447"/>
    <w:rsid w:val="00664EF6"/>
    <w:rsid w:val="00667A9E"/>
    <w:rsid w:val="006717C4"/>
    <w:rsid w:val="0067724A"/>
    <w:rsid w:val="00682E19"/>
    <w:rsid w:val="006A1591"/>
    <w:rsid w:val="006A3FE8"/>
    <w:rsid w:val="006B4C65"/>
    <w:rsid w:val="006C7C20"/>
    <w:rsid w:val="006D407B"/>
    <w:rsid w:val="006E4195"/>
    <w:rsid w:val="006E6CAF"/>
    <w:rsid w:val="006E760B"/>
    <w:rsid w:val="006F5C6F"/>
    <w:rsid w:val="006F7E28"/>
    <w:rsid w:val="00701210"/>
    <w:rsid w:val="00703D9A"/>
    <w:rsid w:val="007060C1"/>
    <w:rsid w:val="007132A7"/>
    <w:rsid w:val="007267A6"/>
    <w:rsid w:val="00733B58"/>
    <w:rsid w:val="007355EC"/>
    <w:rsid w:val="0073591F"/>
    <w:rsid w:val="007424D3"/>
    <w:rsid w:val="007474AF"/>
    <w:rsid w:val="00750C73"/>
    <w:rsid w:val="00750EE1"/>
    <w:rsid w:val="0075660E"/>
    <w:rsid w:val="00762E14"/>
    <w:rsid w:val="007717E4"/>
    <w:rsid w:val="00777FBE"/>
    <w:rsid w:val="00781D2E"/>
    <w:rsid w:val="0078359B"/>
    <w:rsid w:val="00791CD9"/>
    <w:rsid w:val="00793D07"/>
    <w:rsid w:val="00796FA2"/>
    <w:rsid w:val="007A1E13"/>
    <w:rsid w:val="007A5EEC"/>
    <w:rsid w:val="007B1D50"/>
    <w:rsid w:val="007B2138"/>
    <w:rsid w:val="007B474F"/>
    <w:rsid w:val="007B4974"/>
    <w:rsid w:val="007C33B4"/>
    <w:rsid w:val="007C7091"/>
    <w:rsid w:val="007C7110"/>
    <w:rsid w:val="007D7BC7"/>
    <w:rsid w:val="007E43DB"/>
    <w:rsid w:val="007F0B1B"/>
    <w:rsid w:val="007F495A"/>
    <w:rsid w:val="008030CC"/>
    <w:rsid w:val="00810B6F"/>
    <w:rsid w:val="0081363C"/>
    <w:rsid w:val="008245C4"/>
    <w:rsid w:val="00826C1A"/>
    <w:rsid w:val="00832EE9"/>
    <w:rsid w:val="00834CDE"/>
    <w:rsid w:val="00843F7F"/>
    <w:rsid w:val="00844D73"/>
    <w:rsid w:val="00856A79"/>
    <w:rsid w:val="0085760C"/>
    <w:rsid w:val="00863CF8"/>
    <w:rsid w:val="00880CB9"/>
    <w:rsid w:val="008819A3"/>
    <w:rsid w:val="008971AC"/>
    <w:rsid w:val="008A11C2"/>
    <w:rsid w:val="008A12B2"/>
    <w:rsid w:val="008B4A1B"/>
    <w:rsid w:val="008B6AFD"/>
    <w:rsid w:val="008B6C1F"/>
    <w:rsid w:val="008B6EEC"/>
    <w:rsid w:val="008B76A2"/>
    <w:rsid w:val="008C42E8"/>
    <w:rsid w:val="008C4A55"/>
    <w:rsid w:val="008C7BF3"/>
    <w:rsid w:val="008D3E8D"/>
    <w:rsid w:val="008D7700"/>
    <w:rsid w:val="008E0E60"/>
    <w:rsid w:val="008E3750"/>
    <w:rsid w:val="008F0794"/>
    <w:rsid w:val="009000C3"/>
    <w:rsid w:val="00917377"/>
    <w:rsid w:val="00927BBF"/>
    <w:rsid w:val="00931490"/>
    <w:rsid w:val="00944314"/>
    <w:rsid w:val="00944497"/>
    <w:rsid w:val="00954CBB"/>
    <w:rsid w:val="009605FE"/>
    <w:rsid w:val="009607DA"/>
    <w:rsid w:val="00971153"/>
    <w:rsid w:val="009A0775"/>
    <w:rsid w:val="009A21BE"/>
    <w:rsid w:val="009A2D97"/>
    <w:rsid w:val="009A6689"/>
    <w:rsid w:val="009B3F39"/>
    <w:rsid w:val="009C2AEE"/>
    <w:rsid w:val="009C365B"/>
    <w:rsid w:val="009D750B"/>
    <w:rsid w:val="009E2CF0"/>
    <w:rsid w:val="009F434C"/>
    <w:rsid w:val="009F7D09"/>
    <w:rsid w:val="00A00390"/>
    <w:rsid w:val="00A03FE4"/>
    <w:rsid w:val="00A1739D"/>
    <w:rsid w:val="00A178F5"/>
    <w:rsid w:val="00A17DB5"/>
    <w:rsid w:val="00A229D3"/>
    <w:rsid w:val="00A25A8B"/>
    <w:rsid w:val="00A26232"/>
    <w:rsid w:val="00A26BB0"/>
    <w:rsid w:val="00A26BBC"/>
    <w:rsid w:val="00A31557"/>
    <w:rsid w:val="00A32118"/>
    <w:rsid w:val="00A4697F"/>
    <w:rsid w:val="00A47EBD"/>
    <w:rsid w:val="00A52037"/>
    <w:rsid w:val="00A6049E"/>
    <w:rsid w:val="00A7227B"/>
    <w:rsid w:val="00A76D26"/>
    <w:rsid w:val="00A804C7"/>
    <w:rsid w:val="00A9031F"/>
    <w:rsid w:val="00A930EE"/>
    <w:rsid w:val="00A93F40"/>
    <w:rsid w:val="00A97AEB"/>
    <w:rsid w:val="00AA2147"/>
    <w:rsid w:val="00AA3D92"/>
    <w:rsid w:val="00AC0180"/>
    <w:rsid w:val="00AD309E"/>
    <w:rsid w:val="00AE23E5"/>
    <w:rsid w:val="00AE5F10"/>
    <w:rsid w:val="00AF46E1"/>
    <w:rsid w:val="00B00F5C"/>
    <w:rsid w:val="00B0217E"/>
    <w:rsid w:val="00B036F7"/>
    <w:rsid w:val="00B142C3"/>
    <w:rsid w:val="00B168B2"/>
    <w:rsid w:val="00B21DE2"/>
    <w:rsid w:val="00B24069"/>
    <w:rsid w:val="00B275D8"/>
    <w:rsid w:val="00B27870"/>
    <w:rsid w:val="00B332C9"/>
    <w:rsid w:val="00B37031"/>
    <w:rsid w:val="00B50D20"/>
    <w:rsid w:val="00B5154B"/>
    <w:rsid w:val="00B53E2E"/>
    <w:rsid w:val="00B5649C"/>
    <w:rsid w:val="00B73266"/>
    <w:rsid w:val="00B754AC"/>
    <w:rsid w:val="00B764CA"/>
    <w:rsid w:val="00B83786"/>
    <w:rsid w:val="00B84FB0"/>
    <w:rsid w:val="00B87212"/>
    <w:rsid w:val="00BA2F95"/>
    <w:rsid w:val="00BA498D"/>
    <w:rsid w:val="00BA65E4"/>
    <w:rsid w:val="00BA6A3E"/>
    <w:rsid w:val="00BA6FBF"/>
    <w:rsid w:val="00BB6679"/>
    <w:rsid w:val="00BC0882"/>
    <w:rsid w:val="00BC11A8"/>
    <w:rsid w:val="00BC2358"/>
    <w:rsid w:val="00BC4319"/>
    <w:rsid w:val="00BD4C8D"/>
    <w:rsid w:val="00BD683A"/>
    <w:rsid w:val="00BD76D6"/>
    <w:rsid w:val="00BE0155"/>
    <w:rsid w:val="00BE4E1E"/>
    <w:rsid w:val="00BE57E0"/>
    <w:rsid w:val="00BF0F53"/>
    <w:rsid w:val="00BF2D35"/>
    <w:rsid w:val="00BF6AC2"/>
    <w:rsid w:val="00C15B9B"/>
    <w:rsid w:val="00C1654B"/>
    <w:rsid w:val="00C1768D"/>
    <w:rsid w:val="00C23EFD"/>
    <w:rsid w:val="00C2593C"/>
    <w:rsid w:val="00C32155"/>
    <w:rsid w:val="00C35349"/>
    <w:rsid w:val="00C458F6"/>
    <w:rsid w:val="00C537DC"/>
    <w:rsid w:val="00C56447"/>
    <w:rsid w:val="00C7197B"/>
    <w:rsid w:val="00C84E79"/>
    <w:rsid w:val="00C8745D"/>
    <w:rsid w:val="00CA4DAD"/>
    <w:rsid w:val="00CB2235"/>
    <w:rsid w:val="00CB2F61"/>
    <w:rsid w:val="00CB50C8"/>
    <w:rsid w:val="00CB6606"/>
    <w:rsid w:val="00CB71D1"/>
    <w:rsid w:val="00CC02B3"/>
    <w:rsid w:val="00CC3DC0"/>
    <w:rsid w:val="00CD3B6A"/>
    <w:rsid w:val="00CD3FD4"/>
    <w:rsid w:val="00CE021F"/>
    <w:rsid w:val="00CE30AF"/>
    <w:rsid w:val="00CE44A7"/>
    <w:rsid w:val="00CE4BC6"/>
    <w:rsid w:val="00CE5A4A"/>
    <w:rsid w:val="00CF5DE7"/>
    <w:rsid w:val="00D05049"/>
    <w:rsid w:val="00D07FE4"/>
    <w:rsid w:val="00D113A8"/>
    <w:rsid w:val="00D22779"/>
    <w:rsid w:val="00D25FB5"/>
    <w:rsid w:val="00D26E2C"/>
    <w:rsid w:val="00D366AD"/>
    <w:rsid w:val="00D5610F"/>
    <w:rsid w:val="00D60396"/>
    <w:rsid w:val="00D641D3"/>
    <w:rsid w:val="00D71F6E"/>
    <w:rsid w:val="00D73E23"/>
    <w:rsid w:val="00D74307"/>
    <w:rsid w:val="00D77805"/>
    <w:rsid w:val="00D82EB5"/>
    <w:rsid w:val="00D87938"/>
    <w:rsid w:val="00D91FEC"/>
    <w:rsid w:val="00D97717"/>
    <w:rsid w:val="00DB1E16"/>
    <w:rsid w:val="00DB7C24"/>
    <w:rsid w:val="00DC66CE"/>
    <w:rsid w:val="00DD0CA8"/>
    <w:rsid w:val="00DD45A0"/>
    <w:rsid w:val="00DD4D5F"/>
    <w:rsid w:val="00DF690D"/>
    <w:rsid w:val="00E00835"/>
    <w:rsid w:val="00E0748A"/>
    <w:rsid w:val="00E1206B"/>
    <w:rsid w:val="00E147DA"/>
    <w:rsid w:val="00E31799"/>
    <w:rsid w:val="00E34018"/>
    <w:rsid w:val="00E415D5"/>
    <w:rsid w:val="00E42EE1"/>
    <w:rsid w:val="00E46441"/>
    <w:rsid w:val="00E57D24"/>
    <w:rsid w:val="00E62F7B"/>
    <w:rsid w:val="00E67683"/>
    <w:rsid w:val="00E735D1"/>
    <w:rsid w:val="00E876A6"/>
    <w:rsid w:val="00E90AF0"/>
    <w:rsid w:val="00EA0C42"/>
    <w:rsid w:val="00EA1A59"/>
    <w:rsid w:val="00EA6206"/>
    <w:rsid w:val="00EB02AE"/>
    <w:rsid w:val="00EB28D8"/>
    <w:rsid w:val="00EC014E"/>
    <w:rsid w:val="00ED2B03"/>
    <w:rsid w:val="00ED732B"/>
    <w:rsid w:val="00ED795A"/>
    <w:rsid w:val="00ED7FCC"/>
    <w:rsid w:val="00EE02AC"/>
    <w:rsid w:val="00EF7312"/>
    <w:rsid w:val="00F028D2"/>
    <w:rsid w:val="00F0676C"/>
    <w:rsid w:val="00F22511"/>
    <w:rsid w:val="00F30ED5"/>
    <w:rsid w:val="00F34831"/>
    <w:rsid w:val="00F37126"/>
    <w:rsid w:val="00F40199"/>
    <w:rsid w:val="00F53A58"/>
    <w:rsid w:val="00F64A2B"/>
    <w:rsid w:val="00F64CAF"/>
    <w:rsid w:val="00F82BE0"/>
    <w:rsid w:val="00F85056"/>
    <w:rsid w:val="00F872AB"/>
    <w:rsid w:val="00F971E6"/>
    <w:rsid w:val="00FA0BA2"/>
    <w:rsid w:val="00FA1122"/>
    <w:rsid w:val="00FA6B51"/>
    <w:rsid w:val="00FB64C6"/>
    <w:rsid w:val="00FB669E"/>
    <w:rsid w:val="00FC7821"/>
    <w:rsid w:val="00FD02F0"/>
    <w:rsid w:val="00FD08CB"/>
    <w:rsid w:val="00FE23A4"/>
    <w:rsid w:val="00FE7BB7"/>
    <w:rsid w:val="00FF1157"/>
    <w:rsid w:val="00FF1C64"/>
    <w:rsid w:val="4439A41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2265A526-A3F8-4512-AA1D-C701653FF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B58"/>
    <w:pPr>
      <w:spacing w:after="0" w:line="240" w:lineRule="auto"/>
    </w:pPr>
    <w:rPr>
      <w:rFonts w:ascii="Times New Roman" w:eastAsia="Times New Roman" w:hAnsi="Times New Roman" w:cs="Times New Roman"/>
      <w:szCs w:val="20"/>
    </w:rPr>
  </w:style>
  <w:style w:type="paragraph" w:styleId="Heading1">
    <w:name w:val="heading 1"/>
    <w:basedOn w:val="Normal"/>
    <w:next w:val="ParaNum"/>
    <w:link w:val="Heading1Char"/>
    <w:qFormat/>
    <w:rsid w:val="00733B5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33B58"/>
    <w:pPr>
      <w:keepNext/>
      <w:numPr>
        <w:ilvl w:val="1"/>
        <w:numId w:val="3"/>
      </w:numPr>
      <w:spacing w:after="120"/>
      <w:outlineLvl w:val="1"/>
    </w:pPr>
    <w:rPr>
      <w:b/>
    </w:rPr>
  </w:style>
  <w:style w:type="paragraph" w:styleId="Heading3">
    <w:name w:val="heading 3"/>
    <w:basedOn w:val="Normal"/>
    <w:next w:val="ParaNum"/>
    <w:link w:val="Heading3Char"/>
    <w:qFormat/>
    <w:rsid w:val="00733B58"/>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733B58"/>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733B5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733B58"/>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733B58"/>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733B5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733B5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3B58"/>
    <w:rPr>
      <w:rFonts w:ascii="Times New Roman Bold" w:eastAsia="Times New Roman" w:hAnsi="Times New Roman Bold" w:cs="Times New Roman"/>
      <w:b/>
      <w:caps/>
      <w:szCs w:val="20"/>
    </w:rPr>
  </w:style>
  <w:style w:type="character" w:customStyle="1" w:styleId="Heading2Char">
    <w:name w:val="Heading 2 Char"/>
    <w:basedOn w:val="DefaultParagraphFont"/>
    <w:link w:val="Heading2"/>
    <w:rsid w:val="00733B58"/>
    <w:rPr>
      <w:rFonts w:ascii="Times New Roman" w:eastAsia="Times New Roman" w:hAnsi="Times New Roman" w:cs="Times New Roman"/>
      <w:b/>
      <w:szCs w:val="20"/>
    </w:rPr>
  </w:style>
  <w:style w:type="character" w:customStyle="1" w:styleId="Heading3Char">
    <w:name w:val="Heading 3 Char"/>
    <w:basedOn w:val="DefaultParagraphFont"/>
    <w:link w:val="Heading3"/>
    <w:rsid w:val="00733B58"/>
    <w:rPr>
      <w:rFonts w:ascii="Times New Roman" w:eastAsia="Times New Roman" w:hAnsi="Times New Roman" w:cs="Times New Roman"/>
      <w:b/>
      <w:szCs w:val="20"/>
    </w:rPr>
  </w:style>
  <w:style w:type="character" w:customStyle="1" w:styleId="Heading4Char">
    <w:name w:val="Heading 4 Char"/>
    <w:basedOn w:val="DefaultParagraphFont"/>
    <w:link w:val="Heading4"/>
    <w:rsid w:val="00733B58"/>
    <w:rPr>
      <w:rFonts w:ascii="Times New Roman" w:eastAsia="Times New Roman" w:hAnsi="Times New Roman" w:cs="Times New Roman"/>
      <w:b/>
      <w:szCs w:val="20"/>
    </w:rPr>
  </w:style>
  <w:style w:type="character" w:customStyle="1" w:styleId="Heading5Char">
    <w:name w:val="Heading 5 Char"/>
    <w:basedOn w:val="DefaultParagraphFont"/>
    <w:link w:val="Heading5"/>
    <w:rsid w:val="00733B58"/>
    <w:rPr>
      <w:rFonts w:ascii="Times New Roman" w:eastAsia="Times New Roman" w:hAnsi="Times New Roman" w:cs="Times New Roman"/>
      <w:b/>
      <w:szCs w:val="20"/>
    </w:rPr>
  </w:style>
  <w:style w:type="character" w:customStyle="1" w:styleId="Heading6Char">
    <w:name w:val="Heading 6 Char"/>
    <w:basedOn w:val="DefaultParagraphFont"/>
    <w:link w:val="Heading6"/>
    <w:rsid w:val="00733B58"/>
    <w:rPr>
      <w:rFonts w:ascii="Times New Roman" w:eastAsia="Times New Roman" w:hAnsi="Times New Roman" w:cs="Times New Roman"/>
      <w:b/>
      <w:szCs w:val="20"/>
    </w:rPr>
  </w:style>
  <w:style w:type="character" w:customStyle="1" w:styleId="Heading7Char">
    <w:name w:val="Heading 7 Char"/>
    <w:basedOn w:val="DefaultParagraphFont"/>
    <w:link w:val="Heading7"/>
    <w:rsid w:val="00733B58"/>
    <w:rPr>
      <w:rFonts w:ascii="Times New Roman" w:eastAsia="Times New Roman" w:hAnsi="Times New Roman" w:cs="Times New Roman"/>
      <w:b/>
      <w:szCs w:val="20"/>
    </w:rPr>
  </w:style>
  <w:style w:type="character" w:customStyle="1" w:styleId="Heading8Char">
    <w:name w:val="Heading 8 Char"/>
    <w:basedOn w:val="DefaultParagraphFont"/>
    <w:link w:val="Heading8"/>
    <w:rsid w:val="00733B58"/>
    <w:rPr>
      <w:rFonts w:ascii="Times New Roman" w:eastAsia="Times New Roman" w:hAnsi="Times New Roman" w:cs="Times New Roman"/>
      <w:b/>
      <w:szCs w:val="20"/>
    </w:rPr>
  </w:style>
  <w:style w:type="character" w:customStyle="1" w:styleId="Heading9Char">
    <w:name w:val="Heading 9 Char"/>
    <w:basedOn w:val="DefaultParagraphFont"/>
    <w:link w:val="Heading9"/>
    <w:rsid w:val="00733B58"/>
    <w:rPr>
      <w:rFonts w:ascii="Times New Roman" w:eastAsia="Times New Roman" w:hAnsi="Times New Roman" w:cs="Times New Roman"/>
      <w:b/>
      <w:szCs w:val="20"/>
    </w:rPr>
  </w:style>
  <w:style w:type="paragraph" w:customStyle="1" w:styleId="ParaNum">
    <w:name w:val="ParaNum"/>
    <w:basedOn w:val="Normal"/>
    <w:link w:val="ParaNumChar"/>
    <w:uiPriority w:val="99"/>
    <w:rsid w:val="00733B58"/>
    <w:pPr>
      <w:numPr>
        <w:numId w:val="2"/>
      </w:numPr>
      <w:tabs>
        <w:tab w:val="clear" w:pos="1080"/>
        <w:tab w:val="num" w:pos="1440"/>
      </w:tabs>
      <w:spacing w:after="120"/>
    </w:p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fn"/>
    <w:link w:val="FootnoteTextChar"/>
    <w:rsid w:val="00733B58"/>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FOOTNOTE Char,Footnote Text Char Char Char,Footnote Text Char Char Char Char Char,Footnote Text Char1 Char Char Char,Footnote Text Char1 Char Char Char Char Char,Footnote Text Char2 Char,Footnote text Char,fn Char"/>
    <w:basedOn w:val="DefaultParagraphFont"/>
    <w:link w:val="FootnoteText"/>
    <w:rsid w:val="00733B58"/>
    <w:rPr>
      <w:rFonts w:ascii="Times New Roman" w:eastAsia="Times New Roman" w:hAnsi="Times New Roman" w:cs="Times New Roman"/>
      <w:sz w:val="20"/>
      <w:szCs w:val="20"/>
    </w:rPr>
  </w:style>
  <w:style w:type="character" w:styleId="FootnoteReference">
    <w:name w:val="footnote reference"/>
    <w:aliases w:val="(NECG) Footnote Reference,Appel note de bas de p,Style 12,Style 124,Style 13,Style 3,fr,o"/>
    <w:rsid w:val="00733B58"/>
    <w:rPr>
      <w:rFonts w:ascii="Times New Roman" w:hAnsi="Times New Roman"/>
      <w:dstrike w:val="0"/>
      <w:color w:val="auto"/>
      <w:sz w:val="20"/>
      <w:vertAlign w:val="superscript"/>
    </w:rPr>
  </w:style>
  <w:style w:type="paragraph" w:styleId="TOAHeading">
    <w:name w:val="toa heading"/>
    <w:basedOn w:val="Normal"/>
    <w:next w:val="Normal"/>
    <w:semiHidden/>
    <w:rsid w:val="00733B58"/>
    <w:pPr>
      <w:tabs>
        <w:tab w:val="right" w:pos="9360"/>
      </w:tabs>
      <w:suppressAutoHyphens/>
    </w:pPr>
  </w:style>
  <w:style w:type="paragraph" w:styleId="Header">
    <w:name w:val="header"/>
    <w:basedOn w:val="Normal"/>
    <w:link w:val="HeaderChar"/>
    <w:autoRedefine/>
    <w:rsid w:val="00733B58"/>
    <w:pPr>
      <w:tabs>
        <w:tab w:val="center" w:pos="4680"/>
        <w:tab w:val="right" w:pos="9360"/>
      </w:tabs>
    </w:pPr>
    <w:rPr>
      <w:b/>
    </w:rPr>
  </w:style>
  <w:style w:type="character" w:customStyle="1" w:styleId="HeaderChar">
    <w:name w:val="Header Char"/>
    <w:basedOn w:val="DefaultParagraphFont"/>
    <w:link w:val="Header"/>
    <w:rsid w:val="00733B58"/>
    <w:rPr>
      <w:rFonts w:ascii="Times New Roman" w:eastAsia="Times New Roman" w:hAnsi="Times New Roman" w:cs="Times New Roman"/>
      <w:b/>
      <w:szCs w:val="20"/>
    </w:rPr>
  </w:style>
  <w:style w:type="paragraph" w:styleId="Footer">
    <w:name w:val="footer"/>
    <w:basedOn w:val="Normal"/>
    <w:link w:val="FooterChar"/>
    <w:rsid w:val="00733B58"/>
    <w:pPr>
      <w:tabs>
        <w:tab w:val="center" w:pos="4320"/>
        <w:tab w:val="right" w:pos="8640"/>
      </w:tabs>
    </w:pPr>
  </w:style>
  <w:style w:type="character" w:customStyle="1" w:styleId="FooterChar">
    <w:name w:val="Footer Char"/>
    <w:basedOn w:val="DefaultParagraphFont"/>
    <w:link w:val="Footer"/>
    <w:rsid w:val="00733B58"/>
    <w:rPr>
      <w:rFonts w:ascii="Times New Roman" w:eastAsia="Times New Roman" w:hAnsi="Times New Roman" w:cs="Times New Roman"/>
      <w:szCs w:val="20"/>
    </w:rPr>
  </w:style>
  <w:style w:type="paragraph" w:customStyle="1" w:styleId="StyleBoldCentered">
    <w:name w:val="Style Bold Centered"/>
    <w:basedOn w:val="Normal"/>
    <w:rsid w:val="00733B58"/>
    <w:pPr>
      <w:jc w:val="center"/>
    </w:pPr>
    <w:rPr>
      <w:rFonts w:ascii="Times New Roman Bold" w:hAnsi="Times New Roman Bold"/>
      <w:b/>
      <w:bCs/>
      <w:caps/>
      <w:szCs w:val="22"/>
    </w:rPr>
  </w:style>
  <w:style w:type="paragraph" w:styleId="BalloonText">
    <w:name w:val="Balloon Text"/>
    <w:basedOn w:val="Normal"/>
    <w:link w:val="BalloonTextChar"/>
    <w:uiPriority w:val="99"/>
    <w:semiHidden/>
    <w:unhideWhenUsed/>
    <w:rsid w:val="00451C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C3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74307"/>
    <w:rPr>
      <w:sz w:val="16"/>
      <w:szCs w:val="16"/>
    </w:rPr>
  </w:style>
  <w:style w:type="paragraph" w:styleId="CommentText">
    <w:name w:val="annotation text"/>
    <w:basedOn w:val="Normal"/>
    <w:link w:val="CommentTextChar"/>
    <w:uiPriority w:val="99"/>
    <w:semiHidden/>
    <w:unhideWhenUsed/>
    <w:rsid w:val="00D74307"/>
    <w:rPr>
      <w:sz w:val="20"/>
    </w:rPr>
  </w:style>
  <w:style w:type="character" w:customStyle="1" w:styleId="CommentTextChar">
    <w:name w:val="Comment Text Char"/>
    <w:basedOn w:val="DefaultParagraphFont"/>
    <w:link w:val="CommentText"/>
    <w:uiPriority w:val="99"/>
    <w:semiHidden/>
    <w:rsid w:val="00D743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307"/>
    <w:rPr>
      <w:b/>
      <w:bCs/>
    </w:rPr>
  </w:style>
  <w:style w:type="character" w:customStyle="1" w:styleId="CommentSubjectChar">
    <w:name w:val="Comment Subject Char"/>
    <w:basedOn w:val="CommentTextChar"/>
    <w:link w:val="CommentSubject"/>
    <w:uiPriority w:val="99"/>
    <w:semiHidden/>
    <w:rsid w:val="00D74307"/>
    <w:rPr>
      <w:rFonts w:ascii="Times New Roman" w:eastAsia="Times New Roman" w:hAnsi="Times New Roman" w:cs="Times New Roman"/>
      <w:b/>
      <w:bCs/>
      <w:sz w:val="20"/>
      <w:szCs w:val="20"/>
    </w:rPr>
  </w:style>
  <w:style w:type="paragraph" w:styleId="ListParagraph">
    <w:name w:val="List Paragraph"/>
    <w:basedOn w:val="Normal"/>
    <w:uiPriority w:val="34"/>
    <w:qFormat/>
    <w:rsid w:val="004E1277"/>
    <w:pPr>
      <w:ind w:left="720"/>
      <w:contextualSpacing/>
    </w:pPr>
  </w:style>
  <w:style w:type="paragraph" w:styleId="Revision">
    <w:name w:val="Revision"/>
    <w:hidden/>
    <w:uiPriority w:val="99"/>
    <w:semiHidden/>
    <w:rsid w:val="001B4B42"/>
    <w:pPr>
      <w:spacing w:after="0" w:line="240" w:lineRule="auto"/>
    </w:pPr>
    <w:rPr>
      <w:rFonts w:ascii="Times New Roman" w:eastAsia="Times New Roman" w:hAnsi="Times New Roman" w:cs="Times New Roman"/>
      <w:szCs w:val="20"/>
    </w:rPr>
  </w:style>
  <w:style w:type="character" w:customStyle="1" w:styleId="ParaNumChar">
    <w:name w:val="ParaNum Char"/>
    <w:basedOn w:val="DefaultParagraphFont"/>
    <w:link w:val="ParaNum"/>
    <w:uiPriority w:val="99"/>
    <w:locked/>
    <w:rsid w:val="00BE0155"/>
    <w:rPr>
      <w:rFonts w:ascii="Times New Roman" w:eastAsia="Times New Roman" w:hAnsi="Times New Roman" w:cs="Times New Roman"/>
      <w:szCs w:val="20"/>
    </w:rPr>
  </w:style>
  <w:style w:type="character" w:styleId="Hyperlink">
    <w:name w:val="Hyperlink"/>
    <w:basedOn w:val="DefaultParagraphFont"/>
    <w:uiPriority w:val="99"/>
    <w:unhideWhenUsed/>
    <w:rsid w:val="0085760C"/>
    <w:rPr>
      <w:color w:val="0563C1" w:themeColor="hyperlink"/>
      <w:u w:val="single"/>
    </w:rPr>
  </w:style>
  <w:style w:type="character" w:customStyle="1" w:styleId="UnresolvedMention1">
    <w:name w:val="Unresolved Mention1"/>
    <w:basedOn w:val="DefaultParagraphFont"/>
    <w:uiPriority w:val="99"/>
    <w:semiHidden/>
    <w:unhideWhenUsed/>
    <w:rsid w:val="0085760C"/>
    <w:rPr>
      <w:color w:val="605E5C"/>
      <w:shd w:val="clear" w:color="auto" w:fill="E1DFDD"/>
    </w:rPr>
  </w:style>
  <w:style w:type="character" w:customStyle="1" w:styleId="UnresolvedMention2">
    <w:name w:val="Unresolved Mention2"/>
    <w:basedOn w:val="DefaultParagraphFont"/>
    <w:uiPriority w:val="99"/>
    <w:semiHidden/>
    <w:unhideWhenUsed/>
    <w:rsid w:val="008C4A55"/>
    <w:rPr>
      <w:color w:val="605E5C"/>
      <w:shd w:val="clear" w:color="auto" w:fill="E1DFDD"/>
    </w:rPr>
  </w:style>
  <w:style w:type="character" w:customStyle="1" w:styleId="UnresolvedMention">
    <w:name w:val="Unresolved Mention"/>
    <w:basedOn w:val="DefaultParagraphFont"/>
    <w:uiPriority w:val="99"/>
    <w:semiHidden/>
    <w:unhideWhenUsed/>
    <w:rsid w:val="000748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1.next.westlaw.com/Link/Document/FullText?findType=Y&amp;serNum=2008257737&amp;pubNum=0004493&amp;originatingDoc=I459ba2c5066d11e99a6efc60af1b5d9c&amp;refType=CA&amp;originationContext=document&amp;transitionType=DocumentItem&amp;contextData=(sc.Sear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