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D173B" w:rsidRPr="008A4BCD" w14:paraId="211D130C" w14:textId="059CEF5F">
      <w:pPr>
        <w:pStyle w:val="Header"/>
        <w:tabs>
          <w:tab w:val="clear" w:pos="4320"/>
        </w:tabs>
        <w:jc w:val="center"/>
        <w:rPr>
          <w:color w:val="008000"/>
          <w:sz w:val="22"/>
        </w:rPr>
      </w:pPr>
      <w:r>
        <w:rPr>
          <w:color w:val="008000"/>
          <w:sz w:val="22"/>
        </w:rPr>
        <w:t xml:space="preserve"> </w:t>
      </w:r>
      <w:r w:rsidR="008E0A04">
        <w:rPr>
          <w:color w:val="008000"/>
          <w:sz w:val="22"/>
        </w:rPr>
        <w:t xml:space="preserve"> </w:t>
      </w:r>
      <w:bookmarkStart w:id="0" w:name="_GoBack"/>
      <w:bookmarkEnd w:id="0"/>
    </w:p>
    <w:p w:rsidR="000D013A" w:rsidRPr="008E3521" w:rsidP="000D013A" w14:paraId="73707E49" w14:textId="792C2E8A">
      <w:pPr>
        <w:autoSpaceDE w:val="0"/>
        <w:autoSpaceDN w:val="0"/>
        <w:adjustRightInd w:val="0"/>
        <w:jc w:val="right"/>
        <w:rPr>
          <w:rFonts w:eastAsia="TimesNewRoman"/>
          <w:b/>
          <w:bCs/>
          <w:color w:val="000000"/>
          <w:sz w:val="24"/>
          <w:szCs w:val="24"/>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8E3521" w:rsidR="00504CF0">
        <w:rPr>
          <w:rFonts w:eastAsia="TimesNewRoman"/>
          <w:b/>
          <w:bCs/>
          <w:color w:val="000000"/>
          <w:sz w:val="24"/>
          <w:szCs w:val="24"/>
        </w:rPr>
        <w:t xml:space="preserve">DA </w:t>
      </w:r>
      <w:r w:rsidR="00522DBE">
        <w:rPr>
          <w:rFonts w:eastAsia="TimesNewRoman"/>
          <w:b/>
          <w:bCs/>
          <w:color w:val="000000"/>
          <w:sz w:val="24"/>
          <w:szCs w:val="24"/>
        </w:rPr>
        <w:t>20</w:t>
      </w:r>
      <w:r w:rsidRPr="008E3521" w:rsidR="00504CF0">
        <w:rPr>
          <w:rFonts w:eastAsia="TimesNewRoman"/>
          <w:b/>
          <w:bCs/>
          <w:color w:val="000000"/>
          <w:sz w:val="24"/>
          <w:szCs w:val="24"/>
        </w:rPr>
        <w:t>-</w:t>
      </w:r>
      <w:r w:rsidR="006339B7">
        <w:rPr>
          <w:rFonts w:eastAsia="TimesNewRoman"/>
          <w:b/>
          <w:bCs/>
          <w:color w:val="000000"/>
          <w:sz w:val="24"/>
          <w:szCs w:val="24"/>
        </w:rPr>
        <w:t>901</w:t>
      </w:r>
    </w:p>
    <w:p w:rsidR="000D013A" w:rsidRPr="000F4431" w14:paraId="3DA9A8EF" w14:textId="77777777">
      <w:pPr>
        <w:jc w:val="center"/>
        <w:rPr>
          <w:sz w:val="22"/>
          <w:szCs w:val="22"/>
        </w:rPr>
      </w:pPr>
    </w:p>
    <w:p w:rsidR="00B65A1F" w:rsidRPr="00F13B3B" w:rsidP="00B65A1F" w14:paraId="755B7581" w14:textId="77777777">
      <w:pPr>
        <w:jc w:val="center"/>
        <w:rPr>
          <w:b/>
          <w:sz w:val="28"/>
          <w:szCs w:val="28"/>
        </w:rPr>
      </w:pPr>
      <w:r w:rsidRPr="00F13B3B">
        <w:rPr>
          <w:b/>
          <w:sz w:val="28"/>
          <w:szCs w:val="28"/>
        </w:rPr>
        <w:t>SMALL ENTITY COMPLIANCE GUIDE</w:t>
      </w:r>
    </w:p>
    <w:p w:rsidR="004B1019" w:rsidP="00B65A1F" w14:paraId="7DACE3C4" w14:textId="77777777">
      <w:pPr>
        <w:jc w:val="center"/>
        <w:rPr>
          <w:b/>
          <w:sz w:val="22"/>
          <w:szCs w:val="22"/>
        </w:rPr>
      </w:pPr>
    </w:p>
    <w:p w:rsidR="00B65A1F" w:rsidP="00B65A1F" w14:paraId="50B7C5BB" w14:textId="597F24A0">
      <w:pPr>
        <w:jc w:val="center"/>
        <w:rPr>
          <w:b/>
          <w:sz w:val="22"/>
          <w:szCs w:val="22"/>
        </w:rPr>
      </w:pPr>
      <w:bookmarkStart w:id="1" w:name="_Hlk48736842"/>
      <w:r w:rsidRPr="00F13B3B">
        <w:rPr>
          <w:b/>
          <w:sz w:val="22"/>
          <w:szCs w:val="22"/>
        </w:rPr>
        <w:t xml:space="preserve">Amendment of Part </w:t>
      </w:r>
      <w:r>
        <w:rPr>
          <w:b/>
          <w:sz w:val="22"/>
          <w:szCs w:val="22"/>
        </w:rPr>
        <w:t>11</w:t>
      </w:r>
      <w:r w:rsidRPr="00F13B3B">
        <w:rPr>
          <w:b/>
          <w:sz w:val="22"/>
          <w:szCs w:val="22"/>
        </w:rPr>
        <w:t xml:space="preserve"> of the Commission’s Rules </w:t>
      </w:r>
    </w:p>
    <w:p w:rsidR="004B1019" w:rsidRPr="00F13B3B" w:rsidP="00B65A1F" w14:paraId="6EB9DF14" w14:textId="302D6028">
      <w:pPr>
        <w:jc w:val="center"/>
        <w:rPr>
          <w:b/>
          <w:sz w:val="22"/>
          <w:szCs w:val="22"/>
        </w:rPr>
      </w:pPr>
      <w:r w:rsidRPr="00F13B3B">
        <w:rPr>
          <w:b/>
          <w:sz w:val="22"/>
          <w:szCs w:val="22"/>
        </w:rPr>
        <w:t>Regarding the Emergency Alert System</w:t>
      </w:r>
    </w:p>
    <w:bookmarkEnd w:id="1"/>
    <w:p w:rsidR="004B1019" w:rsidRPr="00F13B3B" w:rsidP="00B65A1F" w14:paraId="5792A76A" w14:textId="57CE9F6B">
      <w:pPr>
        <w:jc w:val="center"/>
        <w:rPr>
          <w:b/>
          <w:sz w:val="22"/>
          <w:szCs w:val="22"/>
        </w:rPr>
      </w:pPr>
      <w:r w:rsidRPr="00F13B3B">
        <w:rPr>
          <w:b/>
          <w:sz w:val="22"/>
          <w:szCs w:val="22"/>
        </w:rPr>
        <w:t xml:space="preserve">FCC </w:t>
      </w:r>
      <w:r>
        <w:rPr>
          <w:b/>
          <w:sz w:val="22"/>
          <w:szCs w:val="22"/>
        </w:rPr>
        <w:t>19-57</w:t>
      </w:r>
    </w:p>
    <w:p w:rsidR="00B65A1F" w:rsidRPr="00F13B3B" w:rsidP="00B65A1F" w14:paraId="644ECF9E" w14:textId="77777777">
      <w:pPr>
        <w:jc w:val="center"/>
        <w:rPr>
          <w:b/>
          <w:sz w:val="22"/>
          <w:szCs w:val="22"/>
        </w:rPr>
      </w:pPr>
      <w:r>
        <w:rPr>
          <w:b/>
          <w:sz w:val="22"/>
          <w:szCs w:val="22"/>
        </w:rPr>
        <w:t>EB Docket No. 04-296</w:t>
      </w:r>
    </w:p>
    <w:p w:rsidR="00B65A1F" w:rsidRPr="00F13B3B" w:rsidP="00B65A1F" w14:paraId="3E7FD357" w14:textId="77777777">
      <w:pPr>
        <w:jc w:val="center"/>
        <w:rPr>
          <w:b/>
          <w:sz w:val="22"/>
          <w:szCs w:val="22"/>
        </w:rPr>
      </w:pPr>
      <w:r>
        <w:rPr>
          <w:b/>
          <w:sz w:val="22"/>
          <w:szCs w:val="22"/>
        </w:rPr>
        <w:t>PS Docket No. 15-94</w:t>
      </w:r>
    </w:p>
    <w:p w:rsidR="004D173B" w:rsidRPr="000513F1" w:rsidP="00B65A1F" w14:paraId="1D8E48E6" w14:textId="40BD132B">
      <w:pPr>
        <w:ind w:left="1080"/>
        <w:rPr>
          <w:sz w:val="22"/>
          <w:szCs w:val="22"/>
          <w:highlight w:val="yellow"/>
        </w:rPr>
      </w:pPr>
      <w:r>
        <w:rPr>
          <w:b/>
          <w:sz w:val="22"/>
          <w:szCs w:val="22"/>
        </w:rPr>
        <w:t xml:space="preserve">                                       </w:t>
      </w:r>
      <w:r w:rsidRPr="00F13B3B">
        <w:rPr>
          <w:b/>
          <w:sz w:val="22"/>
          <w:szCs w:val="22"/>
        </w:rPr>
        <w:t>Released</w:t>
      </w:r>
      <w:r w:rsidR="00732DA0">
        <w:rPr>
          <w:b/>
          <w:sz w:val="22"/>
          <w:szCs w:val="22"/>
        </w:rPr>
        <w:t xml:space="preserve"> </w:t>
      </w:r>
      <w:r w:rsidR="004B1019">
        <w:rPr>
          <w:b/>
          <w:sz w:val="22"/>
          <w:szCs w:val="22"/>
        </w:rPr>
        <w:t>June 27</w:t>
      </w:r>
      <w:r w:rsidRPr="00F13B3B">
        <w:rPr>
          <w:b/>
          <w:sz w:val="22"/>
          <w:szCs w:val="22"/>
        </w:rPr>
        <w:t>, 20</w:t>
      </w:r>
      <w:r w:rsidR="004B1019">
        <w:rPr>
          <w:b/>
          <w:sz w:val="22"/>
          <w:szCs w:val="22"/>
        </w:rPr>
        <w:t>19</w:t>
      </w:r>
    </w:p>
    <w:p w:rsidR="00B65A1F" w:rsidP="00B65A1F" w14:paraId="5679982D" w14:textId="77777777">
      <w:pPr>
        <w:ind w:left="270"/>
        <w:jc w:val="both"/>
        <w:rPr>
          <w:b/>
          <w:bCs/>
          <w:sz w:val="22"/>
          <w:szCs w:val="22"/>
        </w:rPr>
      </w:pPr>
    </w:p>
    <w:p w:rsidR="007A259C" w:rsidRPr="00D23CB3" w:rsidP="00522DBE" w14:paraId="768F5354" w14:textId="57B6744A">
      <w:pPr>
        <w:ind w:left="270"/>
        <w:jc w:val="both"/>
        <w:rPr>
          <w:b/>
          <w:bCs/>
          <w:sz w:val="22"/>
          <w:szCs w:val="22"/>
        </w:rPr>
      </w:pPr>
      <w:r w:rsidRPr="00D23CB3">
        <w:rPr>
          <w:b/>
          <w:bCs/>
          <w:sz w:val="22"/>
          <w:szCs w:val="22"/>
        </w:rPr>
        <w:t>This Guide is prepared in accordance with the requirements of Section 212 of the Small Business Regulatory Enforcement Fairness Act of 1996.  It is intended to help small entities—small businesses, small organizations (non-profits),</w:t>
      </w:r>
      <w:r w:rsidRPr="00AB41D4">
        <w:rPr>
          <w:b/>
          <w:bCs/>
          <w:sz w:val="22"/>
          <w:szCs w:val="22"/>
        </w:rPr>
        <w:t xml:space="preserve"> and small governmental jurisdictions—comply with the </w:t>
      </w:r>
      <w:r w:rsidRPr="00AB41D4" w:rsidR="00281F10">
        <w:rPr>
          <w:b/>
          <w:bCs/>
          <w:sz w:val="22"/>
          <w:szCs w:val="22"/>
        </w:rPr>
        <w:t xml:space="preserve">revised </w:t>
      </w:r>
      <w:r w:rsidRPr="00AB41D4">
        <w:rPr>
          <w:b/>
          <w:bCs/>
          <w:sz w:val="22"/>
          <w:szCs w:val="22"/>
        </w:rPr>
        <w:t xml:space="preserve">rules adopted in the above-referenced </w:t>
      </w:r>
      <w:r w:rsidRPr="00522DBE" w:rsidR="005F4F44">
        <w:rPr>
          <w:b/>
          <w:sz w:val="22"/>
          <w:szCs w:val="22"/>
        </w:rPr>
        <w:t xml:space="preserve">Federal Communications Commission (FCC or Commission) </w:t>
      </w:r>
      <w:r w:rsidRPr="00D23CB3">
        <w:rPr>
          <w:b/>
          <w:bCs/>
          <w:sz w:val="22"/>
          <w:szCs w:val="22"/>
        </w:rPr>
        <w:t>rulemaking docket</w:t>
      </w:r>
      <w:r w:rsidRPr="00AB41D4" w:rsidR="00AB41D4">
        <w:rPr>
          <w:b/>
          <w:bCs/>
          <w:sz w:val="22"/>
          <w:szCs w:val="22"/>
        </w:rPr>
        <w:t>s</w:t>
      </w:r>
      <w:r w:rsidRPr="00AB41D4">
        <w:rPr>
          <w:b/>
          <w:bCs/>
          <w:sz w:val="22"/>
          <w:szCs w:val="22"/>
        </w:rPr>
        <w:t xml:space="preserve">.  This Guide is not intended to replace </w:t>
      </w:r>
      <w:r w:rsidRPr="00522DBE" w:rsidR="005F4F44">
        <w:rPr>
          <w:b/>
          <w:sz w:val="22"/>
          <w:szCs w:val="22"/>
        </w:rPr>
        <w:t xml:space="preserve">or supersede these </w:t>
      </w:r>
      <w:r w:rsidRPr="00D23CB3">
        <w:rPr>
          <w:b/>
          <w:bCs/>
          <w:sz w:val="22"/>
          <w:szCs w:val="22"/>
        </w:rPr>
        <w:t>rules</w:t>
      </w:r>
      <w:r w:rsidRPr="00AB41D4" w:rsidR="005F4F44">
        <w:rPr>
          <w:b/>
          <w:bCs/>
          <w:sz w:val="22"/>
          <w:szCs w:val="22"/>
        </w:rPr>
        <w:t xml:space="preserve">, </w:t>
      </w:r>
      <w:r w:rsidRPr="00522DBE" w:rsidR="005F4F44">
        <w:rPr>
          <w:b/>
          <w:sz w:val="22"/>
          <w:szCs w:val="22"/>
        </w:rPr>
        <w:t>but to facilitate compliance</w:t>
      </w:r>
      <w:r w:rsidRPr="00D23CB3">
        <w:rPr>
          <w:b/>
          <w:bCs/>
          <w:sz w:val="22"/>
          <w:szCs w:val="22"/>
        </w:rPr>
        <w:t xml:space="preserve"> </w:t>
      </w:r>
      <w:r w:rsidRPr="00AB41D4">
        <w:rPr>
          <w:b/>
          <w:bCs/>
          <w:sz w:val="22"/>
          <w:szCs w:val="22"/>
        </w:rPr>
        <w:t xml:space="preserve">with the rules.  Although we have attempted to cover all parts of the rules that might be especially important to small entities, the coverage may not be exhaustive.  This Guide </w:t>
      </w:r>
      <w:r w:rsidRPr="00522DBE" w:rsidR="005F4F44">
        <w:rPr>
          <w:b/>
          <w:sz w:val="22"/>
          <w:szCs w:val="22"/>
        </w:rPr>
        <w:t>cannot anticipate all situations in which the rules apply.  Furthermore, the Commission</w:t>
      </w:r>
      <w:r w:rsidRPr="00D23CB3" w:rsidR="005F4F44">
        <w:rPr>
          <w:b/>
          <w:bCs/>
          <w:sz w:val="22"/>
          <w:szCs w:val="22"/>
        </w:rPr>
        <w:t xml:space="preserve"> </w:t>
      </w:r>
      <w:r w:rsidRPr="00AB41D4">
        <w:rPr>
          <w:b/>
          <w:bCs/>
          <w:sz w:val="22"/>
          <w:szCs w:val="22"/>
        </w:rPr>
        <w:t xml:space="preserve">retains the discretion to adopt </w:t>
      </w:r>
      <w:r w:rsidRPr="00522DBE" w:rsidR="005F4F44">
        <w:rPr>
          <w:b/>
          <w:sz w:val="22"/>
          <w:szCs w:val="22"/>
        </w:rPr>
        <w:t xml:space="preserve">case-by-case </w:t>
      </w:r>
      <w:r w:rsidRPr="00D23CB3">
        <w:rPr>
          <w:b/>
          <w:bCs/>
          <w:sz w:val="22"/>
          <w:szCs w:val="22"/>
        </w:rPr>
        <w:t>approaches</w:t>
      </w:r>
      <w:r w:rsidRPr="00D23CB3" w:rsidR="005F4F44">
        <w:rPr>
          <w:b/>
          <w:bCs/>
          <w:sz w:val="22"/>
          <w:szCs w:val="22"/>
        </w:rPr>
        <w:t>,</w:t>
      </w:r>
      <w:r w:rsidRPr="00AB41D4">
        <w:rPr>
          <w:b/>
          <w:bCs/>
          <w:sz w:val="22"/>
          <w:szCs w:val="22"/>
        </w:rPr>
        <w:t xml:space="preserve"> where appropriate</w:t>
      </w:r>
      <w:r w:rsidRPr="00AB41D4" w:rsidR="005F4F44">
        <w:rPr>
          <w:b/>
          <w:bCs/>
          <w:sz w:val="22"/>
          <w:szCs w:val="22"/>
        </w:rPr>
        <w:t>, that may differ from this Guide</w:t>
      </w:r>
      <w:r w:rsidRPr="00AB41D4">
        <w:rPr>
          <w:b/>
          <w:bCs/>
          <w:sz w:val="22"/>
          <w:szCs w:val="22"/>
        </w:rPr>
        <w:t>.  Any decisions regarding a particular small entity will be based on the statute and</w:t>
      </w:r>
      <w:r w:rsidRPr="00522DBE" w:rsidR="005F4F44">
        <w:rPr>
          <w:b/>
          <w:sz w:val="22"/>
          <w:szCs w:val="22"/>
        </w:rPr>
        <w:t xml:space="preserve"> any relevant rules</w:t>
      </w:r>
      <w:r w:rsidRPr="00D23CB3">
        <w:rPr>
          <w:b/>
          <w:bCs/>
          <w:sz w:val="22"/>
          <w:szCs w:val="22"/>
        </w:rPr>
        <w:t>.</w:t>
      </w:r>
    </w:p>
    <w:p w:rsidR="007A259C" w:rsidRPr="00AB41D4" w:rsidP="00522DBE" w14:paraId="737CAB0F" w14:textId="77777777">
      <w:pPr>
        <w:ind w:left="270"/>
        <w:rPr>
          <w:b/>
          <w:bCs/>
          <w:sz w:val="22"/>
          <w:szCs w:val="22"/>
        </w:rPr>
      </w:pPr>
    </w:p>
    <w:p w:rsidR="007A259C" w:rsidRPr="00AB41D4" w:rsidP="00522DBE" w14:paraId="10BB4DDF" w14:textId="7011C431">
      <w:pPr>
        <w:ind w:left="270"/>
        <w:jc w:val="both"/>
        <w:rPr>
          <w:b/>
          <w:bCs/>
          <w:sz w:val="22"/>
          <w:szCs w:val="22"/>
        </w:rPr>
      </w:pPr>
      <w:r w:rsidRPr="00AB41D4">
        <w:rPr>
          <w:b/>
          <w:bCs/>
          <w:sz w:val="22"/>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AB41D4" w:rsidR="00AB41D4">
        <w:rPr>
          <w:b/>
          <w:bCs/>
          <w:sz w:val="22"/>
          <w:szCs w:val="22"/>
        </w:rPr>
        <w:t>.</w:t>
      </w:r>
      <w:r w:rsidRPr="00AB41D4">
        <w:rPr>
          <w:b/>
          <w:bCs/>
          <w:sz w:val="22"/>
          <w:szCs w:val="22"/>
        </w:rPr>
        <w:t xml:space="preserve"> </w:t>
      </w:r>
      <w:r w:rsidRPr="00AB41D4" w:rsidR="00AB41D4">
        <w:rPr>
          <w:b/>
          <w:bCs/>
          <w:sz w:val="22"/>
          <w:szCs w:val="22"/>
        </w:rPr>
        <w:t>T</w:t>
      </w:r>
      <w:r w:rsidRPr="00AB41D4">
        <w:rPr>
          <w:b/>
          <w:bCs/>
          <w:sz w:val="22"/>
          <w:szCs w:val="22"/>
        </w:rPr>
        <w:t xml:space="preserve">he FCC will </w:t>
      </w:r>
      <w:r w:rsidRPr="00AB41D4" w:rsidR="00AB41D4">
        <w:rPr>
          <w:b/>
          <w:bCs/>
          <w:sz w:val="22"/>
          <w:szCs w:val="22"/>
        </w:rPr>
        <w:t xml:space="preserve">then </w:t>
      </w:r>
      <w:r w:rsidRPr="00AB41D4">
        <w:rPr>
          <w:b/>
          <w:bCs/>
          <w:sz w:val="22"/>
          <w:szCs w:val="22"/>
        </w:rPr>
        <w:t xml:space="preserve">consider whether the recommendations or interpretations in the Guide are appropriate in that situation. The FCC may decide to revise this Guide without public notice to reflect changes in the FCC’s approach to implementing a rule, or </w:t>
      </w:r>
      <w:r w:rsidRPr="00AB41D4" w:rsidR="00AB41D4">
        <w:rPr>
          <w:b/>
          <w:bCs/>
          <w:sz w:val="22"/>
          <w:szCs w:val="22"/>
        </w:rPr>
        <w:t xml:space="preserve">it may </w:t>
      </w:r>
      <w:r w:rsidRPr="00AB41D4">
        <w:rPr>
          <w:b/>
          <w:bCs/>
          <w:sz w:val="22"/>
          <w:szCs w:val="22"/>
        </w:rPr>
        <w:t>clarify or update the text of the Guide.  Direct your comments and recommendations, or calls for further assistance, to the FCC’s Consumer Center:</w:t>
      </w:r>
    </w:p>
    <w:p w:rsidR="007A259C" w:rsidP="00522DBE" w14:paraId="7CA71B61" w14:textId="1C90B1F1">
      <w:pPr>
        <w:ind w:left="270"/>
        <w:jc w:val="center"/>
        <w:rPr>
          <w:b/>
          <w:bCs/>
          <w:sz w:val="22"/>
          <w:szCs w:val="22"/>
        </w:rPr>
      </w:pPr>
    </w:p>
    <w:p w:rsidR="00D74AF3" w:rsidRPr="00F13B3B" w:rsidP="00522DBE" w14:paraId="76073267" w14:textId="77777777">
      <w:pPr>
        <w:ind w:left="270"/>
        <w:jc w:val="center"/>
        <w:rPr>
          <w:b/>
          <w:bCs/>
          <w:sz w:val="22"/>
          <w:szCs w:val="22"/>
        </w:rPr>
      </w:pPr>
    </w:p>
    <w:p w:rsidR="00F13B3B" w:rsidRPr="00F13B3B" w:rsidP="00522DBE" w14:paraId="27183542" w14:textId="77777777">
      <w:pPr>
        <w:ind w:left="270" w:right="360"/>
        <w:jc w:val="center"/>
        <w:rPr>
          <w:b/>
          <w:color w:val="000000"/>
          <w:sz w:val="22"/>
          <w:szCs w:val="22"/>
        </w:rPr>
      </w:pPr>
      <w:r w:rsidRPr="00F13B3B">
        <w:rPr>
          <w:b/>
          <w:color w:val="000000"/>
          <w:sz w:val="22"/>
          <w:szCs w:val="22"/>
        </w:rPr>
        <w:t>1-888-CALL-FCC (1-888-225-5322)  </w:t>
      </w:r>
      <w:r w:rsidRPr="00F13B3B">
        <w:rPr>
          <w:b/>
          <w:color w:val="000000"/>
          <w:sz w:val="22"/>
          <w:szCs w:val="22"/>
        </w:rPr>
        <w:br/>
        <w:t>TTY: 1-888-TELL-FCC (1-888-835-5322)  </w:t>
      </w:r>
    </w:p>
    <w:p w:rsidR="00F13B3B" w:rsidRPr="00F13B3B" w:rsidP="00522DBE" w14:paraId="6AAB971E" w14:textId="77777777">
      <w:pPr>
        <w:pStyle w:val="ListParagraph"/>
        <w:ind w:left="270"/>
        <w:jc w:val="center"/>
        <w:rPr>
          <w:b/>
          <w:sz w:val="22"/>
          <w:szCs w:val="22"/>
        </w:rPr>
      </w:pPr>
      <w:r w:rsidRPr="00F13B3B">
        <w:rPr>
          <w:b/>
          <w:sz w:val="22"/>
          <w:szCs w:val="22"/>
        </w:rPr>
        <w:t>Videophone: 1-844-4-FCC-ASL (1-844-432-2275)</w:t>
      </w:r>
    </w:p>
    <w:p w:rsidR="0087409A" w:rsidRPr="00F13B3B" w:rsidP="00522DBE" w14:paraId="31D2615C" w14:textId="53D15275">
      <w:pPr>
        <w:ind w:left="270" w:right="360"/>
        <w:jc w:val="center"/>
        <w:rPr>
          <w:b/>
          <w:color w:val="000000"/>
          <w:sz w:val="22"/>
          <w:szCs w:val="22"/>
        </w:rPr>
      </w:pPr>
      <w:r w:rsidRPr="00F13B3B">
        <w:rPr>
          <w:b/>
          <w:color w:val="000000"/>
          <w:sz w:val="22"/>
          <w:szCs w:val="22"/>
        </w:rPr>
        <w:t xml:space="preserve">Fax: </w:t>
      </w:r>
      <w:r w:rsidRPr="00F13B3B" w:rsidR="00AE0870">
        <w:rPr>
          <w:b/>
          <w:color w:val="000000"/>
          <w:sz w:val="22"/>
          <w:szCs w:val="22"/>
        </w:rPr>
        <w:t>1-866-</w:t>
      </w:r>
      <w:r w:rsidRPr="00F13B3B">
        <w:rPr>
          <w:b/>
          <w:color w:val="000000"/>
          <w:sz w:val="22"/>
          <w:szCs w:val="22"/>
        </w:rPr>
        <w:t>418-0232</w:t>
      </w:r>
    </w:p>
    <w:p w:rsidR="00F13B3B" w:rsidP="00522DBE" w14:paraId="3FB502B1" w14:textId="77777777">
      <w:pPr>
        <w:ind w:left="270"/>
        <w:jc w:val="center"/>
        <w:rPr>
          <w:b/>
          <w:color w:val="000000"/>
          <w:sz w:val="22"/>
          <w:szCs w:val="22"/>
        </w:rPr>
      </w:pPr>
    </w:p>
    <w:p w:rsidR="00F13B3B" w:rsidP="008E3521" w14:paraId="1E351040" w14:textId="77777777">
      <w:pPr>
        <w:jc w:val="center"/>
        <w:rPr>
          <w:b/>
          <w:color w:val="000000"/>
          <w:sz w:val="22"/>
          <w:szCs w:val="22"/>
        </w:rPr>
      </w:pPr>
    </w:p>
    <w:p w:rsidR="001E7077" w:rsidP="008E3521" w14:paraId="31B429CA" w14:textId="77777777">
      <w:pPr>
        <w:jc w:val="center"/>
        <w:rPr>
          <w:b/>
          <w:color w:val="000000"/>
          <w:sz w:val="22"/>
          <w:szCs w:val="22"/>
        </w:rPr>
        <w:sectPr w:rsidSect="00C11C5C">
          <w:footerReference w:type="even" r:id="rId4"/>
          <w:headerReference w:type="first" r:id="rId5"/>
          <w:pgSz w:w="12240" w:h="15840" w:code="1"/>
          <w:pgMar w:top="1440" w:right="1800" w:bottom="1440" w:left="1800" w:header="720" w:footer="720" w:gutter="0"/>
          <w:cols w:space="720"/>
          <w:titlePg/>
        </w:sectPr>
      </w:pPr>
    </w:p>
    <w:p w:rsidR="00F13B3B" w:rsidP="008E3521" w14:paraId="74BD39D1" w14:textId="6C591CD6">
      <w:pPr>
        <w:jc w:val="center"/>
        <w:rPr>
          <w:b/>
          <w:color w:val="000000"/>
          <w:sz w:val="22"/>
          <w:szCs w:val="22"/>
        </w:rPr>
      </w:pPr>
    </w:p>
    <w:p w:rsidR="00F13B3B" w:rsidP="008E3521" w14:paraId="1A600D93" w14:textId="77777777">
      <w:pPr>
        <w:jc w:val="center"/>
        <w:rPr>
          <w:b/>
          <w:color w:val="000000"/>
          <w:sz w:val="22"/>
          <w:szCs w:val="22"/>
        </w:rPr>
      </w:pPr>
    </w:p>
    <w:p w:rsidR="00F13B3B" w:rsidP="008E3521" w14:paraId="71F5839C" w14:textId="77777777">
      <w:pPr>
        <w:jc w:val="center"/>
        <w:rPr>
          <w:b/>
          <w:color w:val="000000"/>
          <w:sz w:val="22"/>
          <w:szCs w:val="22"/>
        </w:rPr>
      </w:pPr>
    </w:p>
    <w:p w:rsidR="00F13B3B" w:rsidRPr="00B819CC" w:rsidP="00F13B3B" w14:paraId="72C6F540" w14:textId="77777777">
      <w:pPr>
        <w:jc w:val="center"/>
        <w:rPr>
          <w:b/>
          <w:sz w:val="22"/>
          <w:szCs w:val="22"/>
          <w:u w:val="single"/>
        </w:rPr>
      </w:pPr>
      <w:r w:rsidRPr="00B819CC">
        <w:rPr>
          <w:b/>
          <w:sz w:val="22"/>
          <w:szCs w:val="22"/>
          <w:u w:val="single"/>
        </w:rPr>
        <w:t>TABLE OF CONTENTS</w:t>
      </w:r>
    </w:p>
    <w:p w:rsidR="00F13B3B" w:rsidRPr="00B819CC" w:rsidP="00F13B3B" w14:paraId="55BB8292" w14:textId="77777777">
      <w:pPr>
        <w:jc w:val="center"/>
        <w:rPr>
          <w:b/>
          <w:sz w:val="22"/>
          <w:szCs w:val="22"/>
          <w:u w:val="single"/>
        </w:rPr>
      </w:pPr>
    </w:p>
    <w:p w:rsidR="00F13B3B" w:rsidRPr="00B819CC" w:rsidP="00F13B3B" w14:paraId="54C8C48C" w14:textId="77777777">
      <w:pPr>
        <w:rPr>
          <w:sz w:val="22"/>
          <w:szCs w:val="22"/>
        </w:rPr>
      </w:pPr>
    </w:p>
    <w:p w:rsidR="0021292C" w:rsidP="0021292C" w14:paraId="235B13C2" w14:textId="665BEEEF">
      <w:pPr>
        <w:tabs>
          <w:tab w:val="right" w:leader="dot" w:pos="8640"/>
        </w:tabs>
        <w:rPr>
          <w:b/>
          <w:sz w:val="22"/>
          <w:szCs w:val="22"/>
        </w:rPr>
      </w:pPr>
      <w:r>
        <w:rPr>
          <w:b/>
          <w:sz w:val="22"/>
          <w:szCs w:val="22"/>
        </w:rPr>
        <w:t xml:space="preserve">I.          OBJECTIVES OF THE PROCEEDING </w:t>
      </w:r>
      <w:r>
        <w:rPr>
          <w:b/>
          <w:sz w:val="22"/>
          <w:szCs w:val="22"/>
        </w:rPr>
        <w:tab/>
      </w:r>
      <w:r w:rsidR="00422F74">
        <w:rPr>
          <w:b/>
          <w:sz w:val="22"/>
          <w:szCs w:val="22"/>
        </w:rPr>
        <w:t>1</w:t>
      </w:r>
    </w:p>
    <w:p w:rsidR="0021292C" w:rsidP="0021292C" w14:paraId="7811C381" w14:textId="6FEA393D">
      <w:pPr>
        <w:tabs>
          <w:tab w:val="right" w:leader="dot" w:pos="8640"/>
        </w:tabs>
        <w:rPr>
          <w:b/>
          <w:sz w:val="22"/>
          <w:szCs w:val="22"/>
        </w:rPr>
      </w:pPr>
      <w:r>
        <w:rPr>
          <w:b/>
          <w:sz w:val="22"/>
          <w:szCs w:val="22"/>
        </w:rPr>
        <w:t xml:space="preserve">II.        COMPLIANCE REQUIREMENTS </w:t>
      </w:r>
      <w:r>
        <w:rPr>
          <w:b/>
          <w:sz w:val="22"/>
          <w:szCs w:val="22"/>
        </w:rPr>
        <w:tab/>
      </w:r>
      <w:r w:rsidR="00422F74">
        <w:rPr>
          <w:b/>
          <w:sz w:val="22"/>
          <w:szCs w:val="22"/>
        </w:rPr>
        <w:t>1</w:t>
      </w:r>
    </w:p>
    <w:p w:rsidR="0021292C" w:rsidP="0021292C" w14:paraId="5C861762" w14:textId="07A2C104">
      <w:pPr>
        <w:tabs>
          <w:tab w:val="right" w:leader="dot" w:pos="8640"/>
        </w:tabs>
        <w:rPr>
          <w:b/>
          <w:sz w:val="22"/>
          <w:szCs w:val="22"/>
        </w:rPr>
      </w:pPr>
      <w:r>
        <w:rPr>
          <w:b/>
          <w:sz w:val="22"/>
          <w:szCs w:val="22"/>
        </w:rPr>
        <w:t xml:space="preserve">III.       RECORDKEEPING AND REPORTING REQUIREMENTS </w:t>
      </w:r>
      <w:r>
        <w:rPr>
          <w:b/>
          <w:sz w:val="22"/>
          <w:szCs w:val="22"/>
        </w:rPr>
        <w:tab/>
      </w:r>
      <w:r w:rsidR="00422F74">
        <w:rPr>
          <w:b/>
          <w:sz w:val="22"/>
          <w:szCs w:val="22"/>
        </w:rPr>
        <w:t>1</w:t>
      </w:r>
    </w:p>
    <w:p w:rsidR="0021292C" w:rsidP="0021292C" w14:paraId="1F3BFD9E" w14:textId="09D360A4">
      <w:pPr>
        <w:tabs>
          <w:tab w:val="right" w:leader="dot" w:pos="8640"/>
        </w:tabs>
        <w:rPr>
          <w:b/>
          <w:sz w:val="22"/>
          <w:szCs w:val="22"/>
        </w:rPr>
      </w:pPr>
      <w:r>
        <w:rPr>
          <w:b/>
          <w:sz w:val="22"/>
          <w:szCs w:val="22"/>
        </w:rPr>
        <w:t xml:space="preserve">IV.       IMPLEMENTATION DATE </w:t>
      </w:r>
      <w:r>
        <w:rPr>
          <w:b/>
          <w:sz w:val="22"/>
          <w:szCs w:val="22"/>
        </w:rPr>
        <w:tab/>
      </w:r>
      <w:r w:rsidR="00422F74">
        <w:rPr>
          <w:b/>
          <w:sz w:val="22"/>
          <w:szCs w:val="22"/>
        </w:rPr>
        <w:t>1</w:t>
      </w:r>
    </w:p>
    <w:p w:rsidR="0021292C" w:rsidP="0021292C" w14:paraId="5B7D6945" w14:textId="0D2F312C">
      <w:pPr>
        <w:tabs>
          <w:tab w:val="right" w:leader="dot" w:pos="8640"/>
        </w:tabs>
        <w:rPr>
          <w:b/>
          <w:sz w:val="22"/>
          <w:szCs w:val="22"/>
        </w:rPr>
      </w:pPr>
      <w:r>
        <w:rPr>
          <w:b/>
          <w:sz w:val="22"/>
          <w:szCs w:val="22"/>
        </w:rPr>
        <w:t xml:space="preserve">V.         INTERNET LINKS </w:t>
      </w:r>
      <w:r>
        <w:rPr>
          <w:b/>
          <w:sz w:val="22"/>
          <w:szCs w:val="22"/>
        </w:rPr>
        <w:tab/>
      </w:r>
      <w:r w:rsidR="00422F74">
        <w:rPr>
          <w:b/>
          <w:sz w:val="22"/>
          <w:szCs w:val="22"/>
        </w:rPr>
        <w:t>1</w:t>
      </w:r>
    </w:p>
    <w:p w:rsidR="0021292C" w:rsidP="0021292C" w14:paraId="753C51DB" w14:textId="77777777">
      <w:pPr>
        <w:pStyle w:val="ListParagraph"/>
        <w:ind w:left="0"/>
        <w:rPr>
          <w:b/>
        </w:rPr>
      </w:pPr>
    </w:p>
    <w:p w:rsidR="0021292C" w:rsidP="0021292C" w14:paraId="261D3DF0" w14:textId="77777777">
      <w:pPr>
        <w:rPr>
          <w:b/>
        </w:rPr>
      </w:pPr>
    </w:p>
    <w:p w:rsidR="0021292C" w:rsidP="0021292C" w14:paraId="4ADDF1EF" w14:textId="77777777">
      <w:pPr>
        <w:rPr>
          <w:b/>
        </w:rPr>
      </w:pPr>
    </w:p>
    <w:p w:rsidR="001E7077" w:rsidP="008E3521" w14:paraId="7FAB5508" w14:textId="77777777">
      <w:pPr>
        <w:jc w:val="center"/>
        <w:rPr>
          <w:b/>
          <w:color w:val="000000"/>
          <w:sz w:val="22"/>
          <w:szCs w:val="22"/>
        </w:rPr>
        <w:sectPr w:rsidSect="00C11C5C">
          <w:headerReference w:type="first" r:id="rId6"/>
          <w:footerReference w:type="first" r:id="rId7"/>
          <w:pgSz w:w="12240" w:h="15840" w:code="1"/>
          <w:pgMar w:top="1440" w:right="1800" w:bottom="1440" w:left="1800" w:header="720" w:footer="720" w:gutter="0"/>
          <w:cols w:space="720"/>
          <w:titlePg/>
        </w:sectPr>
      </w:pPr>
    </w:p>
    <w:p w:rsidR="0087409A" w:rsidRPr="00F13B3B" w:rsidP="008E3521" w14:paraId="6EEDC97B" w14:textId="67B40186">
      <w:pPr>
        <w:jc w:val="center"/>
        <w:rPr>
          <w:b/>
          <w:color w:val="000000"/>
          <w:sz w:val="22"/>
          <w:szCs w:val="22"/>
        </w:rPr>
      </w:pPr>
      <w:r w:rsidRPr="00F13B3B">
        <w:rPr>
          <w:b/>
          <w:color w:val="000000"/>
          <w:sz w:val="22"/>
          <w:szCs w:val="22"/>
        </w:rPr>
        <w:br w:type="page"/>
      </w:r>
    </w:p>
    <w:p w:rsidR="005F1FDF" w:rsidP="00345802" w14:paraId="0BD8950F" w14:textId="77777777">
      <w:pPr>
        <w:tabs>
          <w:tab w:val="left" w:pos="720"/>
        </w:tabs>
        <w:rPr>
          <w:b/>
          <w:sz w:val="22"/>
          <w:szCs w:val="22"/>
        </w:rPr>
        <w:sectPr w:rsidSect="005F1FDF">
          <w:headerReference w:type="default" r:id="rId8"/>
          <w:footerReference w:type="default" r:id="rId9"/>
          <w:type w:val="continuous"/>
          <w:pgSz w:w="12240" w:h="15840" w:code="1"/>
          <w:pgMar w:top="1440" w:right="1800" w:bottom="1440" w:left="1800" w:header="720" w:footer="720" w:gutter="0"/>
          <w:pgNumType w:start="1"/>
          <w:cols w:space="720"/>
          <w:docGrid w:linePitch="272"/>
        </w:sectPr>
      </w:pPr>
    </w:p>
    <w:p w:rsidR="00345802" w:rsidRPr="00522DBE" w:rsidP="00345802" w14:paraId="2B8DC756" w14:textId="77777777">
      <w:pPr>
        <w:tabs>
          <w:tab w:val="left" w:pos="720"/>
        </w:tabs>
        <w:rPr>
          <w:b/>
          <w:sz w:val="22"/>
          <w:szCs w:val="22"/>
        </w:rPr>
      </w:pPr>
      <w:r w:rsidRPr="00522DBE">
        <w:rPr>
          <w:b/>
          <w:sz w:val="22"/>
          <w:szCs w:val="22"/>
        </w:rPr>
        <w:t>I.            OBJECTIVES OF THE PROCEEDING</w:t>
      </w:r>
    </w:p>
    <w:p w:rsidR="00345802" w:rsidP="00DE24E5" w14:paraId="4701CFCD" w14:textId="77777777">
      <w:pPr>
        <w:autoSpaceDE w:val="0"/>
        <w:autoSpaceDN w:val="0"/>
        <w:adjustRightInd w:val="0"/>
        <w:rPr>
          <w:sz w:val="22"/>
          <w:szCs w:val="22"/>
        </w:rPr>
      </w:pPr>
    </w:p>
    <w:p w:rsidR="00022ED4" w:rsidRPr="00B819CC" w:rsidP="009C3382" w14:paraId="27FE2142" w14:textId="240F4F21">
      <w:pPr>
        <w:autoSpaceDE w:val="0"/>
        <w:autoSpaceDN w:val="0"/>
        <w:adjustRightInd w:val="0"/>
        <w:rPr>
          <w:sz w:val="22"/>
          <w:szCs w:val="22"/>
        </w:rPr>
      </w:pPr>
      <w:r w:rsidRPr="00B819CC">
        <w:rPr>
          <w:sz w:val="22"/>
          <w:szCs w:val="22"/>
        </w:rPr>
        <w:t xml:space="preserve">In the </w:t>
      </w:r>
      <w:r w:rsidR="00522DBE">
        <w:rPr>
          <w:sz w:val="22"/>
          <w:szCs w:val="22"/>
        </w:rPr>
        <w:t>Order on Reconsideration</w:t>
      </w:r>
      <w:r w:rsidRPr="00B819CC">
        <w:rPr>
          <w:sz w:val="22"/>
          <w:szCs w:val="22"/>
        </w:rPr>
        <w:t xml:space="preserve"> (</w:t>
      </w:r>
      <w:r w:rsidRPr="00B819CC">
        <w:rPr>
          <w:i/>
          <w:sz w:val="22"/>
          <w:szCs w:val="22"/>
        </w:rPr>
        <w:t>Order</w:t>
      </w:r>
      <w:r w:rsidRPr="00B819CC">
        <w:rPr>
          <w:sz w:val="22"/>
          <w:szCs w:val="22"/>
        </w:rPr>
        <w:t xml:space="preserve">) in </w:t>
      </w:r>
      <w:r w:rsidRPr="00522DBE" w:rsidR="00522DBE">
        <w:rPr>
          <w:sz w:val="22"/>
          <w:szCs w:val="22"/>
        </w:rPr>
        <w:t>EB Docket No. 04-296</w:t>
      </w:r>
      <w:r w:rsidR="00522DBE">
        <w:rPr>
          <w:sz w:val="22"/>
          <w:szCs w:val="22"/>
        </w:rPr>
        <w:t xml:space="preserve"> and </w:t>
      </w:r>
      <w:r w:rsidRPr="00B819CC">
        <w:rPr>
          <w:sz w:val="22"/>
          <w:szCs w:val="22"/>
        </w:rPr>
        <w:t>PS Docket No. 15-94</w:t>
      </w:r>
      <w:r>
        <w:rPr>
          <w:sz w:val="22"/>
          <w:szCs w:val="22"/>
        </w:rPr>
        <w:t xml:space="preserve">, </w:t>
      </w:r>
      <w:r w:rsidRPr="00B819CC">
        <w:rPr>
          <w:sz w:val="22"/>
          <w:szCs w:val="22"/>
        </w:rPr>
        <w:t xml:space="preserve">the Commission </w:t>
      </w:r>
      <w:r w:rsidR="00522DBE">
        <w:rPr>
          <w:sz w:val="22"/>
          <w:szCs w:val="22"/>
        </w:rPr>
        <w:t xml:space="preserve">revised the </w:t>
      </w:r>
      <w:r>
        <w:rPr>
          <w:sz w:val="22"/>
          <w:szCs w:val="22"/>
        </w:rPr>
        <w:t xml:space="preserve">Emergency Alert System (EAS) </w:t>
      </w:r>
      <w:r w:rsidR="00522DBE">
        <w:rPr>
          <w:sz w:val="22"/>
          <w:szCs w:val="22"/>
        </w:rPr>
        <w:t xml:space="preserve">testing requirements that apply to </w:t>
      </w:r>
      <w:r w:rsidRPr="00522DBE" w:rsidR="00522DBE">
        <w:rPr>
          <w:sz w:val="22"/>
          <w:szCs w:val="22"/>
        </w:rPr>
        <w:t>Satellite Digital Audio Radio Service</w:t>
      </w:r>
      <w:r w:rsidR="00522DBE">
        <w:rPr>
          <w:sz w:val="22"/>
          <w:szCs w:val="22"/>
        </w:rPr>
        <w:t xml:space="preserve"> </w:t>
      </w:r>
      <w:r w:rsidRPr="00522DBE" w:rsidR="00522DBE">
        <w:rPr>
          <w:sz w:val="22"/>
          <w:szCs w:val="22"/>
        </w:rPr>
        <w:t>(SDARS)</w:t>
      </w:r>
      <w:r w:rsidR="00522DBE">
        <w:rPr>
          <w:sz w:val="22"/>
          <w:szCs w:val="22"/>
        </w:rPr>
        <w:t xml:space="preserve"> providers to harmonize them with the EAS testing requirements that apply to</w:t>
      </w:r>
      <w:r w:rsidRPr="00522DBE" w:rsidR="00522DBE">
        <w:t xml:space="preserve"> </w:t>
      </w:r>
      <w:r w:rsidRPr="00522DBE" w:rsidR="00522DBE">
        <w:rPr>
          <w:sz w:val="22"/>
          <w:szCs w:val="22"/>
        </w:rPr>
        <w:t>Direct Broadcast Satellite (DBS) providers</w:t>
      </w:r>
      <w:r w:rsidR="00522DBE">
        <w:rPr>
          <w:sz w:val="22"/>
          <w:szCs w:val="22"/>
        </w:rPr>
        <w:t xml:space="preserve">.  </w:t>
      </w:r>
      <w:r w:rsidRPr="00B819CC" w:rsidR="00D752F7">
        <w:rPr>
          <w:sz w:val="22"/>
          <w:szCs w:val="22"/>
        </w:rPr>
        <w:t xml:space="preserve">The </w:t>
      </w:r>
      <w:r w:rsidR="001C6C62">
        <w:rPr>
          <w:sz w:val="22"/>
          <w:szCs w:val="22"/>
        </w:rPr>
        <w:t>harmonizing of the S</w:t>
      </w:r>
      <w:r w:rsidR="00522DBE">
        <w:rPr>
          <w:sz w:val="22"/>
          <w:szCs w:val="22"/>
        </w:rPr>
        <w:t>D</w:t>
      </w:r>
      <w:r w:rsidR="001C6C62">
        <w:rPr>
          <w:sz w:val="22"/>
          <w:szCs w:val="22"/>
        </w:rPr>
        <w:t xml:space="preserve">ARS testing requirements with the DBS testing requirements significantly reduces the economic impact </w:t>
      </w:r>
      <w:r w:rsidR="00522DBE">
        <w:rPr>
          <w:sz w:val="22"/>
          <w:szCs w:val="22"/>
        </w:rPr>
        <w:t>to</w:t>
      </w:r>
      <w:r w:rsidR="001C6C62">
        <w:rPr>
          <w:sz w:val="22"/>
          <w:szCs w:val="22"/>
        </w:rPr>
        <w:t xml:space="preserve"> SDARS providers associated with </w:t>
      </w:r>
      <w:r w:rsidR="00DC1F6D">
        <w:rPr>
          <w:sz w:val="22"/>
          <w:szCs w:val="22"/>
        </w:rPr>
        <w:t xml:space="preserve">meeting </w:t>
      </w:r>
      <w:r w:rsidR="001C6C62">
        <w:rPr>
          <w:sz w:val="22"/>
          <w:szCs w:val="22"/>
        </w:rPr>
        <w:t xml:space="preserve">the </w:t>
      </w:r>
      <w:r w:rsidR="00522DBE">
        <w:rPr>
          <w:sz w:val="22"/>
          <w:szCs w:val="22"/>
        </w:rPr>
        <w:t xml:space="preserve">testing requirements.  </w:t>
      </w:r>
      <w:r w:rsidRPr="00DC1F6D" w:rsidR="009C3382">
        <w:rPr>
          <w:sz w:val="22"/>
          <w:szCs w:val="22"/>
        </w:rPr>
        <w:t>Further</w:t>
      </w:r>
      <w:r w:rsidRPr="009C3382" w:rsidR="009C3382">
        <w:rPr>
          <w:sz w:val="22"/>
          <w:szCs w:val="22"/>
        </w:rPr>
        <w:t xml:space="preserve">, not having to </w:t>
      </w:r>
      <w:r w:rsidR="00522DBE">
        <w:rPr>
          <w:sz w:val="22"/>
          <w:szCs w:val="22"/>
        </w:rPr>
        <w:t>transmit</w:t>
      </w:r>
      <w:r w:rsidR="009C3382">
        <w:rPr>
          <w:sz w:val="22"/>
          <w:szCs w:val="22"/>
        </w:rPr>
        <w:t xml:space="preserve"> the</w:t>
      </w:r>
      <w:r w:rsidRPr="009C3382" w:rsidR="009C3382">
        <w:rPr>
          <w:sz w:val="22"/>
          <w:szCs w:val="22"/>
        </w:rPr>
        <w:t xml:space="preserve"> EAS header codes and E</w:t>
      </w:r>
      <w:r w:rsidR="00DC1F6D">
        <w:rPr>
          <w:sz w:val="22"/>
          <w:szCs w:val="22"/>
        </w:rPr>
        <w:t>nd of Message (EOM)</w:t>
      </w:r>
      <w:r w:rsidR="009C3382">
        <w:rPr>
          <w:sz w:val="22"/>
          <w:szCs w:val="22"/>
        </w:rPr>
        <w:t xml:space="preserve"> </w:t>
      </w:r>
      <w:r w:rsidR="00DC1F6D">
        <w:rPr>
          <w:sz w:val="22"/>
          <w:szCs w:val="22"/>
        </w:rPr>
        <w:t xml:space="preserve">code </w:t>
      </w:r>
      <w:r w:rsidRPr="009C3382" w:rsidR="009C3382">
        <w:rPr>
          <w:sz w:val="22"/>
          <w:szCs w:val="22"/>
        </w:rPr>
        <w:t>on all channels randomly once per week relieves the SDARS provider from having to coordinate and</w:t>
      </w:r>
      <w:r w:rsidR="009C3382">
        <w:rPr>
          <w:sz w:val="22"/>
          <w:szCs w:val="22"/>
        </w:rPr>
        <w:t xml:space="preserve"> </w:t>
      </w:r>
      <w:r w:rsidRPr="009C3382" w:rsidR="009C3382">
        <w:rPr>
          <w:sz w:val="22"/>
          <w:szCs w:val="22"/>
        </w:rPr>
        <w:t>administer such testing.</w:t>
      </w:r>
      <w:r w:rsidRPr="00B819CC" w:rsidR="00670C6D">
        <w:rPr>
          <w:sz w:val="22"/>
          <w:szCs w:val="22"/>
        </w:rPr>
        <w:t xml:space="preserve"> </w:t>
      </w:r>
      <w:r w:rsidR="00DB0295">
        <w:rPr>
          <w:sz w:val="22"/>
          <w:szCs w:val="22"/>
        </w:rPr>
        <w:t xml:space="preserve"> </w:t>
      </w:r>
    </w:p>
    <w:p w:rsidR="009D5BE4" w:rsidRPr="00B819CC" w:rsidP="001F7C1B" w14:paraId="6B5612AB" w14:textId="77777777">
      <w:pPr>
        <w:autoSpaceDE w:val="0"/>
        <w:autoSpaceDN w:val="0"/>
        <w:adjustRightInd w:val="0"/>
        <w:jc w:val="both"/>
        <w:rPr>
          <w:sz w:val="22"/>
          <w:szCs w:val="22"/>
          <w:highlight w:val="yellow"/>
        </w:rPr>
      </w:pPr>
    </w:p>
    <w:p w:rsidR="00345802" w:rsidRPr="00522DBE" w:rsidP="00345802" w14:paraId="0005CD4A" w14:textId="77777777">
      <w:pPr>
        <w:tabs>
          <w:tab w:val="left" w:pos="720"/>
        </w:tabs>
        <w:rPr>
          <w:b/>
          <w:sz w:val="22"/>
          <w:szCs w:val="22"/>
        </w:rPr>
      </w:pPr>
      <w:r w:rsidRPr="00522DBE">
        <w:rPr>
          <w:b/>
          <w:sz w:val="22"/>
          <w:szCs w:val="22"/>
        </w:rPr>
        <w:t xml:space="preserve">II. </w:t>
      </w:r>
      <w:r w:rsidRPr="00522DBE">
        <w:rPr>
          <w:b/>
          <w:sz w:val="22"/>
          <w:szCs w:val="22"/>
        </w:rPr>
        <w:tab/>
        <w:t>COMPLIANCE REQUIREMENTS</w:t>
      </w:r>
    </w:p>
    <w:p w:rsidR="00B819CC" w:rsidRPr="00B819CC" w:rsidP="00522DBE" w14:paraId="063A9134" w14:textId="4C43F285">
      <w:pPr>
        <w:pStyle w:val="ParaNum"/>
        <w:numPr>
          <w:ilvl w:val="0"/>
          <w:numId w:val="0"/>
        </w:numPr>
        <w:tabs>
          <w:tab w:val="left" w:pos="720"/>
          <w:tab w:val="left" w:pos="1440"/>
        </w:tabs>
        <w:spacing w:before="120"/>
        <w:rPr>
          <w:rFonts w:cs="TimesNewRoman"/>
          <w:color w:val="010101"/>
          <w:szCs w:val="22"/>
        </w:rPr>
      </w:pPr>
      <w:r w:rsidRPr="00B819CC">
        <w:rPr>
          <w:rFonts w:cs="TimesNewRoman"/>
          <w:color w:val="010101"/>
          <w:szCs w:val="22"/>
        </w:rPr>
        <w:t xml:space="preserve">The </w:t>
      </w:r>
      <w:r w:rsidRPr="00B819CC">
        <w:rPr>
          <w:rFonts w:cs="TimesNewRoman"/>
          <w:i/>
          <w:color w:val="010101"/>
          <w:szCs w:val="22"/>
        </w:rPr>
        <w:t xml:space="preserve">Order </w:t>
      </w:r>
      <w:r w:rsidRPr="00B819CC">
        <w:rPr>
          <w:rFonts w:cs="TimesNewRoman"/>
          <w:color w:val="010101"/>
          <w:szCs w:val="22"/>
        </w:rPr>
        <w:t>make</w:t>
      </w:r>
      <w:r w:rsidR="00522DBE">
        <w:rPr>
          <w:rFonts w:cs="TimesNewRoman"/>
          <w:color w:val="010101"/>
          <w:szCs w:val="22"/>
        </w:rPr>
        <w:t>s</w:t>
      </w:r>
      <w:r w:rsidR="00FD11C4">
        <w:rPr>
          <w:rFonts w:cs="TimesNewRoman"/>
          <w:color w:val="010101"/>
          <w:szCs w:val="22"/>
        </w:rPr>
        <w:t xml:space="preserve"> the </w:t>
      </w:r>
      <w:r w:rsidR="00522DBE">
        <w:rPr>
          <w:rFonts w:cs="TimesNewRoman"/>
          <w:color w:val="010101"/>
          <w:szCs w:val="22"/>
        </w:rPr>
        <w:t xml:space="preserve">EAS monthly and weekly testing requirements </w:t>
      </w:r>
      <w:r w:rsidR="00D45617">
        <w:rPr>
          <w:rFonts w:cs="TimesNewRoman"/>
          <w:color w:val="010101"/>
          <w:szCs w:val="22"/>
        </w:rPr>
        <w:t xml:space="preserve">that apply to </w:t>
      </w:r>
      <w:r w:rsidR="002144DE">
        <w:rPr>
          <w:rFonts w:cs="TimesNewRoman"/>
          <w:color w:val="010101"/>
          <w:szCs w:val="22"/>
        </w:rPr>
        <w:t xml:space="preserve">DBS providers </w:t>
      </w:r>
      <w:r w:rsidR="00D45617">
        <w:rPr>
          <w:rFonts w:cs="TimesNewRoman"/>
          <w:color w:val="010101"/>
          <w:szCs w:val="22"/>
        </w:rPr>
        <w:t xml:space="preserve">equally </w:t>
      </w:r>
      <w:r w:rsidR="002144DE">
        <w:rPr>
          <w:rFonts w:cs="TimesNewRoman"/>
          <w:color w:val="010101"/>
          <w:szCs w:val="22"/>
        </w:rPr>
        <w:t xml:space="preserve">applicable to </w:t>
      </w:r>
      <w:r w:rsidR="00522DBE">
        <w:rPr>
          <w:rFonts w:cs="TimesNewRoman"/>
          <w:color w:val="010101"/>
          <w:szCs w:val="22"/>
        </w:rPr>
        <w:t>SDARS</w:t>
      </w:r>
      <w:r w:rsidR="00DC1F6D">
        <w:rPr>
          <w:rFonts w:cs="TimesNewRoman"/>
          <w:color w:val="010101"/>
          <w:szCs w:val="22"/>
        </w:rPr>
        <w:t xml:space="preserve"> </w:t>
      </w:r>
      <w:r w:rsidR="00522DBE">
        <w:rPr>
          <w:rFonts w:cs="TimesNewRoman"/>
          <w:color w:val="010101"/>
          <w:szCs w:val="22"/>
        </w:rPr>
        <w:t xml:space="preserve">providers. </w:t>
      </w:r>
      <w:r w:rsidR="00FD11C4">
        <w:rPr>
          <w:rFonts w:cs="TimesNewRoman"/>
          <w:color w:val="010101"/>
          <w:szCs w:val="22"/>
        </w:rPr>
        <w:t xml:space="preserve"> </w:t>
      </w:r>
    </w:p>
    <w:p w:rsidR="00522DBE" w:rsidRPr="00AB6FDE" w:rsidP="00522DBE" w14:paraId="49138950" w14:textId="60E45DBA">
      <w:pPr>
        <w:rPr>
          <w:b/>
          <w:i/>
          <w:sz w:val="22"/>
          <w:szCs w:val="22"/>
        </w:rPr>
      </w:pPr>
      <w:r w:rsidRPr="007313DC">
        <w:rPr>
          <w:b/>
          <w:i/>
          <w:sz w:val="22"/>
          <w:szCs w:val="22"/>
        </w:rPr>
        <w:t xml:space="preserve">Monthly Testing Requirements </w:t>
      </w:r>
      <w:r w:rsidRPr="00AB6FDE">
        <w:rPr>
          <w:b/>
          <w:i/>
          <w:sz w:val="22"/>
          <w:szCs w:val="22"/>
        </w:rPr>
        <w:t>(47 CFR § 11.61(a)(1)(iii))</w:t>
      </w:r>
    </w:p>
    <w:p w:rsidR="00B819CC" w:rsidP="00B819CC" w14:paraId="6747F09A" w14:textId="0694C622">
      <w:pPr>
        <w:rPr>
          <w:b/>
          <w:i/>
          <w:sz w:val="22"/>
          <w:szCs w:val="22"/>
        </w:rPr>
      </w:pPr>
    </w:p>
    <w:p w:rsidR="007A4B45" w:rsidRPr="007A5FCD" w:rsidP="00E0580A" w14:paraId="136B4644" w14:textId="4F2D5269">
      <w:pPr>
        <w:pStyle w:val="ListParagraph"/>
        <w:numPr>
          <w:ilvl w:val="0"/>
          <w:numId w:val="35"/>
        </w:numPr>
        <w:spacing w:after="160" w:line="259" w:lineRule="auto"/>
        <w:contextualSpacing/>
        <w:rPr>
          <w:sz w:val="22"/>
          <w:szCs w:val="22"/>
        </w:rPr>
      </w:pPr>
      <w:r w:rsidRPr="007A5FCD">
        <w:rPr>
          <w:sz w:val="22"/>
          <w:szCs w:val="22"/>
        </w:rPr>
        <w:t xml:space="preserve">The amended rule requires </w:t>
      </w:r>
      <w:r w:rsidRPr="007A5FCD" w:rsidR="00EC1EFE">
        <w:rPr>
          <w:sz w:val="22"/>
          <w:szCs w:val="22"/>
        </w:rPr>
        <w:t>SDARS providers</w:t>
      </w:r>
      <w:r w:rsidRPr="007A5FCD" w:rsidR="00522DBE">
        <w:rPr>
          <w:sz w:val="22"/>
          <w:szCs w:val="22"/>
        </w:rPr>
        <w:t xml:space="preserve"> </w:t>
      </w:r>
      <w:r w:rsidRPr="007A5FCD">
        <w:rPr>
          <w:sz w:val="22"/>
          <w:szCs w:val="22"/>
        </w:rPr>
        <w:t xml:space="preserve">to </w:t>
      </w:r>
      <w:r w:rsidRPr="007A5FCD" w:rsidR="00522DBE">
        <w:rPr>
          <w:sz w:val="22"/>
          <w:szCs w:val="22"/>
        </w:rPr>
        <w:t xml:space="preserve">monitor a state or local primary source to participate in </w:t>
      </w:r>
      <w:r w:rsidRPr="007A5FCD">
        <w:rPr>
          <w:sz w:val="22"/>
          <w:szCs w:val="22"/>
        </w:rPr>
        <w:t>required monthly testing</w:t>
      </w:r>
      <w:r w:rsidRPr="007A5FCD" w:rsidR="00522DBE">
        <w:rPr>
          <w:sz w:val="22"/>
          <w:szCs w:val="22"/>
        </w:rPr>
        <w:t xml:space="preserve">. Tests should be performed on 10% of all channels monthly, </w:t>
      </w:r>
      <w:r w:rsidRPr="007A5FCD">
        <w:rPr>
          <w:sz w:val="22"/>
          <w:szCs w:val="22"/>
        </w:rPr>
        <w:t>v</w:t>
      </w:r>
      <w:r w:rsidRPr="007A5FCD" w:rsidR="00522DBE">
        <w:rPr>
          <w:sz w:val="22"/>
          <w:szCs w:val="22"/>
        </w:rPr>
        <w:t xml:space="preserve">arying </w:t>
      </w:r>
      <w:r w:rsidRPr="007A5FCD">
        <w:rPr>
          <w:sz w:val="22"/>
          <w:szCs w:val="22"/>
        </w:rPr>
        <w:t xml:space="preserve">the channels tested </w:t>
      </w:r>
      <w:r w:rsidRPr="007A5FCD" w:rsidR="00522DBE">
        <w:rPr>
          <w:sz w:val="22"/>
          <w:szCs w:val="22"/>
        </w:rPr>
        <w:t>from month to month, so that over the course of a given year, 100% of all channels are tested.</w:t>
      </w:r>
    </w:p>
    <w:p w:rsidR="00FB543E" w:rsidRPr="002E7BE7" w:rsidP="00FB543E" w14:paraId="0DDE4DB4" w14:textId="33EC8ED9">
      <w:pPr>
        <w:rPr>
          <w:b/>
          <w:i/>
          <w:sz w:val="22"/>
          <w:szCs w:val="22"/>
        </w:rPr>
      </w:pPr>
      <w:r w:rsidRPr="007313DC">
        <w:rPr>
          <w:b/>
          <w:i/>
          <w:sz w:val="22"/>
          <w:szCs w:val="22"/>
        </w:rPr>
        <w:t xml:space="preserve">Weekly </w:t>
      </w:r>
      <w:r w:rsidRPr="007313DC">
        <w:rPr>
          <w:b/>
          <w:i/>
          <w:sz w:val="22"/>
          <w:szCs w:val="22"/>
        </w:rPr>
        <w:t xml:space="preserve">Testing Requirements </w:t>
      </w:r>
      <w:r w:rsidRPr="00AB6FDE">
        <w:rPr>
          <w:b/>
          <w:i/>
          <w:sz w:val="22"/>
          <w:szCs w:val="22"/>
        </w:rPr>
        <w:t>(</w:t>
      </w:r>
      <w:r w:rsidRPr="002E7BE7" w:rsidR="00104CB7">
        <w:rPr>
          <w:b/>
          <w:i/>
          <w:sz w:val="22"/>
          <w:szCs w:val="22"/>
        </w:rPr>
        <w:t xml:space="preserve">47 CFR § </w:t>
      </w:r>
      <w:r w:rsidRPr="002E7BE7" w:rsidR="00F33418">
        <w:rPr>
          <w:b/>
          <w:i/>
          <w:sz w:val="22"/>
          <w:szCs w:val="22"/>
        </w:rPr>
        <w:t>11.61(a)(</w:t>
      </w:r>
      <w:r w:rsidRPr="00422F74">
        <w:rPr>
          <w:b/>
          <w:i/>
          <w:sz w:val="22"/>
          <w:szCs w:val="22"/>
        </w:rPr>
        <w:t>2</w:t>
      </w:r>
      <w:r w:rsidRPr="00422F74" w:rsidR="00F33418">
        <w:rPr>
          <w:b/>
          <w:i/>
          <w:sz w:val="22"/>
          <w:szCs w:val="22"/>
        </w:rPr>
        <w:t>)(ii)</w:t>
      </w:r>
      <w:r w:rsidRPr="00422F74">
        <w:rPr>
          <w:b/>
          <w:i/>
          <w:sz w:val="22"/>
          <w:szCs w:val="22"/>
        </w:rPr>
        <w:t>)</w:t>
      </w:r>
    </w:p>
    <w:p w:rsidR="00C3630E" w:rsidP="00FA2DAC" w14:paraId="39EF98EE" w14:textId="1530F25A">
      <w:pPr>
        <w:pStyle w:val="ParaNum"/>
        <w:numPr>
          <w:ilvl w:val="0"/>
          <w:numId w:val="35"/>
        </w:numPr>
        <w:tabs>
          <w:tab w:val="left" w:pos="1440"/>
        </w:tabs>
        <w:spacing w:before="120" w:after="240"/>
        <w:rPr>
          <w:rFonts w:cs="TimesNewRoman"/>
          <w:color w:val="010101"/>
          <w:szCs w:val="22"/>
        </w:rPr>
      </w:pPr>
      <w:r w:rsidRPr="007A5FCD">
        <w:rPr>
          <w:rFonts w:cs="TimesNewRoman"/>
          <w:color w:val="010101"/>
          <w:szCs w:val="22"/>
        </w:rPr>
        <w:t>Under the amended rule, SDARS providers are not required to transmit the weekly test (i.e., EAS header codes and EOM code) but are required to log receipt of the weekly test</w:t>
      </w:r>
      <w:r w:rsidR="007A5FCD">
        <w:rPr>
          <w:rFonts w:cs="TimesNewRoman"/>
          <w:color w:val="010101"/>
          <w:szCs w:val="22"/>
        </w:rPr>
        <w:t xml:space="preserve"> (following the logging requirements in sections </w:t>
      </w:r>
      <w:r w:rsidRPr="007A5FCD" w:rsidR="007A5FCD">
        <w:rPr>
          <w:rFonts w:cs="TimesNewRoman"/>
          <w:color w:val="010101"/>
          <w:szCs w:val="22"/>
        </w:rPr>
        <w:t>11.35(a) and 11.54(a)(3)</w:t>
      </w:r>
      <w:r w:rsidR="007A5FCD">
        <w:rPr>
          <w:rFonts w:cs="TimesNewRoman"/>
          <w:color w:val="010101"/>
          <w:szCs w:val="22"/>
        </w:rPr>
        <w:t xml:space="preserve"> of the EAS rules, </w:t>
      </w:r>
      <w:r w:rsidRPr="007A5FCD" w:rsidR="007A5FCD">
        <w:rPr>
          <w:rFonts w:cs="TimesNewRoman"/>
          <w:color w:val="010101"/>
          <w:szCs w:val="22"/>
        </w:rPr>
        <w:t>47 CFR § 11.</w:t>
      </w:r>
      <w:r w:rsidR="007A5FCD">
        <w:rPr>
          <w:rFonts w:cs="TimesNewRoman"/>
          <w:color w:val="010101"/>
          <w:szCs w:val="22"/>
        </w:rPr>
        <w:t>35</w:t>
      </w:r>
      <w:r w:rsidRPr="007A5FCD" w:rsidR="007A5FCD">
        <w:rPr>
          <w:rFonts w:cs="TimesNewRoman"/>
          <w:color w:val="010101"/>
          <w:szCs w:val="22"/>
        </w:rPr>
        <w:t>(a)</w:t>
      </w:r>
      <w:r w:rsidR="007A5FCD">
        <w:rPr>
          <w:rFonts w:cs="TimesNewRoman"/>
          <w:color w:val="010101"/>
          <w:szCs w:val="22"/>
        </w:rPr>
        <w:t xml:space="preserve"> and </w:t>
      </w:r>
      <w:r w:rsidRPr="007A5FCD" w:rsidR="007A5FCD">
        <w:rPr>
          <w:rFonts w:cs="TimesNewRoman"/>
          <w:color w:val="010101"/>
          <w:szCs w:val="22"/>
        </w:rPr>
        <w:t>47 CFR § 11.</w:t>
      </w:r>
      <w:r w:rsidR="007A5FCD">
        <w:rPr>
          <w:rFonts w:cs="TimesNewRoman"/>
          <w:color w:val="010101"/>
          <w:szCs w:val="22"/>
        </w:rPr>
        <w:t>54</w:t>
      </w:r>
      <w:r w:rsidRPr="007A5FCD" w:rsidR="007A5FCD">
        <w:rPr>
          <w:rFonts w:cs="TimesNewRoman"/>
          <w:color w:val="010101"/>
          <w:szCs w:val="22"/>
        </w:rPr>
        <w:t>(a)(</w:t>
      </w:r>
      <w:r w:rsidR="007A5FCD">
        <w:rPr>
          <w:rFonts w:cs="TimesNewRoman"/>
          <w:color w:val="010101"/>
          <w:szCs w:val="22"/>
        </w:rPr>
        <w:t>3)</w:t>
      </w:r>
      <w:r w:rsidR="00FA2DAC">
        <w:rPr>
          <w:rFonts w:cs="TimesNewRoman"/>
          <w:color w:val="010101"/>
          <w:szCs w:val="22"/>
        </w:rPr>
        <w:t>)</w:t>
      </w:r>
      <w:r w:rsidR="007A5FCD">
        <w:rPr>
          <w:rFonts w:cs="TimesNewRoman"/>
          <w:color w:val="010101"/>
          <w:szCs w:val="22"/>
        </w:rPr>
        <w:t>.</w:t>
      </w:r>
    </w:p>
    <w:p w:rsidR="00392BB2" w:rsidRPr="00392BB2" w:rsidP="00392BB2" w14:paraId="67943675" w14:textId="7B698198">
      <w:pPr>
        <w:tabs>
          <w:tab w:val="left" w:pos="720"/>
        </w:tabs>
        <w:rPr>
          <w:b/>
          <w:sz w:val="22"/>
          <w:szCs w:val="22"/>
        </w:rPr>
      </w:pPr>
      <w:r w:rsidRPr="00392BB2">
        <w:rPr>
          <w:b/>
          <w:sz w:val="22"/>
          <w:szCs w:val="22"/>
        </w:rPr>
        <w:t xml:space="preserve">III. </w:t>
      </w:r>
      <w:r w:rsidR="00732DA0">
        <w:rPr>
          <w:b/>
          <w:sz w:val="22"/>
          <w:szCs w:val="22"/>
        </w:rPr>
        <w:tab/>
      </w:r>
      <w:r w:rsidRPr="00392BB2">
        <w:rPr>
          <w:b/>
          <w:sz w:val="22"/>
          <w:szCs w:val="22"/>
        </w:rPr>
        <w:t xml:space="preserve">RECORDKEEPING AND REPORTING REQUIREMENTS </w:t>
      </w:r>
    </w:p>
    <w:p w:rsidR="00392BB2" w:rsidRPr="00392BB2" w:rsidP="00392BB2" w14:paraId="3BFA0C68" w14:textId="77777777">
      <w:pPr>
        <w:tabs>
          <w:tab w:val="left" w:pos="720"/>
        </w:tabs>
        <w:rPr>
          <w:b/>
          <w:sz w:val="22"/>
          <w:szCs w:val="22"/>
        </w:rPr>
      </w:pPr>
    </w:p>
    <w:p w:rsidR="00392BB2" w:rsidRPr="00392BB2" w:rsidP="00392BB2" w14:paraId="02BACCD3" w14:textId="76107D80">
      <w:pPr>
        <w:autoSpaceDE w:val="0"/>
        <w:autoSpaceDN w:val="0"/>
        <w:adjustRightInd w:val="0"/>
        <w:rPr>
          <w:sz w:val="22"/>
          <w:szCs w:val="22"/>
        </w:rPr>
      </w:pPr>
      <w:r w:rsidRPr="00392BB2">
        <w:rPr>
          <w:sz w:val="22"/>
          <w:szCs w:val="22"/>
        </w:rPr>
        <w:t xml:space="preserve">The </w:t>
      </w:r>
      <w:r w:rsidRPr="00392BB2">
        <w:rPr>
          <w:i/>
          <w:iCs/>
          <w:sz w:val="22"/>
          <w:szCs w:val="22"/>
        </w:rPr>
        <w:t>Order</w:t>
      </w:r>
      <w:r w:rsidRPr="00392BB2">
        <w:rPr>
          <w:sz w:val="22"/>
          <w:szCs w:val="22"/>
        </w:rPr>
        <w:t xml:space="preserve"> contains new information collection requirements associated with </w:t>
      </w:r>
      <w:r>
        <w:rPr>
          <w:sz w:val="22"/>
          <w:szCs w:val="22"/>
        </w:rPr>
        <w:t xml:space="preserve">required weekly testing.  </w:t>
      </w:r>
      <w:r w:rsidR="008B29F6">
        <w:rPr>
          <w:sz w:val="22"/>
          <w:szCs w:val="22"/>
        </w:rPr>
        <w:t xml:space="preserve">Specifically, </w:t>
      </w:r>
      <w:r w:rsidRPr="008B29F6" w:rsidR="008B29F6">
        <w:rPr>
          <w:sz w:val="22"/>
          <w:szCs w:val="22"/>
        </w:rPr>
        <w:t>the amended rule</w:t>
      </w:r>
      <w:r w:rsidR="008B29F6">
        <w:rPr>
          <w:sz w:val="22"/>
          <w:szCs w:val="22"/>
        </w:rPr>
        <w:t xml:space="preserve"> requires </w:t>
      </w:r>
      <w:r w:rsidRPr="008B29F6" w:rsidR="008B29F6">
        <w:rPr>
          <w:sz w:val="22"/>
          <w:szCs w:val="22"/>
        </w:rPr>
        <w:t>SDARS providers to log receipt of the weekly test</w:t>
      </w:r>
      <w:r w:rsidR="008B29F6">
        <w:rPr>
          <w:sz w:val="22"/>
          <w:szCs w:val="22"/>
        </w:rPr>
        <w:t xml:space="preserve">.  </w:t>
      </w:r>
    </w:p>
    <w:p w:rsidR="00FA2DAC" w:rsidP="00001CAD" w14:paraId="0B2FA6E1" w14:textId="77777777">
      <w:pPr>
        <w:tabs>
          <w:tab w:val="left" w:pos="720"/>
        </w:tabs>
        <w:rPr>
          <w:b/>
          <w:sz w:val="22"/>
          <w:szCs w:val="22"/>
        </w:rPr>
      </w:pPr>
    </w:p>
    <w:p w:rsidR="00001CAD" w:rsidRPr="00522DBE" w:rsidP="00001CAD" w14:paraId="60469C2F" w14:textId="00DF2233">
      <w:pPr>
        <w:tabs>
          <w:tab w:val="left" w:pos="720"/>
        </w:tabs>
        <w:rPr>
          <w:b/>
          <w:sz w:val="22"/>
          <w:szCs w:val="22"/>
        </w:rPr>
      </w:pPr>
      <w:r w:rsidRPr="00522DBE">
        <w:rPr>
          <w:b/>
          <w:sz w:val="22"/>
          <w:szCs w:val="22"/>
        </w:rPr>
        <w:t xml:space="preserve">IV. </w:t>
      </w:r>
      <w:r w:rsidRPr="00522DBE">
        <w:rPr>
          <w:b/>
          <w:sz w:val="22"/>
          <w:szCs w:val="22"/>
        </w:rPr>
        <w:tab/>
        <w:t>IMPLEMENTATION DATE</w:t>
      </w:r>
    </w:p>
    <w:p w:rsidR="0078228C" w:rsidRPr="0078228C" w:rsidP="00522DBE" w14:paraId="78D16AC8" w14:textId="77777777"/>
    <w:p w:rsidR="007A5FCD" w:rsidP="007A5FCD" w14:paraId="6C728B48" w14:textId="1C40D545">
      <w:pPr>
        <w:pStyle w:val="ParaNum"/>
        <w:numPr>
          <w:ilvl w:val="0"/>
          <w:numId w:val="0"/>
        </w:numPr>
      </w:pPr>
      <w:r w:rsidRPr="00511023">
        <w:t xml:space="preserve">The </w:t>
      </w:r>
      <w:r>
        <w:t>rule</w:t>
      </w:r>
      <w:r>
        <w:rPr>
          <w:b/>
        </w:rPr>
        <w:t xml:space="preserve"> </w:t>
      </w:r>
      <w:r w:rsidR="008E1E16">
        <w:t xml:space="preserve">modifications </w:t>
      </w:r>
      <w:r>
        <w:t xml:space="preserve">in the </w:t>
      </w:r>
      <w:r w:rsidRPr="00511023">
        <w:rPr>
          <w:i/>
        </w:rPr>
        <w:t>Order</w:t>
      </w:r>
      <w:r>
        <w:t xml:space="preserve"> </w:t>
      </w:r>
      <w:r w:rsidRPr="0084392B">
        <w:t>bec</w:t>
      </w:r>
      <w:r w:rsidR="00FD3AFC">
        <w:t>a</w:t>
      </w:r>
      <w:r w:rsidRPr="0084392B">
        <w:t xml:space="preserve">me </w:t>
      </w:r>
      <w:r>
        <w:t xml:space="preserve">June 19, 2020. </w:t>
      </w:r>
    </w:p>
    <w:p w:rsidR="00C80F2B" w:rsidRPr="00EA267F" w:rsidP="00EA267F" w14:paraId="2FAEB2DD" w14:textId="77777777">
      <w:pPr>
        <w:ind w:left="360"/>
        <w:rPr>
          <w:b/>
        </w:rPr>
      </w:pPr>
    </w:p>
    <w:p w:rsidR="00EF75B4" w:rsidRPr="002E7BE7" w:rsidP="00522DBE" w14:paraId="3EC098E7" w14:textId="3D74BF9C">
      <w:pPr>
        <w:tabs>
          <w:tab w:val="left" w:pos="720"/>
        </w:tabs>
        <w:rPr>
          <w:rFonts w:cs="TimesNewRoman"/>
          <w:b/>
          <w:color w:val="010101"/>
          <w:sz w:val="22"/>
          <w:szCs w:val="22"/>
        </w:rPr>
      </w:pPr>
      <w:r w:rsidRPr="007313DC">
        <w:rPr>
          <w:b/>
          <w:sz w:val="22"/>
          <w:szCs w:val="22"/>
        </w:rPr>
        <w:t>V.</w:t>
      </w:r>
      <w:r w:rsidRPr="007313DC">
        <w:rPr>
          <w:b/>
          <w:sz w:val="22"/>
          <w:szCs w:val="22"/>
        </w:rPr>
        <w:tab/>
        <w:t>INTERNET LINKS</w:t>
      </w:r>
    </w:p>
    <w:p w:rsidR="00C475A9" w:rsidRPr="00B819CC" w:rsidP="00C475A9" w14:paraId="7DB6A364" w14:textId="77777777">
      <w:pPr>
        <w:autoSpaceDE w:val="0"/>
        <w:autoSpaceDN w:val="0"/>
        <w:adjustRightInd w:val="0"/>
        <w:rPr>
          <w:rFonts w:cs="TimesNewRoman"/>
          <w:color w:val="010101"/>
          <w:sz w:val="22"/>
          <w:szCs w:val="22"/>
        </w:rPr>
      </w:pPr>
    </w:p>
    <w:p w:rsidR="00224036" w14:paraId="2019AAF7" w14:textId="7E426877">
      <w:pPr>
        <w:rPr>
          <w:sz w:val="22"/>
          <w:szCs w:val="22"/>
        </w:rPr>
      </w:pPr>
      <w:r w:rsidRPr="00B819CC">
        <w:rPr>
          <w:sz w:val="22"/>
          <w:szCs w:val="22"/>
        </w:rPr>
        <w:t xml:space="preserve">A copy of the </w:t>
      </w:r>
      <w:r w:rsidRPr="00B819CC" w:rsidR="002207A8">
        <w:rPr>
          <w:i/>
          <w:sz w:val="22"/>
          <w:szCs w:val="22"/>
        </w:rPr>
        <w:t>O</w:t>
      </w:r>
      <w:r w:rsidRPr="00B819CC">
        <w:rPr>
          <w:i/>
          <w:sz w:val="22"/>
          <w:szCs w:val="22"/>
        </w:rPr>
        <w:t>rder</w:t>
      </w:r>
      <w:r w:rsidRPr="00B819CC">
        <w:rPr>
          <w:sz w:val="22"/>
          <w:szCs w:val="22"/>
        </w:rPr>
        <w:t xml:space="preserve"> is available at:</w:t>
      </w:r>
      <w:r w:rsidRPr="00B819CC" w:rsidR="005778FB">
        <w:rPr>
          <w:sz w:val="22"/>
          <w:szCs w:val="22"/>
        </w:rPr>
        <w:t xml:space="preserve"> </w:t>
      </w:r>
    </w:p>
    <w:p w:rsidR="00A6420C" w:rsidRPr="00A6420C" w:rsidP="00A6420C" w14:paraId="2740ADB8" w14:textId="25B1E977">
      <w:pPr>
        <w:rPr>
          <w:rStyle w:val="Hyperlink"/>
          <w:sz w:val="22"/>
          <w:szCs w:val="22"/>
        </w:rPr>
      </w:pPr>
      <w:r w:rsidRPr="00AC6623">
        <w:rPr>
          <w:rStyle w:val="Hyperlink"/>
          <w:sz w:val="22"/>
          <w:szCs w:val="22"/>
        </w:rPr>
        <w:t>https://docs.fcc.gov/public/attachments/FCC-19-57A1.pdf</w:t>
      </w:r>
      <w:r w:rsidRPr="009E7A91" w:rsidR="00274068">
        <w:rPr>
          <w:rStyle w:val="Hyperlink"/>
          <w:color w:val="auto"/>
          <w:sz w:val="22"/>
          <w:szCs w:val="22"/>
          <w:u w:val="none"/>
        </w:rPr>
        <w:t>.</w:t>
      </w:r>
    </w:p>
    <w:p w:rsidR="00E61E31" w:rsidRPr="00B819CC" w:rsidP="00E61E31" w14:paraId="4781620F" w14:textId="1820393E">
      <w:pPr>
        <w:ind w:left="360"/>
        <w:rPr>
          <w:sz w:val="22"/>
          <w:szCs w:val="22"/>
          <w:highlight w:val="yellow"/>
        </w:rPr>
      </w:pPr>
      <w:r w:rsidRPr="00B819CC">
        <w:rPr>
          <w:sz w:val="22"/>
          <w:szCs w:val="22"/>
          <w:highlight w:val="yellow"/>
        </w:rPr>
        <w:t xml:space="preserve"> </w:t>
      </w:r>
    </w:p>
    <w:p w:rsidR="00E61E31" w:rsidRPr="00B819CC" w:rsidP="00522DBE" w14:paraId="499BC51F" w14:textId="52CEACAC">
      <w:pPr>
        <w:tabs>
          <w:tab w:val="left" w:pos="720"/>
        </w:tabs>
        <w:rPr>
          <w:sz w:val="22"/>
          <w:szCs w:val="22"/>
        </w:rPr>
      </w:pPr>
      <w:r w:rsidRPr="00B819CC">
        <w:rPr>
          <w:sz w:val="22"/>
          <w:szCs w:val="22"/>
        </w:rPr>
        <w:t xml:space="preserve">A copy of the Federal Register Summary of the </w:t>
      </w:r>
      <w:r w:rsidRPr="00B819CC">
        <w:rPr>
          <w:i/>
          <w:sz w:val="22"/>
          <w:szCs w:val="22"/>
        </w:rPr>
        <w:t>Order</w:t>
      </w:r>
      <w:r w:rsidRPr="00B819CC">
        <w:rPr>
          <w:sz w:val="22"/>
          <w:szCs w:val="22"/>
        </w:rPr>
        <w:t xml:space="preserve"> is available at:</w:t>
      </w:r>
      <w:r w:rsidRPr="00B819CC" w:rsidR="007F4FC1">
        <w:rPr>
          <w:sz w:val="22"/>
          <w:szCs w:val="22"/>
        </w:rPr>
        <w:t xml:space="preserve"> </w:t>
      </w:r>
      <w:r w:rsidRPr="00B819CC" w:rsidR="00227C3A">
        <w:rPr>
          <w:sz w:val="22"/>
          <w:szCs w:val="22"/>
        </w:rPr>
        <w:t xml:space="preserve"> </w:t>
      </w:r>
    </w:p>
    <w:p w:rsidR="00224036" w:rsidRPr="009E7A91" w:rsidP="00A6420C" w14:paraId="3E340D6E" w14:textId="35563ECA">
      <w:pPr>
        <w:rPr>
          <w:rStyle w:val="Hyperlink"/>
          <w:color w:val="auto"/>
          <w:sz w:val="22"/>
          <w:szCs w:val="22"/>
          <w:u w:val="none"/>
        </w:rPr>
      </w:pPr>
      <w:r w:rsidRPr="00AC6623">
        <w:rPr>
          <w:rStyle w:val="Hyperlink"/>
          <w:sz w:val="22"/>
          <w:szCs w:val="22"/>
        </w:rPr>
        <w:t>https://www.govinfo.gov/content/pkg/FR-2020-05-20/pdf/2020-08250.pdf</w:t>
      </w:r>
      <w:r w:rsidRPr="009E7A91" w:rsidR="00274068">
        <w:rPr>
          <w:rStyle w:val="Hyperlink"/>
          <w:color w:val="auto"/>
          <w:sz w:val="22"/>
          <w:szCs w:val="22"/>
          <w:u w:val="none"/>
        </w:rPr>
        <w:t>.</w:t>
      </w:r>
    </w:p>
    <w:p w:rsidR="00A6420C" w:rsidRPr="00B819CC" w:rsidP="00E61E31" w14:paraId="0FB308FF" w14:textId="77777777">
      <w:pPr>
        <w:rPr>
          <w:sz w:val="22"/>
          <w:szCs w:val="22"/>
        </w:rPr>
      </w:pPr>
    </w:p>
    <w:p w:rsidR="00A6420C" w:rsidP="00A6420C" w14:paraId="724F689C" w14:textId="77777777">
      <w:pPr>
        <w:rPr>
          <w:sz w:val="22"/>
          <w:szCs w:val="22"/>
          <w:lang w:val="es-ES_tradnl"/>
        </w:rPr>
      </w:pPr>
      <w:r>
        <w:rPr>
          <w:sz w:val="22"/>
          <w:szCs w:val="22"/>
          <w:lang w:val="es-ES_tradnl"/>
        </w:rPr>
        <w:t xml:space="preserve">The EAS rules </w:t>
      </w:r>
      <w:r w:rsidR="006176DB">
        <w:rPr>
          <w:sz w:val="22"/>
          <w:szCs w:val="22"/>
          <w:lang w:val="es-ES_tradnl"/>
        </w:rPr>
        <w:t>are available at:</w:t>
      </w:r>
    </w:p>
    <w:p w:rsidR="00E61E31" w:rsidRPr="00B819CC" w:rsidP="00A6420C" w14:paraId="393A1C61" w14:textId="48B3ACF0">
      <w:pPr>
        <w:rPr>
          <w:sz w:val="22"/>
          <w:szCs w:val="22"/>
          <w:lang w:val="es-ES_tradnl"/>
        </w:rPr>
      </w:pPr>
      <w:r w:rsidRPr="00A6420C">
        <w:rPr>
          <w:rStyle w:val="Hyperlink"/>
          <w:sz w:val="22"/>
          <w:szCs w:val="22"/>
          <w:lang w:val="es-ES_tradnl"/>
        </w:rPr>
        <w:t>https://www.ecfr.gov/cgi-bin/text-idx?SID=1869975db8c012925a0cea5cc7215e17&amp;mc=true&amp;node=se47.1.11_161&amp;rgn=div8</w:t>
      </w:r>
      <w:r w:rsidRPr="009E7A91" w:rsidR="00274068">
        <w:rPr>
          <w:rStyle w:val="Hyperlink"/>
          <w:color w:val="auto"/>
          <w:sz w:val="22"/>
          <w:szCs w:val="22"/>
          <w:u w:val="none"/>
          <w:lang w:val="es-ES_tradnl"/>
        </w:rPr>
        <w:t>.</w:t>
      </w:r>
    </w:p>
    <w:sectPr w:rsidSect="00522DBE">
      <w:pgSz w:w="12240" w:h="15840" w:code="1"/>
      <w:pgMar w:top="1440" w:right="1800" w:bottom="1440" w:left="180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20FA" w:rsidP="00D7133C" w14:paraId="5D4F9970" w14:textId="77777777">
    <w:pPr>
      <w:pStyle w:val="Footer"/>
      <w:framePr w:wrap="around" w:vAnchor="text" w:hAnchor="margin" w:xAlign="center" w:y="1"/>
      <w:rPr>
        <w:rStyle w:val="PageNumber"/>
      </w:rPr>
    </w:pPr>
  </w:p>
  <w:p w:rsidR="00FC20FA" w14:paraId="51BE34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077" w14:paraId="7CEE975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077" w14:paraId="5380D9A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20FA" w:rsidP="00522DBE" w14:paraId="70040CBA" w14:textId="77777777">
    <w:pPr>
      <w:pStyle w:val="Header"/>
      <w:tabs>
        <w:tab w:val="left" w:pos="1440"/>
        <w:tab w:val="left" w:pos="2160"/>
      </w:tabs>
      <w:spacing w:before="360" w:line="228" w:lineRule="auto"/>
      <w:ind w:firstLine="1440"/>
    </w:pPr>
    <w:r>
      <w:rPr>
        <w:noProof/>
      </w:rPr>
      <w:drawing>
        <wp:anchor distT="0" distB="0" distL="114300" distR="114300" simplePos="0" relativeHeight="251658240" behindDoc="0" locked="0" layoutInCell="0" allowOverlap="1">
          <wp:simplePos x="0" y="0"/>
          <wp:positionH relativeFrom="column">
            <wp:posOffset>-404495</wp:posOffset>
          </wp:positionH>
          <wp:positionV relativeFrom="paragraph">
            <wp:posOffset>3175</wp:posOffset>
          </wp:positionV>
          <wp:extent cx="865505" cy="822960"/>
          <wp:effectExtent l="0" t="0" r="0" b="0"/>
          <wp:wrapThrough wrapText="bothSides">
            <wp:wrapPolygon>
              <wp:start x="0" y="0"/>
              <wp:lineTo x="0" y="21000"/>
              <wp:lineTo x="20919" y="21000"/>
              <wp:lineTo x="20919" y="0"/>
              <wp:lineTo x="0" y="0"/>
            </wp:wrapPolygon>
          </wp:wrapThrough>
          <wp:docPr id="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822704" name="Picture 41"/>
                  <pic:cNvPicPr>
                    <a:picLocks noChangeAspect="1" noChangeArrowheads="1"/>
                  </pic:cNvPicPr>
                </pic:nvPicPr>
                <pic:blipFill>
                  <a:blip xmlns:r="http://schemas.openxmlformats.org/officeDocument/2006/relationships" r:embed="rId1">
                    <a:lum contrast="6000"/>
                    <a:extLst>
                      <a:ext xmlns:a="http://schemas.openxmlformats.org/drawingml/2006/main" uri="{28A0092B-C50C-407E-A947-70E740481C1C}">
                        <a14:useLocalDpi xmlns:a14="http://schemas.microsoft.com/office/drawing/2010/main" val="0"/>
                      </a:ext>
                    </a:extLst>
                  </a:blip>
                  <a:stretch>
                    <a:fillRect/>
                  </a:stretch>
                </pic:blipFill>
                <pic:spPr bwMode="auto">
                  <a:xfrm>
                    <a:off x="0" y="0"/>
                    <a:ext cx="865505" cy="822960"/>
                  </a:xfrm>
                  <a:prstGeom prst="rect">
                    <a:avLst/>
                  </a:prstGeom>
                  <a:solidFill>
                    <a:srgbClr val="33CCCC"/>
                  </a:solidFill>
                  <a:ln>
                    <a:noFill/>
                  </a:ln>
                </pic:spPr>
              </pic:pic>
            </a:graphicData>
          </a:graphic>
          <wp14:sizeRelH relativeFrom="page">
            <wp14:pctWidth>0</wp14:pctWidth>
          </wp14:sizeRelH>
          <wp14:sizeRelV relativeFrom="page">
            <wp14:pctHeight>0</wp14:pctHeight>
          </wp14:sizeRelV>
        </wp:anchor>
      </w:drawing>
    </w:r>
    <w:r w:rsidRPr="001064D9">
      <w:rPr>
        <w:rFonts w:ascii="CG Times (W1)" w:eastAsia="CG Times (W1)" w:hAnsi="CG Times (W1)" w:cs="CG Times (W1)"/>
        <w:sz w:val="28"/>
        <w:szCs w:val="28"/>
      </w:rPr>
      <w:t>Federal Communications Commission</w:t>
    </w:r>
  </w:p>
  <w:p w:rsidR="00FC20FA" w:rsidP="00522DBE" w14:paraId="66691E40" w14:textId="7B11DE15">
    <w:pPr>
      <w:tabs>
        <w:tab w:val="left" w:pos="2160"/>
        <w:tab w:val="left" w:pos="2880"/>
      </w:tabs>
      <w:spacing w:after="60"/>
    </w:pPr>
    <w:r>
      <w:rPr>
        <w:rFonts w:ascii="CG Times (W1)" w:eastAsia="CG Times (W1)" w:hAnsi="CG Times (W1)" w:cs="CG Times (W1)"/>
        <w:sz w:val="28"/>
        <w:szCs w:val="28"/>
      </w:rPr>
      <w:tab/>
    </w:r>
    <w:r>
      <w:rPr>
        <w:rFonts w:ascii="CG Times (W1)" w:eastAsia="CG Times (W1)" w:hAnsi="CG Times (W1)" w:cs="CG Times (W1)"/>
        <w:sz w:val="28"/>
        <w:szCs w:val="28"/>
      </w:rPr>
      <w:tab/>
    </w:r>
    <w:r w:rsidRPr="001064D9">
      <w:rPr>
        <w:rFonts w:ascii="CG Times (W1)" w:eastAsia="CG Times (W1)" w:hAnsi="CG Times (W1)" w:cs="CG Times (W1)"/>
        <w:sz w:val="28"/>
        <w:szCs w:val="28"/>
      </w:rPr>
      <w:t>Washington, D.C. 20554</w:t>
    </w:r>
  </w:p>
  <w:p w:rsidR="00FC20FA" w:rsidRPr="009851E6" w:rsidP="00522DBE" w14:paraId="2DF39049" w14:textId="752B9B7A">
    <w:pPr>
      <w:pStyle w:val="Header"/>
      <w:tabs>
        <w:tab w:val="left" w:pos="2880"/>
      </w:tabs>
      <w:rPr>
        <w:sz w:val="24"/>
        <w:szCs w:val="24"/>
      </w:rPr>
    </w:pPr>
    <w:r>
      <w:rPr>
        <w:sz w:val="24"/>
        <w:szCs w:val="24"/>
      </w:rPr>
      <w:tab/>
    </w:r>
    <w:r>
      <w:rPr>
        <w:sz w:val="24"/>
        <w:szCs w:val="24"/>
      </w:rPr>
      <w:tab/>
    </w:r>
    <w:r w:rsidR="00257E0B">
      <w:rPr>
        <w:sz w:val="24"/>
        <w:szCs w:val="24"/>
      </w:rPr>
      <w:t xml:space="preserve">August </w:t>
    </w:r>
    <w:r w:rsidR="006339B7">
      <w:rPr>
        <w:sz w:val="24"/>
        <w:szCs w:val="24"/>
      </w:rPr>
      <w:t xml:space="preserve">19, </w:t>
    </w:r>
    <w:r>
      <w:rPr>
        <w:sz w:val="24"/>
        <w:szCs w:val="24"/>
      </w:rPr>
      <w:t>2020</w:t>
    </w:r>
  </w:p>
  <w:p w:rsidR="00FC20FA" w14:paraId="73F3107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077" w14:paraId="182C0A9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077" w14:paraId="027C89B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1B35C3"/>
    <w:multiLevelType w:val="hybridMultilevel"/>
    <w:tmpl w:val="5CDCF2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7086C12"/>
    <w:multiLevelType w:val="multilevel"/>
    <w:tmpl w:val="8D241368"/>
    <w:styleLink w:val="LFO1"/>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position w:val="0"/>
        <w:sz w:val="22"/>
        <w:u w:val="none"/>
        <w:vertAlign w:val="baseline"/>
      </w:rPr>
    </w:lvl>
    <w:lvl w:ilvl="1">
      <w:start w:val="4"/>
      <w:numFmt w:val="upperLetter"/>
      <w:lvlText w:val="%2."/>
      <w:lvlJc w:val="left"/>
      <w:pPr>
        <w:ind w:left="1800" w:hanging="360"/>
      </w:pPr>
      <w:rPr>
        <w:rFonts w:cs="Times New Roman"/>
      </w:rPr>
    </w:lvl>
    <w:lvl w:ilvl="2">
      <w:start w:val="3"/>
      <w:numFmt w:val="lowerLetter"/>
      <w:lvlText w:val="%3."/>
      <w:lvlJc w:val="left"/>
      <w:pPr>
        <w:ind w:left="2700" w:hanging="360"/>
      </w:pPr>
      <w:rPr>
        <w:rFonts w:cs="Times New Roman"/>
      </w:rPr>
    </w:lvl>
    <w:lvl w:ilvl="3">
      <w:start w:val="5"/>
      <w:numFmt w:val="lowerRoman"/>
      <w:lvlText w:val="(%4)"/>
      <w:lvlJc w:val="left"/>
      <w:pPr>
        <w:ind w:left="3600" w:hanging="720"/>
      </w:pPr>
      <w:rPr>
        <w:rFonts w:cs="Times New Roman"/>
        <w:i/>
      </w:rPr>
    </w:lvl>
    <w:lvl w:ilvl="4">
      <w:start w:val="1"/>
      <w:numFmt w:val="decimal"/>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0DD01808"/>
    <w:multiLevelType w:val="hybridMultilevel"/>
    <w:tmpl w:val="2EC24242"/>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FA3078B"/>
    <w:multiLevelType w:val="hybridMultilevel"/>
    <w:tmpl w:val="FAEA99E0"/>
    <w:lvl w:ilvl="0">
      <w:start w:val="1"/>
      <w:numFmt w:val="decimal"/>
      <w:lvlText w:val="%1."/>
      <w:lvlJc w:val="left"/>
      <w:pPr>
        <w:tabs>
          <w:tab w:val="num" w:pos="2520"/>
        </w:tabs>
        <w:ind w:left="2520" w:hanging="720"/>
      </w:pPr>
      <w:rPr>
        <w:rFonts w:hint="default"/>
        <w:b w:val="0"/>
        <w:i w:val="0"/>
        <w:sz w:val="24"/>
        <w:szCs w:val="24"/>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21E62824"/>
    <w:multiLevelType w:val="hybridMultilevel"/>
    <w:tmpl w:val="3D8C7FB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323296B"/>
    <w:multiLevelType w:val="hybridMultilevel"/>
    <w:tmpl w:val="2F4618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3E346EA"/>
    <w:multiLevelType w:val="hybridMultilevel"/>
    <w:tmpl w:val="82E28C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6F04F27"/>
    <w:multiLevelType w:val="hybridMultilevel"/>
    <w:tmpl w:val="05C6E7AE"/>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2160"/>
        </w:tabs>
        <w:ind w:left="2160" w:hanging="720"/>
      </w:pPr>
      <w:rPr>
        <w:rFonts w:hint="default"/>
        <w:b w:val="0"/>
        <w:i w:val="0"/>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41F52285"/>
    <w:multiLevelType w:val="hybridMultilevel"/>
    <w:tmpl w:val="2604D5A4"/>
    <w:lvl w:ilvl="0">
      <w:start w:val="1"/>
      <w:numFmt w:val="upp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448265AC"/>
    <w:multiLevelType w:val="hybridMultilevel"/>
    <w:tmpl w:val="ACC8E6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54D7110"/>
    <w:multiLevelType w:val="hybridMultilevel"/>
    <w:tmpl w:val="6BEA6886"/>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1">
    <w:nsid w:val="47A84C35"/>
    <w:multiLevelType w:val="hybridMultilevel"/>
    <w:tmpl w:val="350A208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91A32D9"/>
    <w:multiLevelType w:val="hybridMultilevel"/>
    <w:tmpl w:val="F84E91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0B74EFF"/>
    <w:multiLevelType w:val="hybridMultilevel"/>
    <w:tmpl w:val="AC8C0BA8"/>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B7028F"/>
    <w:multiLevelType w:val="hybridMultilevel"/>
    <w:tmpl w:val="62AA7E42"/>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9B5429E"/>
    <w:multiLevelType w:val="hybridMultilevel"/>
    <w:tmpl w:val="60AAE094"/>
    <w:lvl w:ilvl="0">
      <w:start w:val="1"/>
      <w:numFmt w:val="upperRoman"/>
      <w:lvlText w:val="%1."/>
      <w:lvlJc w:val="right"/>
      <w:pPr>
        <w:ind w:left="6210" w:hanging="360"/>
      </w:pPr>
      <w:rPr>
        <w:b/>
        <w:sz w:val="22"/>
        <w:szCs w:val="22"/>
      </w:rPr>
    </w:lvl>
    <w:lvl w:ilvl="1" w:tentative="1">
      <w:start w:val="1"/>
      <w:numFmt w:val="lowerLetter"/>
      <w:lvlText w:val="%2."/>
      <w:lvlJc w:val="left"/>
      <w:pPr>
        <w:ind w:left="7200" w:hanging="360"/>
      </w:pPr>
    </w:lvl>
    <w:lvl w:ilvl="2" w:tentative="1">
      <w:start w:val="1"/>
      <w:numFmt w:val="lowerRoman"/>
      <w:lvlText w:val="%3."/>
      <w:lvlJc w:val="right"/>
      <w:pPr>
        <w:ind w:left="7920" w:hanging="180"/>
      </w:pPr>
    </w:lvl>
    <w:lvl w:ilvl="3" w:tentative="1">
      <w:start w:val="1"/>
      <w:numFmt w:val="decimal"/>
      <w:lvlText w:val="%4."/>
      <w:lvlJc w:val="left"/>
      <w:pPr>
        <w:ind w:left="8640" w:hanging="360"/>
      </w:pPr>
    </w:lvl>
    <w:lvl w:ilvl="4" w:tentative="1">
      <w:start w:val="1"/>
      <w:numFmt w:val="lowerLetter"/>
      <w:lvlText w:val="%5."/>
      <w:lvlJc w:val="left"/>
      <w:pPr>
        <w:ind w:left="9360" w:hanging="360"/>
      </w:pPr>
    </w:lvl>
    <w:lvl w:ilvl="5" w:tentative="1">
      <w:start w:val="1"/>
      <w:numFmt w:val="lowerRoman"/>
      <w:lvlText w:val="%6."/>
      <w:lvlJc w:val="right"/>
      <w:pPr>
        <w:ind w:left="10080" w:hanging="180"/>
      </w:pPr>
    </w:lvl>
    <w:lvl w:ilvl="6" w:tentative="1">
      <w:start w:val="1"/>
      <w:numFmt w:val="decimal"/>
      <w:lvlText w:val="%7."/>
      <w:lvlJc w:val="left"/>
      <w:pPr>
        <w:ind w:left="10800" w:hanging="360"/>
      </w:pPr>
    </w:lvl>
    <w:lvl w:ilvl="7" w:tentative="1">
      <w:start w:val="1"/>
      <w:numFmt w:val="lowerLetter"/>
      <w:lvlText w:val="%8."/>
      <w:lvlJc w:val="left"/>
      <w:pPr>
        <w:ind w:left="11520" w:hanging="360"/>
      </w:pPr>
    </w:lvl>
    <w:lvl w:ilvl="8" w:tentative="1">
      <w:start w:val="1"/>
      <w:numFmt w:val="lowerRoman"/>
      <w:lvlText w:val="%9."/>
      <w:lvlJc w:val="right"/>
      <w:pPr>
        <w:ind w:left="12240" w:hanging="180"/>
      </w:pPr>
    </w:lvl>
  </w:abstractNum>
  <w:abstractNum w:abstractNumId="17">
    <w:nsid w:val="5DCC1B18"/>
    <w:multiLevelType w:val="hybridMultilevel"/>
    <w:tmpl w:val="2B12A31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0">
    <w:nsid w:val="61E14B61"/>
    <w:multiLevelType w:val="hybridMultilevel"/>
    <w:tmpl w:val="0DAA7F82"/>
    <w:lvl w:ilvl="0">
      <w:start w:val="1"/>
      <w:numFmt w:val="bullet"/>
      <w:lvlText w:val=""/>
      <w:lvlJc w:val="left"/>
      <w:pPr>
        <w:tabs>
          <w:tab w:val="num" w:pos="1800"/>
        </w:tabs>
        <w:ind w:left="1800" w:hanging="360"/>
      </w:pPr>
      <w:rPr>
        <w:rFonts w:ascii="Symbol" w:hAnsi="Symbol" w:hint="default"/>
      </w:rPr>
    </w:lvl>
    <w:lvl w:ilvl="1">
      <w:start w:val="1"/>
      <w:numFmt w:val="none"/>
      <w:lvlText w:val="E"/>
      <w:lvlJc w:val="left"/>
      <w:pPr>
        <w:tabs>
          <w:tab w:val="num" w:pos="2520"/>
        </w:tabs>
        <w:ind w:left="2520" w:hanging="360"/>
      </w:pPr>
      <w:rPr>
        <w:rFonts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1">
    <w:nsid w:val="621471FC"/>
    <w:multiLevelType w:val="hybridMultilevel"/>
    <w:tmpl w:val="41AE240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8292F2F"/>
    <w:multiLevelType w:val="hybridMultilevel"/>
    <w:tmpl w:val="5B727A4C"/>
    <w:lvl w:ilvl="0">
      <w:start w:val="1"/>
      <w:numFmt w:val="decimal"/>
      <w:lvlText w:val="%1."/>
      <w:lvlJc w:val="left"/>
      <w:pPr>
        <w:tabs>
          <w:tab w:val="num" w:pos="2250"/>
        </w:tabs>
        <w:ind w:left="2250" w:hanging="720"/>
      </w:pPr>
      <w:rPr>
        <w:rFonts w:hint="default"/>
        <w:b w:val="0"/>
        <w:i w:val="0"/>
        <w:sz w:val="24"/>
        <w:szCs w:val="24"/>
      </w:rPr>
    </w:lvl>
    <w:lvl w:ilvl="1">
      <w:start w:val="1"/>
      <w:numFmt w:val="bullet"/>
      <w:lvlText w:val=""/>
      <w:lvlJc w:val="left"/>
      <w:pPr>
        <w:tabs>
          <w:tab w:val="num" w:pos="1440"/>
        </w:tabs>
        <w:ind w:left="1440" w:hanging="360"/>
      </w:pPr>
      <w:rPr>
        <w:rFonts w:ascii="Symbol" w:hAnsi="Symbol" w:hint="default"/>
        <w:b w:val="0"/>
        <w:i w:val="0"/>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9133D54"/>
    <w:multiLevelType w:val="hybridMultilevel"/>
    <w:tmpl w:val="90D6D2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9396BEB"/>
    <w:multiLevelType w:val="hybridMultilevel"/>
    <w:tmpl w:val="AA52AD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A4A6C7A"/>
    <w:multiLevelType w:val="hybridMultilevel"/>
    <w:tmpl w:val="B0CE47DA"/>
    <w:lvl w:ilvl="0">
      <w:start w:val="1"/>
      <w:numFmt w:val="decimal"/>
      <w:lvlText w:val="%1."/>
      <w:lvlJc w:val="left"/>
      <w:pPr>
        <w:tabs>
          <w:tab w:val="num" w:pos="1296"/>
        </w:tabs>
        <w:ind w:left="360" w:firstLine="90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lvl w:ilvl="1">
      <w:start w:val="4"/>
      <w:numFmt w:val="upperLetter"/>
      <w:lvlText w:val="%2."/>
      <w:lvlJc w:val="left"/>
      <w:pPr>
        <w:tabs>
          <w:tab w:val="num" w:pos="1440"/>
        </w:tabs>
        <w:ind w:left="1440" w:hanging="360"/>
      </w:pPr>
      <w:rPr>
        <w:rFonts w:cs="Times New Roman" w:hint="default"/>
      </w:rPr>
    </w:lvl>
    <w:lvl w:ilvl="2">
      <w:start w:val="3"/>
      <w:numFmt w:val="lowerLetter"/>
      <w:lvlText w:val="%3."/>
      <w:lvlJc w:val="left"/>
      <w:pPr>
        <w:tabs>
          <w:tab w:val="num" w:pos="2340"/>
        </w:tabs>
        <w:ind w:left="2340" w:hanging="360"/>
      </w:pPr>
      <w:rPr>
        <w:rFonts w:cs="Times New Roman" w:hint="default"/>
      </w:rPr>
    </w:lvl>
    <w:lvl w:ilvl="3">
      <w:start w:val="5"/>
      <w:numFmt w:val="lowerRoman"/>
      <w:lvlText w:val="(%4)"/>
      <w:lvlJc w:val="left"/>
      <w:pPr>
        <w:tabs>
          <w:tab w:val="num" w:pos="3240"/>
        </w:tabs>
        <w:ind w:left="3240" w:hanging="720"/>
      </w:pPr>
      <w:rPr>
        <w:rFonts w:cs="Times New Roman" w:hint="default"/>
        <w:i/>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6EA46BAA"/>
    <w:multiLevelType w:val="multilevel"/>
    <w:tmpl w:val="51D241B0"/>
    <w:lvl w:ilvl="0">
      <w:start w:val="1"/>
      <w:numFmt w:val="bullet"/>
      <w:lvlText w:val=""/>
      <w:lvlJc w:val="left"/>
      <w:pPr>
        <w:ind w:left="810" w:firstLine="0"/>
      </w:pPr>
      <w:rPr>
        <w:rFonts w:ascii="Symbol" w:hAnsi="Symbol" w:hint="default"/>
        <w:b w:val="0"/>
        <w:i w:val="0"/>
        <w:strike w:val="0"/>
        <w:dstrike w:val="0"/>
        <w:vanish w:val="0"/>
        <w:position w:val="0"/>
        <w:sz w:val="22"/>
        <w:u w:val="none"/>
        <w:vertAlign w:val="baseline"/>
      </w:rPr>
    </w:lvl>
    <w:lvl w:ilvl="1">
      <w:start w:val="4"/>
      <w:numFmt w:val="upperLetter"/>
      <w:lvlText w:val="%2."/>
      <w:lvlJc w:val="left"/>
      <w:pPr>
        <w:ind w:left="990" w:hanging="360"/>
      </w:pPr>
      <w:rPr>
        <w:rFonts w:cs="Times New Roman"/>
      </w:rPr>
    </w:lvl>
    <w:lvl w:ilvl="2">
      <w:start w:val="3"/>
      <w:numFmt w:val="lowerLetter"/>
      <w:lvlText w:val="%3."/>
      <w:lvlJc w:val="left"/>
      <w:pPr>
        <w:ind w:left="1890" w:hanging="360"/>
      </w:pPr>
      <w:rPr>
        <w:rFonts w:cs="Times New Roman"/>
      </w:rPr>
    </w:lvl>
    <w:lvl w:ilvl="3">
      <w:start w:val="5"/>
      <w:numFmt w:val="lowerRoman"/>
      <w:lvlText w:val="(%4)"/>
      <w:lvlJc w:val="left"/>
      <w:pPr>
        <w:ind w:left="2790" w:hanging="720"/>
      </w:pPr>
      <w:rPr>
        <w:rFonts w:cs="Times New Roman"/>
        <w:i/>
      </w:rPr>
    </w:lvl>
    <w:lvl w:ilvl="4">
      <w:start w:val="1"/>
      <w:numFmt w:val="decimal"/>
      <w:lvlText w:val="%5)"/>
      <w:lvlJc w:val="left"/>
      <w:pPr>
        <w:ind w:left="3150" w:hanging="360"/>
      </w:pPr>
      <w:rPr>
        <w:rFonts w:cs="Times New Roman"/>
      </w:rPr>
    </w:lvl>
    <w:lvl w:ilvl="5">
      <w:start w:val="1"/>
      <w:numFmt w:val="lowerRoman"/>
      <w:lvlText w:val="%6."/>
      <w:lvlJc w:val="right"/>
      <w:pPr>
        <w:ind w:left="3870" w:hanging="180"/>
      </w:pPr>
      <w:rPr>
        <w:rFonts w:cs="Times New Roman"/>
      </w:rPr>
    </w:lvl>
    <w:lvl w:ilvl="6">
      <w:start w:val="1"/>
      <w:numFmt w:val="decimal"/>
      <w:lvlText w:val="%7."/>
      <w:lvlJc w:val="left"/>
      <w:pPr>
        <w:ind w:left="4590" w:hanging="360"/>
      </w:pPr>
      <w:rPr>
        <w:rFonts w:cs="Times New Roman"/>
      </w:rPr>
    </w:lvl>
    <w:lvl w:ilvl="7">
      <w:start w:val="1"/>
      <w:numFmt w:val="lowerLetter"/>
      <w:lvlText w:val="%8."/>
      <w:lvlJc w:val="left"/>
      <w:pPr>
        <w:ind w:left="5310" w:hanging="360"/>
      </w:pPr>
      <w:rPr>
        <w:rFonts w:cs="Times New Roman"/>
      </w:rPr>
    </w:lvl>
    <w:lvl w:ilvl="8">
      <w:start w:val="1"/>
      <w:numFmt w:val="lowerRoman"/>
      <w:lvlText w:val="%9."/>
      <w:lvlJc w:val="right"/>
      <w:pPr>
        <w:ind w:left="6030" w:hanging="180"/>
      </w:pPr>
      <w:rPr>
        <w:rFonts w:cs="Times New Roman"/>
      </w:rPr>
    </w:lvl>
  </w:abstractNum>
  <w:abstractNum w:abstractNumId="27">
    <w:nsid w:val="727A04F2"/>
    <w:multiLevelType w:val="hybridMultilevel"/>
    <w:tmpl w:val="D106887E"/>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8">
    <w:nsid w:val="759A755A"/>
    <w:multiLevelType w:val="hybridMultilevel"/>
    <w:tmpl w:val="E7D2DF04"/>
    <w:lvl w:ilvl="0">
      <w:start w:val="1"/>
      <w:numFmt w:val="upperLetter"/>
      <w:pStyle w:val="Heading1"/>
      <w:lvlText w:val="%1."/>
      <w:lvlJc w:val="left"/>
      <w:pPr>
        <w:tabs>
          <w:tab w:val="num" w:pos="360"/>
        </w:tabs>
        <w:ind w:left="360" w:hanging="360"/>
      </w:pPr>
      <w:rPr>
        <w:rFonts w:hint="default"/>
        <w:b/>
        <w:i w:val="0"/>
      </w:rPr>
    </w:lvl>
    <w:lvl w:ilvl="1">
      <w:start w:val="1"/>
      <w:numFmt w:val="decimal"/>
      <w:lvlText w:val="%2."/>
      <w:lvlJc w:val="left"/>
      <w:pPr>
        <w:tabs>
          <w:tab w:val="num" w:pos="1800"/>
        </w:tabs>
        <w:ind w:left="1800" w:hanging="720"/>
      </w:pPr>
      <w:rPr>
        <w:rFonts w:hint="default"/>
        <w:b w:val="0"/>
        <w:i w:val="0"/>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60E523E"/>
    <w:multiLevelType w:val="hybridMultilevel"/>
    <w:tmpl w:val="DA72F03E"/>
    <w:lvl w:ilvl="0">
      <w:start w:val="5"/>
      <w:numFmt w:val="decimal"/>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rPr>
        <w:rFonts w:hint="default"/>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F7C1652"/>
    <w:multiLevelType w:val="hybridMultilevel"/>
    <w:tmpl w:val="3EC80306"/>
    <w:lvl w:ilvl="0">
      <w:start w:val="1"/>
      <w:numFmt w:val="lowerLetter"/>
      <w:lvlText w:val="%1."/>
      <w:lvlJc w:val="left"/>
      <w:pPr>
        <w:tabs>
          <w:tab w:val="num" w:pos="720"/>
        </w:tabs>
        <w:ind w:left="720" w:hanging="360"/>
      </w:pPr>
    </w:lvl>
    <w:lvl w:ilvl="1">
      <w:start w:val="9"/>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22"/>
  </w:num>
  <w:num w:numId="4">
    <w:abstractNumId w:val="20"/>
  </w:num>
  <w:num w:numId="5">
    <w:abstractNumId w:val="0"/>
  </w:num>
  <w:num w:numId="6">
    <w:abstractNumId w:val="3"/>
  </w:num>
  <w:num w:numId="7">
    <w:abstractNumId w:val="6"/>
  </w:num>
  <w:num w:numId="8">
    <w:abstractNumId w:val="28"/>
  </w:num>
  <w:num w:numId="9">
    <w:abstractNumId w:val="8"/>
  </w:num>
  <w:num w:numId="10">
    <w:abstractNumId w:val="2"/>
  </w:num>
  <w:num w:numId="11">
    <w:abstractNumId w:val="10"/>
  </w:num>
  <w:num w:numId="12">
    <w:abstractNumId w:val="23"/>
  </w:num>
  <w:num w:numId="13">
    <w:abstractNumId w:val="24"/>
  </w:num>
  <w:num w:numId="14">
    <w:abstractNumId w:val="27"/>
  </w:num>
  <w:num w:numId="15">
    <w:abstractNumId w:val="29"/>
  </w:num>
  <w:num w:numId="16">
    <w:abstractNumId w:val="31"/>
  </w:num>
  <w:num w:numId="17">
    <w:abstractNumId w:val="12"/>
  </w:num>
  <w:num w:numId="18">
    <w:abstractNumId w:val="9"/>
  </w:num>
  <w:num w:numId="19">
    <w:abstractNumId w:val="5"/>
  </w:num>
  <w:num w:numId="20">
    <w:abstractNumId w:val="15"/>
  </w:num>
  <w:num w:numId="21">
    <w:abstractNumId w:val="19"/>
  </w:num>
  <w:num w:numId="22">
    <w:abstractNumId w:val="25"/>
  </w:num>
  <w:num w:numId="23">
    <w:abstractNumId w:val="1"/>
    <w:lvlOverride w:ilvl="0">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position w:val="0"/>
          <w:sz w:val="22"/>
          <w:u w:val="none"/>
          <w:vertAlign w:val="baseline"/>
        </w:rPr>
      </w:lvl>
    </w:lvlOverride>
    <w:lvlOverride w:ilvl="1">
      <w:lvl w:ilvl="1">
        <w:start w:val="4"/>
        <w:numFmt w:val="upperLetter"/>
        <w:lvlText w:val="%2."/>
        <w:lvlJc w:val="left"/>
        <w:pPr>
          <w:ind w:left="1800" w:hanging="360"/>
        </w:pPr>
        <w:rPr>
          <w:rFonts w:cs="Times New Roman"/>
        </w:rPr>
      </w:lvl>
    </w:lvlOverride>
    <w:lvlOverride w:ilvl="2">
      <w:lvl w:ilvl="2">
        <w:start w:val="3"/>
        <w:numFmt w:val="lowerLetter"/>
        <w:lvlText w:val="%3."/>
        <w:lvlJc w:val="left"/>
        <w:pPr>
          <w:ind w:left="2700" w:hanging="360"/>
        </w:pPr>
        <w:rPr>
          <w:rFonts w:cs="Times New Roman"/>
        </w:rPr>
      </w:lvl>
    </w:lvlOverride>
    <w:lvlOverride w:ilvl="3">
      <w:lvl w:ilvl="3">
        <w:start w:val="5"/>
        <w:numFmt w:val="lowerRoman"/>
        <w:lvlText w:val="(%4)"/>
        <w:lvlJc w:val="left"/>
        <w:pPr>
          <w:ind w:left="3600" w:hanging="720"/>
        </w:pPr>
        <w:rPr>
          <w:rFonts w:cs="Times New Roman"/>
          <w:i/>
        </w:rPr>
      </w:lvl>
    </w:lvlOverride>
    <w:lvlOverride w:ilvl="4">
      <w:lvl w:ilvl="4">
        <w:start w:val="1"/>
        <w:numFmt w:val="decimal"/>
        <w:lvlText w:val="%5)"/>
        <w:lvlJc w:val="left"/>
        <w:pPr>
          <w:ind w:left="3960" w:hanging="360"/>
        </w:pPr>
        <w:rPr>
          <w:rFonts w:cs="Times New Roman"/>
        </w:rPr>
      </w:lvl>
    </w:lvlOverride>
    <w:lvlOverride w:ilvl="5">
      <w:lvl w:ilvl="5">
        <w:start w:val="1"/>
        <w:numFmt w:val="lowerRoman"/>
        <w:lvlText w:val="%6."/>
        <w:lvlJc w:val="right"/>
        <w:pPr>
          <w:ind w:left="4680" w:hanging="180"/>
        </w:pPr>
        <w:rPr>
          <w:rFonts w:cs="Times New Roman"/>
        </w:rPr>
      </w:lvl>
    </w:lvlOverride>
    <w:lvlOverride w:ilvl="6">
      <w:lvl w:ilvl="6">
        <w:start w:val="1"/>
        <w:numFmt w:val="decimal"/>
        <w:lvlText w:val="%7."/>
        <w:lvlJc w:val="left"/>
        <w:pPr>
          <w:ind w:left="5400" w:hanging="360"/>
        </w:pPr>
        <w:rPr>
          <w:rFonts w:cs="Times New Roman"/>
        </w:rPr>
      </w:lvl>
    </w:lvlOverride>
    <w:lvlOverride w:ilvl="7">
      <w:lvl w:ilvl="7">
        <w:start w:val="1"/>
        <w:numFmt w:val="lowerLetter"/>
        <w:lvlText w:val="%8."/>
        <w:lvlJc w:val="left"/>
        <w:pPr>
          <w:ind w:left="6120" w:hanging="360"/>
        </w:pPr>
        <w:rPr>
          <w:rFonts w:cs="Times New Roman"/>
        </w:rPr>
      </w:lvl>
    </w:lvlOverride>
    <w:lvlOverride w:ilvl="8">
      <w:lvl w:ilvl="8">
        <w:start w:val="1"/>
        <w:numFmt w:val="lowerRoman"/>
        <w:lvlText w:val="%9."/>
        <w:lvlJc w:val="right"/>
        <w:pPr>
          <w:ind w:left="6840" w:hanging="180"/>
        </w:pPr>
        <w:rPr>
          <w:rFonts w:cs="Times New Roman"/>
        </w:rPr>
      </w:lvl>
    </w:lvlOverride>
  </w:num>
  <w:num w:numId="24">
    <w:abstractNumId w:val="1"/>
  </w:num>
  <w:num w:numId="25">
    <w:abstractNumId w:val="26"/>
  </w:num>
  <w:num w:numId="26">
    <w:abstractNumId w:val="21"/>
  </w:num>
  <w:num w:numId="27">
    <w:abstractNumId w:val="4"/>
  </w:num>
  <w:num w:numId="28">
    <w:abstractNumId w:val="19"/>
  </w:num>
  <w:num w:numId="29">
    <w:abstractNumId w:val="19"/>
  </w:num>
  <w:num w:numId="30">
    <w:abstractNumId w:val="19"/>
  </w:num>
  <w:num w:numId="31">
    <w:abstractNumId w:val="14"/>
  </w:num>
  <w:num w:numId="32">
    <w:abstractNumId w:val="16"/>
  </w:num>
  <w:num w:numId="33">
    <w:abstractNumId w:val="17"/>
  </w:num>
  <w:num w:numId="34">
    <w:abstractNumId w:val="30"/>
  </w:num>
  <w:num w:numId="35">
    <w:abstractNumId w:val="13"/>
  </w:num>
  <w:num w:numId="36">
    <w:abstractNumId w:val="18"/>
  </w:num>
  <w:num w:numId="37">
    <w:abstractNumId w:val="1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ED"/>
    <w:rsid w:val="00001CAD"/>
    <w:rsid w:val="00022ED4"/>
    <w:rsid w:val="00043330"/>
    <w:rsid w:val="00045114"/>
    <w:rsid w:val="00050525"/>
    <w:rsid w:val="000513F1"/>
    <w:rsid w:val="00060052"/>
    <w:rsid w:val="00065CEF"/>
    <w:rsid w:val="00071826"/>
    <w:rsid w:val="000725E9"/>
    <w:rsid w:val="000726CA"/>
    <w:rsid w:val="000768BA"/>
    <w:rsid w:val="000847BE"/>
    <w:rsid w:val="00086FDB"/>
    <w:rsid w:val="0009235B"/>
    <w:rsid w:val="0009451A"/>
    <w:rsid w:val="000963A5"/>
    <w:rsid w:val="00097FAE"/>
    <w:rsid w:val="000A1B3A"/>
    <w:rsid w:val="000B24D2"/>
    <w:rsid w:val="000C0401"/>
    <w:rsid w:val="000C26B2"/>
    <w:rsid w:val="000C52EB"/>
    <w:rsid w:val="000C651A"/>
    <w:rsid w:val="000D013A"/>
    <w:rsid w:val="000F4431"/>
    <w:rsid w:val="00104CB7"/>
    <w:rsid w:val="001064D9"/>
    <w:rsid w:val="00106C0D"/>
    <w:rsid w:val="00110F50"/>
    <w:rsid w:val="00112DDB"/>
    <w:rsid w:val="0011484A"/>
    <w:rsid w:val="00125E89"/>
    <w:rsid w:val="00131835"/>
    <w:rsid w:val="00134DD6"/>
    <w:rsid w:val="00135145"/>
    <w:rsid w:val="001410ED"/>
    <w:rsid w:val="00144740"/>
    <w:rsid w:val="00147BD3"/>
    <w:rsid w:val="00150F38"/>
    <w:rsid w:val="0015134B"/>
    <w:rsid w:val="001577AF"/>
    <w:rsid w:val="00173991"/>
    <w:rsid w:val="0017572A"/>
    <w:rsid w:val="00177692"/>
    <w:rsid w:val="00190B79"/>
    <w:rsid w:val="00191EA3"/>
    <w:rsid w:val="001931E5"/>
    <w:rsid w:val="001A485C"/>
    <w:rsid w:val="001A527D"/>
    <w:rsid w:val="001B2DBB"/>
    <w:rsid w:val="001C6C62"/>
    <w:rsid w:val="001D36BD"/>
    <w:rsid w:val="001E7077"/>
    <w:rsid w:val="001F7C1B"/>
    <w:rsid w:val="002029D2"/>
    <w:rsid w:val="00202A0F"/>
    <w:rsid w:val="002042A2"/>
    <w:rsid w:val="0021292C"/>
    <w:rsid w:val="002144DE"/>
    <w:rsid w:val="002207A8"/>
    <w:rsid w:val="00222712"/>
    <w:rsid w:val="002228A6"/>
    <w:rsid w:val="00224036"/>
    <w:rsid w:val="00227C3A"/>
    <w:rsid w:val="002301F8"/>
    <w:rsid w:val="002319E1"/>
    <w:rsid w:val="00233B44"/>
    <w:rsid w:val="00242E0B"/>
    <w:rsid w:val="00245081"/>
    <w:rsid w:val="00250A1A"/>
    <w:rsid w:val="00257E0B"/>
    <w:rsid w:val="00266BA7"/>
    <w:rsid w:val="00273349"/>
    <w:rsid w:val="00274068"/>
    <w:rsid w:val="00275EB3"/>
    <w:rsid w:val="002762B6"/>
    <w:rsid w:val="00281F10"/>
    <w:rsid w:val="00286065"/>
    <w:rsid w:val="0029107D"/>
    <w:rsid w:val="00291641"/>
    <w:rsid w:val="002A1008"/>
    <w:rsid w:val="002A72E5"/>
    <w:rsid w:val="002B6FFA"/>
    <w:rsid w:val="002C48BA"/>
    <w:rsid w:val="002D12BC"/>
    <w:rsid w:val="002D63B3"/>
    <w:rsid w:val="002E23CD"/>
    <w:rsid w:val="002E4882"/>
    <w:rsid w:val="002E524D"/>
    <w:rsid w:val="002E7597"/>
    <w:rsid w:val="002E7BE7"/>
    <w:rsid w:val="002F7A94"/>
    <w:rsid w:val="002F7B74"/>
    <w:rsid w:val="00314AF6"/>
    <w:rsid w:val="003160A1"/>
    <w:rsid w:val="0033436E"/>
    <w:rsid w:val="003362C6"/>
    <w:rsid w:val="00345802"/>
    <w:rsid w:val="00345C4F"/>
    <w:rsid w:val="003614B3"/>
    <w:rsid w:val="00361E8C"/>
    <w:rsid w:val="00366F35"/>
    <w:rsid w:val="00376AF3"/>
    <w:rsid w:val="00381CA3"/>
    <w:rsid w:val="0038524A"/>
    <w:rsid w:val="00391262"/>
    <w:rsid w:val="00392BB2"/>
    <w:rsid w:val="00394310"/>
    <w:rsid w:val="003A14C8"/>
    <w:rsid w:val="003A291C"/>
    <w:rsid w:val="003A47C3"/>
    <w:rsid w:val="003A7FE2"/>
    <w:rsid w:val="003B6E07"/>
    <w:rsid w:val="003D1274"/>
    <w:rsid w:val="003D5AA3"/>
    <w:rsid w:val="003E0570"/>
    <w:rsid w:val="003F249D"/>
    <w:rsid w:val="00400843"/>
    <w:rsid w:val="00422365"/>
    <w:rsid w:val="0042236F"/>
    <w:rsid w:val="00422F74"/>
    <w:rsid w:val="00423972"/>
    <w:rsid w:val="004318A5"/>
    <w:rsid w:val="00441172"/>
    <w:rsid w:val="00442AFF"/>
    <w:rsid w:val="00445E8E"/>
    <w:rsid w:val="004548F1"/>
    <w:rsid w:val="00455F88"/>
    <w:rsid w:val="00461711"/>
    <w:rsid w:val="00462EF2"/>
    <w:rsid w:val="00482E80"/>
    <w:rsid w:val="00482FB9"/>
    <w:rsid w:val="0048388D"/>
    <w:rsid w:val="00484309"/>
    <w:rsid w:val="00493A91"/>
    <w:rsid w:val="00493D79"/>
    <w:rsid w:val="00497E7A"/>
    <w:rsid w:val="004B1019"/>
    <w:rsid w:val="004B17B6"/>
    <w:rsid w:val="004B38E9"/>
    <w:rsid w:val="004B4A6F"/>
    <w:rsid w:val="004C3FDF"/>
    <w:rsid w:val="004C4D7C"/>
    <w:rsid w:val="004C72E0"/>
    <w:rsid w:val="004C7AE0"/>
    <w:rsid w:val="004D173B"/>
    <w:rsid w:val="004E60E6"/>
    <w:rsid w:val="004F3001"/>
    <w:rsid w:val="004F3CF7"/>
    <w:rsid w:val="00504CF0"/>
    <w:rsid w:val="00510FFF"/>
    <w:rsid w:val="00511023"/>
    <w:rsid w:val="00522DBE"/>
    <w:rsid w:val="005230B1"/>
    <w:rsid w:val="00526871"/>
    <w:rsid w:val="005302A3"/>
    <w:rsid w:val="005339D2"/>
    <w:rsid w:val="00545478"/>
    <w:rsid w:val="0054758A"/>
    <w:rsid w:val="005533DB"/>
    <w:rsid w:val="005778FB"/>
    <w:rsid w:val="005827E9"/>
    <w:rsid w:val="0058295A"/>
    <w:rsid w:val="005975E2"/>
    <w:rsid w:val="005A0072"/>
    <w:rsid w:val="005A0E99"/>
    <w:rsid w:val="005A111D"/>
    <w:rsid w:val="005B37DD"/>
    <w:rsid w:val="005B79C1"/>
    <w:rsid w:val="005B7C9E"/>
    <w:rsid w:val="005C51DC"/>
    <w:rsid w:val="005D0294"/>
    <w:rsid w:val="005D509F"/>
    <w:rsid w:val="005D73BC"/>
    <w:rsid w:val="005F06A8"/>
    <w:rsid w:val="005F1FDF"/>
    <w:rsid w:val="005F4F44"/>
    <w:rsid w:val="00601667"/>
    <w:rsid w:val="006027B3"/>
    <w:rsid w:val="00612106"/>
    <w:rsid w:val="0061703D"/>
    <w:rsid w:val="006176DB"/>
    <w:rsid w:val="00617D80"/>
    <w:rsid w:val="00625A67"/>
    <w:rsid w:val="00625C61"/>
    <w:rsid w:val="006339B7"/>
    <w:rsid w:val="00635CC9"/>
    <w:rsid w:val="0064102B"/>
    <w:rsid w:val="006460EE"/>
    <w:rsid w:val="00647C79"/>
    <w:rsid w:val="00661FB1"/>
    <w:rsid w:val="00670C6D"/>
    <w:rsid w:val="00694B05"/>
    <w:rsid w:val="006A3438"/>
    <w:rsid w:val="006B27FC"/>
    <w:rsid w:val="006B3AA1"/>
    <w:rsid w:val="006B51D3"/>
    <w:rsid w:val="006D19C3"/>
    <w:rsid w:val="006E0742"/>
    <w:rsid w:val="006E1C82"/>
    <w:rsid w:val="006F0769"/>
    <w:rsid w:val="006F3157"/>
    <w:rsid w:val="006F6023"/>
    <w:rsid w:val="00703A83"/>
    <w:rsid w:val="00710847"/>
    <w:rsid w:val="0071259D"/>
    <w:rsid w:val="00724927"/>
    <w:rsid w:val="007313DC"/>
    <w:rsid w:val="00732DA0"/>
    <w:rsid w:val="007345B3"/>
    <w:rsid w:val="00743443"/>
    <w:rsid w:val="007475E0"/>
    <w:rsid w:val="00751FCB"/>
    <w:rsid w:val="00770B3D"/>
    <w:rsid w:val="00774714"/>
    <w:rsid w:val="0078228C"/>
    <w:rsid w:val="007910BC"/>
    <w:rsid w:val="007A2584"/>
    <w:rsid w:val="007A259C"/>
    <w:rsid w:val="007A4B45"/>
    <w:rsid w:val="007A5FCD"/>
    <w:rsid w:val="007A7A48"/>
    <w:rsid w:val="007B2DE1"/>
    <w:rsid w:val="007B5347"/>
    <w:rsid w:val="007D6C19"/>
    <w:rsid w:val="007F0C47"/>
    <w:rsid w:val="007F4C9F"/>
    <w:rsid w:val="007F4FC1"/>
    <w:rsid w:val="00812158"/>
    <w:rsid w:val="008151B3"/>
    <w:rsid w:val="00815882"/>
    <w:rsid w:val="00821E2F"/>
    <w:rsid w:val="008276E2"/>
    <w:rsid w:val="00833B74"/>
    <w:rsid w:val="0084392B"/>
    <w:rsid w:val="008461FE"/>
    <w:rsid w:val="00847924"/>
    <w:rsid w:val="00854A12"/>
    <w:rsid w:val="00854B12"/>
    <w:rsid w:val="00857CDF"/>
    <w:rsid w:val="0087409A"/>
    <w:rsid w:val="00874300"/>
    <w:rsid w:val="00882D1F"/>
    <w:rsid w:val="0088403C"/>
    <w:rsid w:val="0088431B"/>
    <w:rsid w:val="00896C6B"/>
    <w:rsid w:val="008A4BCD"/>
    <w:rsid w:val="008B29F6"/>
    <w:rsid w:val="008C6364"/>
    <w:rsid w:val="008C647A"/>
    <w:rsid w:val="008C6C79"/>
    <w:rsid w:val="008E0A04"/>
    <w:rsid w:val="008E1E16"/>
    <w:rsid w:val="008E3521"/>
    <w:rsid w:val="00901BB4"/>
    <w:rsid w:val="00901D73"/>
    <w:rsid w:val="00905F77"/>
    <w:rsid w:val="00907C63"/>
    <w:rsid w:val="00907C78"/>
    <w:rsid w:val="00911533"/>
    <w:rsid w:val="009137DD"/>
    <w:rsid w:val="009209BC"/>
    <w:rsid w:val="00930F2D"/>
    <w:rsid w:val="00945E4F"/>
    <w:rsid w:val="009543E6"/>
    <w:rsid w:val="00963ADF"/>
    <w:rsid w:val="0096431F"/>
    <w:rsid w:val="00970F0F"/>
    <w:rsid w:val="00984EFA"/>
    <w:rsid w:val="009851E6"/>
    <w:rsid w:val="009903A3"/>
    <w:rsid w:val="00990680"/>
    <w:rsid w:val="00994330"/>
    <w:rsid w:val="009A61A0"/>
    <w:rsid w:val="009B4858"/>
    <w:rsid w:val="009C3382"/>
    <w:rsid w:val="009D2031"/>
    <w:rsid w:val="009D5BE4"/>
    <w:rsid w:val="009E0338"/>
    <w:rsid w:val="009E1C44"/>
    <w:rsid w:val="009E59A2"/>
    <w:rsid w:val="009E5F71"/>
    <w:rsid w:val="009E7A91"/>
    <w:rsid w:val="009F61F0"/>
    <w:rsid w:val="009F712F"/>
    <w:rsid w:val="00A024DE"/>
    <w:rsid w:val="00A0670E"/>
    <w:rsid w:val="00A07933"/>
    <w:rsid w:val="00A14D02"/>
    <w:rsid w:val="00A32DE9"/>
    <w:rsid w:val="00A41BEB"/>
    <w:rsid w:val="00A42EE6"/>
    <w:rsid w:val="00A60B6F"/>
    <w:rsid w:val="00A61FFB"/>
    <w:rsid w:val="00A6420C"/>
    <w:rsid w:val="00A64CCC"/>
    <w:rsid w:val="00A77036"/>
    <w:rsid w:val="00A774E5"/>
    <w:rsid w:val="00A775FF"/>
    <w:rsid w:val="00A84A8B"/>
    <w:rsid w:val="00A905D2"/>
    <w:rsid w:val="00AB20AD"/>
    <w:rsid w:val="00AB338B"/>
    <w:rsid w:val="00AB41D4"/>
    <w:rsid w:val="00AB6FDE"/>
    <w:rsid w:val="00AC6623"/>
    <w:rsid w:val="00AD2210"/>
    <w:rsid w:val="00AE0870"/>
    <w:rsid w:val="00AF32A7"/>
    <w:rsid w:val="00AF7AA2"/>
    <w:rsid w:val="00B0740A"/>
    <w:rsid w:val="00B237C0"/>
    <w:rsid w:val="00B249B9"/>
    <w:rsid w:val="00B25D9B"/>
    <w:rsid w:val="00B37082"/>
    <w:rsid w:val="00B407D7"/>
    <w:rsid w:val="00B43DD5"/>
    <w:rsid w:val="00B532F3"/>
    <w:rsid w:val="00B5754E"/>
    <w:rsid w:val="00B65A1F"/>
    <w:rsid w:val="00B6631D"/>
    <w:rsid w:val="00B67E2B"/>
    <w:rsid w:val="00B801FD"/>
    <w:rsid w:val="00B819CC"/>
    <w:rsid w:val="00B84A93"/>
    <w:rsid w:val="00B958F5"/>
    <w:rsid w:val="00BA371E"/>
    <w:rsid w:val="00BB30F7"/>
    <w:rsid w:val="00BB7288"/>
    <w:rsid w:val="00BC0DB2"/>
    <w:rsid w:val="00BC6C3A"/>
    <w:rsid w:val="00BD425B"/>
    <w:rsid w:val="00BE28B1"/>
    <w:rsid w:val="00BE42F1"/>
    <w:rsid w:val="00BE6AB1"/>
    <w:rsid w:val="00C04245"/>
    <w:rsid w:val="00C047F1"/>
    <w:rsid w:val="00C10604"/>
    <w:rsid w:val="00C1165A"/>
    <w:rsid w:val="00C11C5C"/>
    <w:rsid w:val="00C17D9E"/>
    <w:rsid w:val="00C275C5"/>
    <w:rsid w:val="00C31671"/>
    <w:rsid w:val="00C335A2"/>
    <w:rsid w:val="00C345A3"/>
    <w:rsid w:val="00C35529"/>
    <w:rsid w:val="00C3630E"/>
    <w:rsid w:val="00C475A9"/>
    <w:rsid w:val="00C47F37"/>
    <w:rsid w:val="00C52CD1"/>
    <w:rsid w:val="00C54223"/>
    <w:rsid w:val="00C73B59"/>
    <w:rsid w:val="00C756D9"/>
    <w:rsid w:val="00C76AA9"/>
    <w:rsid w:val="00C80F2B"/>
    <w:rsid w:val="00C850EE"/>
    <w:rsid w:val="00C92696"/>
    <w:rsid w:val="00CA49CB"/>
    <w:rsid w:val="00CA7921"/>
    <w:rsid w:val="00CB3640"/>
    <w:rsid w:val="00CC6AA9"/>
    <w:rsid w:val="00CD4231"/>
    <w:rsid w:val="00CD5881"/>
    <w:rsid w:val="00CE3A97"/>
    <w:rsid w:val="00CE3E55"/>
    <w:rsid w:val="00CF23B9"/>
    <w:rsid w:val="00CF2D09"/>
    <w:rsid w:val="00D020CF"/>
    <w:rsid w:val="00D046A3"/>
    <w:rsid w:val="00D04BE9"/>
    <w:rsid w:val="00D05207"/>
    <w:rsid w:val="00D10343"/>
    <w:rsid w:val="00D11BE2"/>
    <w:rsid w:val="00D13274"/>
    <w:rsid w:val="00D16568"/>
    <w:rsid w:val="00D23CB3"/>
    <w:rsid w:val="00D30D12"/>
    <w:rsid w:val="00D3183E"/>
    <w:rsid w:val="00D33547"/>
    <w:rsid w:val="00D34C1F"/>
    <w:rsid w:val="00D37AB5"/>
    <w:rsid w:val="00D453EA"/>
    <w:rsid w:val="00D45617"/>
    <w:rsid w:val="00D46F88"/>
    <w:rsid w:val="00D55BA3"/>
    <w:rsid w:val="00D7133C"/>
    <w:rsid w:val="00D738CD"/>
    <w:rsid w:val="00D74AF3"/>
    <w:rsid w:val="00D752F7"/>
    <w:rsid w:val="00D82CF2"/>
    <w:rsid w:val="00D8304D"/>
    <w:rsid w:val="00D8484F"/>
    <w:rsid w:val="00D84FE9"/>
    <w:rsid w:val="00DA1CC9"/>
    <w:rsid w:val="00DA373B"/>
    <w:rsid w:val="00DB0295"/>
    <w:rsid w:val="00DB076E"/>
    <w:rsid w:val="00DB084C"/>
    <w:rsid w:val="00DB14A2"/>
    <w:rsid w:val="00DB1E86"/>
    <w:rsid w:val="00DB4D0B"/>
    <w:rsid w:val="00DB7FF5"/>
    <w:rsid w:val="00DC02B3"/>
    <w:rsid w:val="00DC10FA"/>
    <w:rsid w:val="00DC11C0"/>
    <w:rsid w:val="00DC1F6D"/>
    <w:rsid w:val="00DC41DF"/>
    <w:rsid w:val="00DE24E5"/>
    <w:rsid w:val="00DF1DE9"/>
    <w:rsid w:val="00DF30E6"/>
    <w:rsid w:val="00DF45D2"/>
    <w:rsid w:val="00DF6468"/>
    <w:rsid w:val="00E0308A"/>
    <w:rsid w:val="00E0580A"/>
    <w:rsid w:val="00E11874"/>
    <w:rsid w:val="00E1540C"/>
    <w:rsid w:val="00E228BC"/>
    <w:rsid w:val="00E2487C"/>
    <w:rsid w:val="00E37BD7"/>
    <w:rsid w:val="00E42D22"/>
    <w:rsid w:val="00E61E31"/>
    <w:rsid w:val="00E65826"/>
    <w:rsid w:val="00E71938"/>
    <w:rsid w:val="00E867E3"/>
    <w:rsid w:val="00E93B22"/>
    <w:rsid w:val="00E94D82"/>
    <w:rsid w:val="00EA175E"/>
    <w:rsid w:val="00EA1C71"/>
    <w:rsid w:val="00EA267F"/>
    <w:rsid w:val="00EA5E00"/>
    <w:rsid w:val="00EA7BBB"/>
    <w:rsid w:val="00EB0BC5"/>
    <w:rsid w:val="00EB1465"/>
    <w:rsid w:val="00EC1EFE"/>
    <w:rsid w:val="00ED2062"/>
    <w:rsid w:val="00ED3C3A"/>
    <w:rsid w:val="00EE6038"/>
    <w:rsid w:val="00EF4ABD"/>
    <w:rsid w:val="00EF4FCC"/>
    <w:rsid w:val="00EF6001"/>
    <w:rsid w:val="00EF75B4"/>
    <w:rsid w:val="00F11DC5"/>
    <w:rsid w:val="00F13B3B"/>
    <w:rsid w:val="00F14AEF"/>
    <w:rsid w:val="00F25FEC"/>
    <w:rsid w:val="00F33418"/>
    <w:rsid w:val="00F37ECC"/>
    <w:rsid w:val="00F42D06"/>
    <w:rsid w:val="00F444AA"/>
    <w:rsid w:val="00F45032"/>
    <w:rsid w:val="00F52258"/>
    <w:rsid w:val="00F60165"/>
    <w:rsid w:val="00F63A61"/>
    <w:rsid w:val="00F65ED9"/>
    <w:rsid w:val="00F677FA"/>
    <w:rsid w:val="00F67C1B"/>
    <w:rsid w:val="00F72854"/>
    <w:rsid w:val="00F73CAE"/>
    <w:rsid w:val="00F82488"/>
    <w:rsid w:val="00F87605"/>
    <w:rsid w:val="00F87D21"/>
    <w:rsid w:val="00F90F57"/>
    <w:rsid w:val="00FA0E38"/>
    <w:rsid w:val="00FA1E20"/>
    <w:rsid w:val="00FA2DAC"/>
    <w:rsid w:val="00FA585B"/>
    <w:rsid w:val="00FB4387"/>
    <w:rsid w:val="00FB543E"/>
    <w:rsid w:val="00FC0AF0"/>
    <w:rsid w:val="00FC0B34"/>
    <w:rsid w:val="00FC20FA"/>
    <w:rsid w:val="00FC3476"/>
    <w:rsid w:val="00FD11C4"/>
    <w:rsid w:val="00FD3AFC"/>
    <w:rsid w:val="00FD4AC4"/>
    <w:rsid w:val="00FD7182"/>
    <w:rsid w:val="00FE1130"/>
    <w:rsid w:val="00FF7A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rPr>
  </w:style>
  <w:style w:type="paragraph" w:styleId="Heading1">
    <w:name w:val="heading 1"/>
    <w:basedOn w:val="Normal"/>
    <w:next w:val="Normal"/>
    <w:qFormat/>
    <w:pPr>
      <w:keepNext/>
      <w:numPr>
        <w:numId w:val="8"/>
      </w:numPr>
      <w:autoSpaceDE w:val="0"/>
      <w:autoSpaceDN w:val="0"/>
      <w:adjustRightInd w:val="0"/>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Footnote Text Char,Footnote Text Char Char Char1 Char Char,Footnote Text Char Char1 Char,Footnote Text Char1 Char,Footnote Text Char1 Char Char Char Char Char,Footnote Text Char2 Char1 Char Char,Footnote Text Char3 Char,f,fn,fn Char"/>
    <w:link w:val="FootnoteTextChar1"/>
    <w:pPr>
      <w:tabs>
        <w:tab w:val="left" w:pos="720"/>
        <w:tab w:val="left" w:pos="1440"/>
      </w:tabs>
      <w:spacing w:after="200"/>
      <w:ind w:right="144" w:firstLine="720"/>
    </w:pPr>
    <w:rPr>
      <w:sz w:val="24"/>
    </w:r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character" w:customStyle="1" w:styleId="FootnoteTextCharChar">
    <w:name w:val="Footnote Text Char Char"/>
    <w:aliases w:val="Footnote Text Char Char Char1 Char Char Char,Footnote Text Char Char1 Char Char,Footnote Text Char1 Char Char,Footnote Text Char1 Char Char Char Char Char Char,Footnote Text Char2 Char1 Char Char Char,fn Char Char"/>
    <w:uiPriority w:val="99"/>
    <w:rPr>
      <w:rFonts w:eastAsia="Batang"/>
      <w:sz w:val="24"/>
      <w:lang w:val="en-US" w:eastAsia="en-US" w:bidi="ar-SA"/>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Date">
    <w:name w:val="Date"/>
    <w:basedOn w:val="Normal"/>
    <w:next w:val="Normal"/>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D7133C"/>
  </w:style>
  <w:style w:type="paragraph" w:styleId="BalloonText">
    <w:name w:val="Balloon Text"/>
    <w:basedOn w:val="Normal"/>
    <w:semiHidden/>
    <w:rsid w:val="00812158"/>
    <w:rPr>
      <w:rFonts w:ascii="Tahoma" w:hAnsi="Tahoma" w:cs="Tahoma"/>
      <w:sz w:val="16"/>
      <w:szCs w:val="16"/>
    </w:rPr>
  </w:style>
  <w:style w:type="character" w:styleId="FollowedHyperlink">
    <w:name w:val="FollowedHyperlink"/>
    <w:rsid w:val="008461FE"/>
    <w:rPr>
      <w:color w:val="800080"/>
      <w:u w:val="single"/>
    </w:rPr>
  </w:style>
  <w:style w:type="character" w:customStyle="1" w:styleId="FootnoteTextChar1">
    <w:name w:val="Footnote Text Char1"/>
    <w:aliases w:val="Footnote Text Char Char Char1 Char Char Char1,Footnote Text Char Char1,Footnote Text Char Char1 Char Char1,Footnote Text Char1 Char Char Char Char Char Char1,Footnote Text Char1 Char Char1,Footnote Text Char2 Char1 Char Char Char1"/>
    <w:link w:val="FootnoteText"/>
    <w:semiHidden/>
    <w:locked/>
    <w:rsid w:val="00BD425B"/>
    <w:rPr>
      <w:rFonts w:eastAsia="Batang"/>
      <w:sz w:val="24"/>
      <w:lang w:val="en-US" w:eastAsia="en-US" w:bidi="ar-SA"/>
    </w:rPr>
  </w:style>
  <w:style w:type="paragraph" w:customStyle="1" w:styleId="ParaNum">
    <w:name w:val="ParaNum"/>
    <w:basedOn w:val="Normal"/>
    <w:link w:val="ParaNumChar"/>
    <w:rsid w:val="00CE3E55"/>
    <w:pPr>
      <w:widowControl w:val="0"/>
      <w:numPr>
        <w:numId w:val="21"/>
      </w:numPr>
      <w:spacing w:after="120"/>
    </w:pPr>
    <w:rPr>
      <w:snapToGrid w:val="0"/>
      <w:kern w:val="28"/>
      <w:sz w:val="22"/>
    </w:rPr>
  </w:style>
  <w:style w:type="character" w:customStyle="1" w:styleId="ParaNumChar">
    <w:name w:val="ParaNum Char"/>
    <w:link w:val="ParaNum"/>
    <w:locked/>
    <w:rsid w:val="00CE3E55"/>
    <w:rPr>
      <w:rFonts w:eastAsia="Times New Roman"/>
      <w:snapToGrid w:val="0"/>
      <w:kern w:val="28"/>
      <w:sz w:val="22"/>
    </w:rPr>
  </w:style>
  <w:style w:type="paragraph" w:customStyle="1" w:styleId="StyleParaNumLeft">
    <w:name w:val="Style ParaNum + Left"/>
    <w:basedOn w:val="ParaNum"/>
    <w:rsid w:val="008C6364"/>
    <w:pPr>
      <w:numPr>
        <w:numId w:val="23"/>
      </w:numPr>
      <w:tabs>
        <w:tab w:val="left" w:pos="1260"/>
        <w:tab w:val="left" w:pos="1656"/>
      </w:tabs>
      <w:spacing w:after="220"/>
    </w:pPr>
  </w:style>
  <w:style w:type="numbering" w:customStyle="1" w:styleId="LFO1">
    <w:name w:val="LFO1"/>
    <w:basedOn w:val="NoList"/>
    <w:rsid w:val="008C6364"/>
    <w:pPr>
      <w:numPr>
        <w:numId w:val="24"/>
      </w:numPr>
    </w:pPr>
  </w:style>
  <w:style w:type="character" w:customStyle="1" w:styleId="HeaderChar">
    <w:name w:val="Header Char"/>
    <w:link w:val="Header"/>
    <w:uiPriority w:val="99"/>
    <w:rsid w:val="000D013A"/>
    <w:rPr>
      <w:rFonts w:eastAsia="Times New Roman"/>
    </w:rPr>
  </w:style>
  <w:style w:type="character" w:styleId="CommentReference">
    <w:name w:val="annotation reference"/>
    <w:rsid w:val="00854A12"/>
    <w:rPr>
      <w:sz w:val="16"/>
      <w:szCs w:val="16"/>
    </w:rPr>
  </w:style>
  <w:style w:type="paragraph" w:styleId="CommentText">
    <w:name w:val="annotation text"/>
    <w:basedOn w:val="Normal"/>
    <w:link w:val="CommentTextChar"/>
    <w:rsid w:val="00854A12"/>
  </w:style>
  <w:style w:type="character" w:customStyle="1" w:styleId="CommentTextChar">
    <w:name w:val="Comment Text Char"/>
    <w:link w:val="CommentText"/>
    <w:rsid w:val="00854A12"/>
    <w:rPr>
      <w:rFonts w:eastAsia="Times New Roman"/>
    </w:rPr>
  </w:style>
  <w:style w:type="paragraph" w:styleId="CommentSubject">
    <w:name w:val="annotation subject"/>
    <w:basedOn w:val="CommentText"/>
    <w:next w:val="CommentText"/>
    <w:link w:val="CommentSubjectChar"/>
    <w:rsid w:val="00854A12"/>
    <w:rPr>
      <w:b/>
      <w:bCs/>
    </w:rPr>
  </w:style>
  <w:style w:type="character" w:customStyle="1" w:styleId="CommentSubjectChar">
    <w:name w:val="Comment Subject Char"/>
    <w:link w:val="CommentSubject"/>
    <w:rsid w:val="00854A12"/>
    <w:rPr>
      <w:rFonts w:eastAsia="Times New Roman"/>
      <w:b/>
      <w:bCs/>
    </w:rPr>
  </w:style>
  <w:style w:type="character" w:customStyle="1" w:styleId="apple-converted-space">
    <w:name w:val="apple-converted-space"/>
    <w:rsid w:val="004B38E9"/>
  </w:style>
  <w:style w:type="paragraph" w:styleId="ListParagraph">
    <w:name w:val="List Paragraph"/>
    <w:basedOn w:val="Normal"/>
    <w:uiPriority w:val="34"/>
    <w:qFormat/>
    <w:rsid w:val="00C275C5"/>
    <w:pPr>
      <w:ind w:left="720"/>
    </w:pPr>
  </w:style>
  <w:style w:type="paragraph" w:styleId="Revision">
    <w:name w:val="Revision"/>
    <w:hidden/>
    <w:uiPriority w:val="99"/>
    <w:semiHidden/>
    <w:rsid w:val="00994330"/>
    <w:rPr>
      <w:rFonts w:eastAsia="Times New Roman"/>
    </w:rPr>
  </w:style>
  <w:style w:type="character" w:customStyle="1" w:styleId="ALTSFOOTNOTEChar">
    <w:name w:val="ALTS FOOTNOTE Char"/>
    <w:aliases w:val="FOOTNOTE Char,Footnote Text Char Char Char,Footnote Text Char Char Char Char Char,Footnote Text Char1 Char Char Char,Footnote Text Char2 Char,Footnote text Char"/>
    <w:rsid w:val="0033436E"/>
  </w:style>
  <w:style w:type="paragraph" w:customStyle="1" w:styleId="ParaNumCharChar">
    <w:name w:val="ParaNum Char Char"/>
    <w:basedOn w:val="Normal"/>
    <w:link w:val="ParaNumCharCharChar1"/>
    <w:rsid w:val="00CB3640"/>
    <w:pPr>
      <w:widowControl w:val="0"/>
      <w:tabs>
        <w:tab w:val="num" w:pos="1080"/>
        <w:tab w:val="left" w:pos="1440"/>
      </w:tabs>
      <w:spacing w:after="220"/>
      <w:ind w:firstLine="720"/>
      <w:jc w:val="both"/>
    </w:pPr>
    <w:rPr>
      <w:snapToGrid w:val="0"/>
      <w:kern w:val="28"/>
      <w:sz w:val="22"/>
    </w:rPr>
  </w:style>
  <w:style w:type="character" w:customStyle="1" w:styleId="ParaNumCharCharChar1">
    <w:name w:val="ParaNum Char Char Char1"/>
    <w:basedOn w:val="DefaultParagraphFont"/>
    <w:link w:val="ParaNumCharChar"/>
    <w:rsid w:val="00CB3640"/>
    <w:rPr>
      <w:rFonts w:eastAsia="Times New Roman"/>
      <w:snapToGrid w:val="0"/>
      <w:kern w:val="28"/>
      <w:sz w:val="22"/>
    </w:rPr>
  </w:style>
  <w:style w:type="character" w:customStyle="1" w:styleId="FooterChar">
    <w:name w:val="Footer Char"/>
    <w:basedOn w:val="DefaultParagraphFont"/>
    <w:link w:val="Footer"/>
    <w:uiPriority w:val="99"/>
    <w:rsid w:val="001E7077"/>
    <w:rPr>
      <w:rFonts w:eastAsia="Times New Roman"/>
    </w:rPr>
  </w:style>
  <w:style w:type="character" w:customStyle="1" w:styleId="UnresolvedMention">
    <w:name w:val="Unresolved Mention"/>
    <w:basedOn w:val="DefaultParagraphFont"/>
    <w:uiPriority w:val="99"/>
    <w:semiHidden/>
    <w:unhideWhenUsed/>
    <w:rsid w:val="00A64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