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44922" w:rsidRPr="006721C6" w14:paraId="468EC79C" w14:textId="77777777">
      <w:pPr>
        <w:jc w:val="right"/>
        <w:rPr>
          <w:b/>
          <w:sz w:val="22"/>
          <w:szCs w:val="22"/>
        </w:rPr>
      </w:pPr>
    </w:p>
    <w:p w:rsidR="00744922" w:rsidRPr="006721C6" w:rsidP="00D253FB" w14:paraId="6E8C970B" w14:textId="1230B4F8">
      <w:pPr>
        <w:jc w:val="right"/>
        <w:rPr>
          <w:sz w:val="22"/>
          <w:szCs w:val="22"/>
        </w:rPr>
      </w:pPr>
      <w:r>
        <w:rPr>
          <w:sz w:val="22"/>
          <w:szCs w:val="22"/>
        </w:rPr>
        <w:t xml:space="preserve">DA </w:t>
      </w:r>
      <w:r w:rsidR="00D253FB">
        <w:rPr>
          <w:sz w:val="22"/>
          <w:szCs w:val="22"/>
        </w:rPr>
        <w:t>20</w:t>
      </w:r>
      <w:r>
        <w:rPr>
          <w:sz w:val="22"/>
          <w:szCs w:val="22"/>
        </w:rPr>
        <w:t>-</w:t>
      </w:r>
      <w:r w:rsidR="00D253FB">
        <w:rPr>
          <w:sz w:val="22"/>
          <w:szCs w:val="22"/>
        </w:rPr>
        <w:t>90</w:t>
      </w:r>
      <w:bookmarkStart w:id="0" w:name="_GoBack"/>
      <w:bookmarkEnd w:id="0"/>
    </w:p>
    <w:p w:rsidR="008D1078" w:rsidP="00B65FBB" w14:paraId="2856DAAE" w14:textId="77777777">
      <w:pPr>
        <w:autoSpaceDE w:val="0"/>
        <w:autoSpaceDN w:val="0"/>
        <w:adjustRightInd w:val="0"/>
        <w:rPr>
          <w:sz w:val="22"/>
          <w:szCs w:val="22"/>
        </w:rPr>
      </w:pPr>
    </w:p>
    <w:p w:rsidR="008D1078" w:rsidP="00B65FBB" w14:paraId="2DE64587" w14:textId="77777777">
      <w:pPr>
        <w:autoSpaceDE w:val="0"/>
        <w:autoSpaceDN w:val="0"/>
        <w:adjustRightInd w:val="0"/>
        <w:rPr>
          <w:sz w:val="22"/>
          <w:szCs w:val="22"/>
        </w:rPr>
      </w:pPr>
    </w:p>
    <w:p w:rsidR="00B65FBB" w:rsidRPr="006721C6" w:rsidP="00B65FBB" w14:paraId="228B6600" w14:textId="27100D98">
      <w:pPr>
        <w:autoSpaceDE w:val="0"/>
        <w:autoSpaceDN w:val="0"/>
        <w:adjustRightInd w:val="0"/>
        <w:rPr>
          <w:sz w:val="22"/>
          <w:szCs w:val="22"/>
        </w:rPr>
      </w:pPr>
      <w:r w:rsidRPr="006721C6">
        <w:rPr>
          <w:sz w:val="22"/>
          <w:szCs w:val="22"/>
        </w:rPr>
        <w:t>Paul Feldman</w:t>
      </w:r>
    </w:p>
    <w:p w:rsidR="00B65FBB" w:rsidRPr="006721C6" w:rsidP="00B65FBB" w14:paraId="58D4E225" w14:textId="77777777">
      <w:pPr>
        <w:autoSpaceDE w:val="0"/>
        <w:autoSpaceDN w:val="0"/>
        <w:adjustRightInd w:val="0"/>
        <w:rPr>
          <w:bCs/>
          <w:iCs/>
          <w:sz w:val="22"/>
          <w:szCs w:val="22"/>
        </w:rPr>
      </w:pPr>
      <w:r w:rsidRPr="006721C6">
        <w:rPr>
          <w:bCs/>
          <w:iCs/>
          <w:sz w:val="22"/>
          <w:szCs w:val="22"/>
        </w:rPr>
        <w:t>Fletcher, Heald &amp; Hildreth, PLC</w:t>
      </w:r>
    </w:p>
    <w:p w:rsidR="00B65FBB" w:rsidRPr="006721C6" w:rsidP="00B65FBB" w14:paraId="79F47E9A" w14:textId="77777777">
      <w:pPr>
        <w:autoSpaceDE w:val="0"/>
        <w:autoSpaceDN w:val="0"/>
        <w:adjustRightInd w:val="0"/>
        <w:rPr>
          <w:bCs/>
          <w:iCs/>
          <w:sz w:val="22"/>
          <w:szCs w:val="22"/>
        </w:rPr>
      </w:pPr>
      <w:r w:rsidRPr="006721C6">
        <w:rPr>
          <w:bCs/>
          <w:iCs/>
          <w:sz w:val="22"/>
          <w:szCs w:val="22"/>
        </w:rPr>
        <w:t>1300 North 17th Street</w:t>
      </w:r>
      <w:r w:rsidRPr="006721C6" w:rsidR="00F25048">
        <w:rPr>
          <w:bCs/>
          <w:iCs/>
          <w:sz w:val="22"/>
          <w:szCs w:val="22"/>
        </w:rPr>
        <w:t>,</w:t>
      </w:r>
      <w:r w:rsidRPr="006721C6">
        <w:rPr>
          <w:bCs/>
          <w:iCs/>
          <w:sz w:val="22"/>
          <w:szCs w:val="22"/>
        </w:rPr>
        <w:t xml:space="preserve"> 11th </w:t>
      </w:r>
      <w:r w:rsidRPr="006721C6" w:rsidR="00CE74E5">
        <w:rPr>
          <w:bCs/>
          <w:iCs/>
          <w:sz w:val="22"/>
          <w:szCs w:val="22"/>
        </w:rPr>
        <w:t>F</w:t>
      </w:r>
      <w:r w:rsidRPr="006721C6">
        <w:rPr>
          <w:bCs/>
          <w:iCs/>
          <w:sz w:val="22"/>
          <w:szCs w:val="22"/>
        </w:rPr>
        <w:t>loor</w:t>
      </w:r>
    </w:p>
    <w:p w:rsidR="00744922" w:rsidRPr="006721C6" w:rsidP="00B65FBB" w14:paraId="33A9DFFE" w14:textId="77777777">
      <w:pPr>
        <w:rPr>
          <w:sz w:val="22"/>
          <w:szCs w:val="22"/>
        </w:rPr>
      </w:pPr>
      <w:r w:rsidRPr="006721C6">
        <w:rPr>
          <w:bCs/>
          <w:iCs/>
          <w:sz w:val="22"/>
          <w:szCs w:val="22"/>
        </w:rPr>
        <w:t>Arlington</w:t>
      </w:r>
      <w:r w:rsidRPr="006721C6" w:rsidR="00F25048">
        <w:rPr>
          <w:bCs/>
          <w:iCs/>
          <w:sz w:val="22"/>
          <w:szCs w:val="22"/>
        </w:rPr>
        <w:t>,</w:t>
      </w:r>
      <w:r w:rsidRPr="006721C6">
        <w:rPr>
          <w:bCs/>
          <w:iCs/>
          <w:sz w:val="22"/>
          <w:szCs w:val="22"/>
        </w:rPr>
        <w:t xml:space="preserve"> VA </w:t>
      </w:r>
      <w:r w:rsidRPr="006721C6" w:rsidR="00F25048">
        <w:rPr>
          <w:bCs/>
          <w:iCs/>
          <w:sz w:val="22"/>
          <w:szCs w:val="22"/>
        </w:rPr>
        <w:t xml:space="preserve"> </w:t>
      </w:r>
      <w:r w:rsidRPr="006721C6">
        <w:rPr>
          <w:bCs/>
          <w:iCs/>
          <w:sz w:val="22"/>
          <w:szCs w:val="22"/>
        </w:rPr>
        <w:t>22209</w:t>
      </w:r>
    </w:p>
    <w:p w:rsidR="00B65FBB" w:rsidRPr="006721C6" w14:paraId="1702EB78" w14:textId="77777777">
      <w:pPr>
        <w:rPr>
          <w:sz w:val="22"/>
          <w:szCs w:val="22"/>
        </w:rPr>
      </w:pPr>
    </w:p>
    <w:p w:rsidR="00744922" w:rsidRPr="006721C6" w14:paraId="6610060D" w14:textId="77777777">
      <w:pPr>
        <w:rPr>
          <w:sz w:val="22"/>
          <w:szCs w:val="22"/>
        </w:rPr>
      </w:pPr>
      <w:r w:rsidRPr="006721C6">
        <w:rPr>
          <w:sz w:val="22"/>
          <w:szCs w:val="22"/>
        </w:rPr>
        <w:t>Dear M</w:t>
      </w:r>
      <w:r w:rsidRPr="006721C6" w:rsidR="00B65FBB">
        <w:rPr>
          <w:sz w:val="22"/>
          <w:szCs w:val="22"/>
        </w:rPr>
        <w:t>r</w:t>
      </w:r>
      <w:r w:rsidRPr="006721C6">
        <w:rPr>
          <w:sz w:val="22"/>
          <w:szCs w:val="22"/>
        </w:rPr>
        <w:t xml:space="preserve">. </w:t>
      </w:r>
      <w:r w:rsidRPr="006721C6" w:rsidR="007D5D52">
        <w:rPr>
          <w:sz w:val="22"/>
          <w:szCs w:val="22"/>
        </w:rPr>
        <w:t>Feldman</w:t>
      </w:r>
      <w:r w:rsidRPr="006721C6">
        <w:rPr>
          <w:sz w:val="22"/>
          <w:szCs w:val="22"/>
        </w:rPr>
        <w:t xml:space="preserve">:   </w:t>
      </w:r>
    </w:p>
    <w:p w:rsidR="00744922" w:rsidRPr="006721C6" w14:paraId="0FC5080D" w14:textId="77777777">
      <w:pPr>
        <w:rPr>
          <w:sz w:val="22"/>
          <w:szCs w:val="22"/>
        </w:rPr>
      </w:pPr>
    </w:p>
    <w:p w:rsidR="007D5D52" w:rsidRPr="006721C6" w:rsidP="003F35F8" w14:paraId="14D2A0B5" w14:textId="68B32844">
      <w:pPr>
        <w:ind w:firstLine="720"/>
        <w:rPr>
          <w:sz w:val="22"/>
          <w:szCs w:val="22"/>
        </w:rPr>
      </w:pPr>
      <w:r w:rsidRPr="006721C6">
        <w:rPr>
          <w:sz w:val="22"/>
          <w:szCs w:val="22"/>
        </w:rPr>
        <w:t xml:space="preserve">This letter </w:t>
      </w:r>
      <w:r w:rsidRPr="006721C6" w:rsidR="00F62941">
        <w:rPr>
          <w:sz w:val="22"/>
          <w:szCs w:val="22"/>
        </w:rPr>
        <w:t xml:space="preserve">addresses </w:t>
      </w:r>
      <w:r w:rsidRPr="006721C6" w:rsidR="0097584C">
        <w:rPr>
          <w:sz w:val="22"/>
          <w:szCs w:val="22"/>
        </w:rPr>
        <w:t xml:space="preserve">the </w:t>
      </w:r>
      <w:r w:rsidRPr="006721C6">
        <w:rPr>
          <w:sz w:val="22"/>
          <w:szCs w:val="22"/>
        </w:rPr>
        <w:t>December 3, 2019 request</w:t>
      </w:r>
      <w:r>
        <w:rPr>
          <w:rStyle w:val="FootnoteReference"/>
          <w:sz w:val="22"/>
          <w:szCs w:val="22"/>
        </w:rPr>
        <w:footnoteReference w:id="2"/>
      </w:r>
      <w:r w:rsidRPr="006721C6" w:rsidR="00FC42AC">
        <w:rPr>
          <w:sz w:val="22"/>
          <w:szCs w:val="22"/>
        </w:rPr>
        <w:t xml:space="preserve"> </w:t>
      </w:r>
      <w:r w:rsidRPr="006721C6" w:rsidR="0097584C">
        <w:rPr>
          <w:sz w:val="22"/>
          <w:szCs w:val="22"/>
        </w:rPr>
        <w:t xml:space="preserve">filed </w:t>
      </w:r>
      <w:r w:rsidRPr="006721C6" w:rsidR="00FC42AC">
        <w:rPr>
          <w:sz w:val="22"/>
          <w:szCs w:val="22"/>
        </w:rPr>
        <w:t>on behalf of Flint Hills Resources Corpu</w:t>
      </w:r>
      <w:r w:rsidRPr="006721C6" w:rsidR="003E73A2">
        <w:rPr>
          <w:sz w:val="22"/>
          <w:szCs w:val="22"/>
        </w:rPr>
        <w:t xml:space="preserve">s Christi, LLC (FHR) </w:t>
      </w:r>
      <w:r w:rsidRPr="006721C6" w:rsidR="009B733C">
        <w:rPr>
          <w:sz w:val="22"/>
          <w:szCs w:val="22"/>
        </w:rPr>
        <w:t xml:space="preserve">seeking a modification of the waiver granted </w:t>
      </w:r>
      <w:r w:rsidRPr="006721C6" w:rsidR="006E7CDF">
        <w:rPr>
          <w:sz w:val="22"/>
          <w:szCs w:val="22"/>
        </w:rPr>
        <w:t xml:space="preserve">on September 12, 2019 </w:t>
      </w:r>
      <w:r w:rsidRPr="006721C6" w:rsidR="009B733C">
        <w:rPr>
          <w:sz w:val="22"/>
          <w:szCs w:val="22"/>
        </w:rPr>
        <w:t xml:space="preserve">by </w:t>
      </w:r>
      <w:r w:rsidRPr="006721C6" w:rsidR="006E7CDF">
        <w:rPr>
          <w:sz w:val="22"/>
          <w:szCs w:val="22"/>
        </w:rPr>
        <w:t xml:space="preserve">the Wireless Telecommunications Bureau’s (Bureau) Mobility Division (Division) regarding </w:t>
      </w:r>
      <w:r w:rsidRPr="006721C6" w:rsidR="001F77B1">
        <w:rPr>
          <w:sz w:val="22"/>
          <w:szCs w:val="22"/>
        </w:rPr>
        <w:t xml:space="preserve">the </w:t>
      </w:r>
      <w:r w:rsidRPr="006721C6" w:rsidR="006E7CDF">
        <w:rPr>
          <w:sz w:val="22"/>
          <w:szCs w:val="22"/>
        </w:rPr>
        <w:t xml:space="preserve">current </w:t>
      </w:r>
      <w:r w:rsidRPr="006721C6" w:rsidR="001F77B1">
        <w:rPr>
          <w:sz w:val="22"/>
          <w:szCs w:val="22"/>
        </w:rPr>
        <w:t xml:space="preserve">900 MHz application </w:t>
      </w:r>
      <w:r w:rsidRPr="006721C6" w:rsidR="00F8653C">
        <w:rPr>
          <w:sz w:val="22"/>
          <w:szCs w:val="22"/>
        </w:rPr>
        <w:t>freeze</w:t>
      </w:r>
      <w:r w:rsidRPr="006721C6" w:rsidR="002E5D98">
        <w:rPr>
          <w:sz w:val="22"/>
          <w:szCs w:val="22"/>
        </w:rPr>
        <w:t>.</w:t>
      </w:r>
      <w:r>
        <w:rPr>
          <w:rStyle w:val="FootnoteReference"/>
          <w:sz w:val="22"/>
          <w:szCs w:val="22"/>
        </w:rPr>
        <w:footnoteReference w:id="3"/>
      </w:r>
      <w:r w:rsidRPr="006721C6" w:rsidR="002E5D98">
        <w:rPr>
          <w:sz w:val="22"/>
          <w:szCs w:val="22"/>
        </w:rPr>
        <w:t xml:space="preserve">  For the reasons set forth below, w</w:t>
      </w:r>
      <w:r w:rsidRPr="006721C6" w:rsidR="009F2EFE">
        <w:rPr>
          <w:sz w:val="22"/>
          <w:szCs w:val="22"/>
        </w:rPr>
        <w:t xml:space="preserve">e grant </w:t>
      </w:r>
      <w:r w:rsidRPr="006721C6" w:rsidR="006E7CDF">
        <w:rPr>
          <w:sz w:val="22"/>
          <w:szCs w:val="22"/>
        </w:rPr>
        <w:t xml:space="preserve">FHR’s </w:t>
      </w:r>
      <w:r w:rsidRPr="006721C6" w:rsidR="009F2EFE">
        <w:rPr>
          <w:sz w:val="22"/>
          <w:szCs w:val="22"/>
        </w:rPr>
        <w:t>request.</w:t>
      </w:r>
    </w:p>
    <w:p w:rsidR="003F35F8" w:rsidRPr="006721C6" w:rsidP="003F35F8" w14:paraId="6F6C0C41" w14:textId="77777777">
      <w:pPr>
        <w:ind w:firstLine="720"/>
        <w:rPr>
          <w:sz w:val="22"/>
          <w:szCs w:val="22"/>
        </w:rPr>
      </w:pPr>
    </w:p>
    <w:p w:rsidR="009D374C" w:rsidRPr="006721C6" w:rsidP="009D374C" w14:paraId="1F1F04EA" w14:textId="2A0CC39E">
      <w:pPr>
        <w:ind w:firstLine="720"/>
        <w:rPr>
          <w:sz w:val="22"/>
          <w:szCs w:val="22"/>
        </w:rPr>
      </w:pPr>
      <w:r w:rsidRPr="006721C6">
        <w:rPr>
          <w:sz w:val="22"/>
          <w:szCs w:val="22"/>
        </w:rPr>
        <w:t>In September</w:t>
      </w:r>
      <w:r w:rsidRPr="006721C6" w:rsidR="000C5A4C">
        <w:rPr>
          <w:sz w:val="22"/>
          <w:szCs w:val="22"/>
        </w:rPr>
        <w:t xml:space="preserve"> 2018, the Bureau announced a temporary </w:t>
      </w:r>
      <w:r w:rsidRPr="006721C6">
        <w:rPr>
          <w:sz w:val="22"/>
          <w:szCs w:val="22"/>
        </w:rPr>
        <w:t>freeze on the acceptance of applications for new or expanded use of 900 MHz band frequencies.</w:t>
      </w:r>
      <w:r>
        <w:rPr>
          <w:rStyle w:val="FootnoteReference"/>
          <w:sz w:val="22"/>
          <w:szCs w:val="22"/>
        </w:rPr>
        <w:footnoteReference w:id="4"/>
      </w:r>
      <w:r w:rsidRPr="006721C6">
        <w:rPr>
          <w:sz w:val="22"/>
          <w:szCs w:val="22"/>
        </w:rPr>
        <w:t xml:space="preserve">  The purpose of the freeze is to preserve the current landscape of authorized operations in the 900 MHz band pending Commission action as part of its inquiry into potential rule changes to promote next-generation technologies and services in the band.</w:t>
      </w:r>
      <w:r>
        <w:rPr>
          <w:rStyle w:val="FootnoteReference"/>
          <w:sz w:val="22"/>
          <w:szCs w:val="22"/>
        </w:rPr>
        <w:footnoteReference w:id="5"/>
      </w:r>
      <w:r w:rsidRPr="006721C6">
        <w:rPr>
          <w:sz w:val="22"/>
          <w:szCs w:val="22"/>
        </w:rPr>
        <w:t xml:space="preserve">  </w:t>
      </w:r>
    </w:p>
    <w:p w:rsidR="009D374C" w:rsidRPr="006721C6" w:rsidP="009D374C" w14:paraId="040C3CAF" w14:textId="77777777">
      <w:pPr>
        <w:ind w:firstLine="720"/>
        <w:rPr>
          <w:sz w:val="22"/>
          <w:szCs w:val="22"/>
        </w:rPr>
      </w:pPr>
    </w:p>
    <w:p w:rsidR="000C5A4C" w:rsidRPr="006721C6" w:rsidP="002A2BF1" w14:paraId="390B9C1C" w14:textId="7B19EAF0">
      <w:pPr>
        <w:ind w:firstLine="720"/>
        <w:rPr>
          <w:sz w:val="22"/>
          <w:szCs w:val="22"/>
        </w:rPr>
      </w:pPr>
      <w:r w:rsidRPr="006721C6">
        <w:rPr>
          <w:sz w:val="22"/>
          <w:szCs w:val="22"/>
        </w:rPr>
        <w:t xml:space="preserve">In June 2019, FHR </w:t>
      </w:r>
      <w:r w:rsidRPr="006721C6" w:rsidR="00647C34">
        <w:rPr>
          <w:sz w:val="22"/>
          <w:szCs w:val="22"/>
        </w:rPr>
        <w:t>requested a waiver of the 900 MHz freeze</w:t>
      </w:r>
      <w:r w:rsidRPr="006721C6" w:rsidR="00635A98">
        <w:rPr>
          <w:sz w:val="22"/>
          <w:szCs w:val="22"/>
        </w:rPr>
        <w:t xml:space="preserve"> </w:t>
      </w:r>
      <w:r w:rsidRPr="006721C6" w:rsidR="002A1267">
        <w:rPr>
          <w:sz w:val="22"/>
          <w:szCs w:val="22"/>
        </w:rPr>
        <w:t xml:space="preserve">to file applications for </w:t>
      </w:r>
      <w:r w:rsidRPr="006721C6" w:rsidR="005425FA">
        <w:rPr>
          <w:sz w:val="22"/>
          <w:szCs w:val="22"/>
        </w:rPr>
        <w:t>33</w:t>
      </w:r>
      <w:r w:rsidRPr="006721C6" w:rsidR="002A1267">
        <w:rPr>
          <w:sz w:val="22"/>
          <w:szCs w:val="22"/>
        </w:rPr>
        <w:t xml:space="preserve"> channels</w:t>
      </w:r>
      <w:r w:rsidRPr="006721C6" w:rsidR="006E7CDF">
        <w:rPr>
          <w:sz w:val="22"/>
          <w:szCs w:val="22"/>
        </w:rPr>
        <w:t xml:space="preserve"> </w:t>
      </w:r>
      <w:r w:rsidRPr="006721C6" w:rsidR="007E61E4">
        <w:rPr>
          <w:sz w:val="22"/>
          <w:szCs w:val="22"/>
        </w:rPr>
        <w:t xml:space="preserve">in the </w:t>
      </w:r>
      <w:r w:rsidRPr="006721C6" w:rsidR="00E51F25">
        <w:rPr>
          <w:sz w:val="22"/>
          <w:szCs w:val="22"/>
        </w:rPr>
        <w:t xml:space="preserve">900 MHz </w:t>
      </w:r>
      <w:r w:rsidRPr="006721C6" w:rsidR="007E61E4">
        <w:rPr>
          <w:sz w:val="22"/>
          <w:szCs w:val="22"/>
        </w:rPr>
        <w:t xml:space="preserve">narrowband segment </w:t>
      </w:r>
      <w:r w:rsidRPr="006721C6" w:rsidR="006E7CDF">
        <w:rPr>
          <w:sz w:val="22"/>
          <w:szCs w:val="22"/>
        </w:rPr>
        <w:t xml:space="preserve">for </w:t>
      </w:r>
      <w:r w:rsidRPr="006721C6" w:rsidR="004471FA">
        <w:rPr>
          <w:sz w:val="22"/>
          <w:szCs w:val="22"/>
        </w:rPr>
        <w:t xml:space="preserve">use </w:t>
      </w:r>
      <w:r w:rsidRPr="006721C6" w:rsidR="006E7CDF">
        <w:rPr>
          <w:sz w:val="22"/>
          <w:szCs w:val="22"/>
        </w:rPr>
        <w:t xml:space="preserve">in </w:t>
      </w:r>
      <w:r w:rsidRPr="006721C6" w:rsidR="004471FA">
        <w:rPr>
          <w:sz w:val="22"/>
          <w:szCs w:val="22"/>
        </w:rPr>
        <w:t>its</w:t>
      </w:r>
      <w:r w:rsidRPr="006721C6" w:rsidR="002A1267">
        <w:rPr>
          <w:sz w:val="22"/>
          <w:szCs w:val="22"/>
        </w:rPr>
        <w:t xml:space="preserve"> </w:t>
      </w:r>
      <w:r w:rsidRPr="006721C6" w:rsidR="00837B7C">
        <w:rPr>
          <w:sz w:val="22"/>
          <w:szCs w:val="22"/>
        </w:rPr>
        <w:t>updated</w:t>
      </w:r>
      <w:r w:rsidRPr="006721C6" w:rsidR="000319E0">
        <w:rPr>
          <w:sz w:val="22"/>
          <w:szCs w:val="22"/>
        </w:rPr>
        <w:t xml:space="preserve"> </w:t>
      </w:r>
      <w:r w:rsidRPr="006721C6" w:rsidR="002A1267">
        <w:rPr>
          <w:sz w:val="22"/>
          <w:szCs w:val="22"/>
        </w:rPr>
        <w:t>system.</w:t>
      </w:r>
      <w:r>
        <w:rPr>
          <w:rStyle w:val="FootnoteReference"/>
          <w:sz w:val="22"/>
          <w:szCs w:val="22"/>
        </w:rPr>
        <w:footnoteReference w:id="6"/>
      </w:r>
      <w:r w:rsidRPr="006721C6" w:rsidR="002A1267">
        <w:rPr>
          <w:sz w:val="22"/>
          <w:szCs w:val="22"/>
        </w:rPr>
        <w:t xml:space="preserve">  </w:t>
      </w:r>
      <w:r w:rsidRPr="006721C6" w:rsidR="007E61E4">
        <w:rPr>
          <w:sz w:val="22"/>
          <w:szCs w:val="22"/>
        </w:rPr>
        <w:t xml:space="preserve">FHR stated that its legacy narrowband 900 MHz system relies on equipment and software that are no longer </w:t>
      </w:r>
      <w:r w:rsidRPr="006721C6" w:rsidR="008B3E17">
        <w:rPr>
          <w:sz w:val="22"/>
          <w:szCs w:val="22"/>
        </w:rPr>
        <w:t>manufacturer</w:t>
      </w:r>
      <w:r w:rsidRPr="006721C6" w:rsidR="007625C9">
        <w:rPr>
          <w:sz w:val="22"/>
          <w:szCs w:val="22"/>
        </w:rPr>
        <w:t>-</w:t>
      </w:r>
      <w:r w:rsidRPr="006721C6" w:rsidR="007E61E4">
        <w:rPr>
          <w:sz w:val="22"/>
          <w:szCs w:val="22"/>
        </w:rPr>
        <w:t xml:space="preserve">supported and </w:t>
      </w:r>
      <w:r w:rsidRPr="006721C6" w:rsidR="009D3F3A">
        <w:rPr>
          <w:sz w:val="22"/>
          <w:szCs w:val="22"/>
        </w:rPr>
        <w:t>can</w:t>
      </w:r>
      <w:r w:rsidRPr="006721C6" w:rsidR="000319E0">
        <w:rPr>
          <w:sz w:val="22"/>
          <w:szCs w:val="22"/>
        </w:rPr>
        <w:t xml:space="preserve"> only</w:t>
      </w:r>
      <w:r w:rsidRPr="006721C6" w:rsidR="009D3F3A">
        <w:rPr>
          <w:sz w:val="22"/>
          <w:szCs w:val="22"/>
        </w:rPr>
        <w:t xml:space="preserve"> remain operational with </w:t>
      </w:r>
      <w:r w:rsidRPr="006721C6" w:rsidR="007E61E4">
        <w:rPr>
          <w:sz w:val="22"/>
          <w:szCs w:val="22"/>
        </w:rPr>
        <w:t>spare equipment through the end of 2019.</w:t>
      </w:r>
      <w:r>
        <w:rPr>
          <w:rStyle w:val="FootnoteReference"/>
          <w:sz w:val="22"/>
          <w:szCs w:val="22"/>
        </w:rPr>
        <w:footnoteReference w:id="7"/>
      </w:r>
      <w:r w:rsidRPr="006721C6" w:rsidR="007E61E4">
        <w:rPr>
          <w:sz w:val="22"/>
          <w:szCs w:val="22"/>
        </w:rPr>
        <w:t xml:space="preserve">  </w:t>
      </w:r>
      <w:r w:rsidRPr="006721C6" w:rsidR="00837B7C">
        <w:rPr>
          <w:sz w:val="22"/>
          <w:szCs w:val="22"/>
        </w:rPr>
        <w:t xml:space="preserve">On September 12, 2019, the </w:t>
      </w:r>
      <w:r w:rsidRPr="00257C9A" w:rsidR="00575EDB">
        <w:rPr>
          <w:sz w:val="22"/>
          <w:szCs w:val="22"/>
        </w:rPr>
        <w:t>Division</w:t>
      </w:r>
      <w:r w:rsidRPr="00257C9A" w:rsidR="00837B7C">
        <w:rPr>
          <w:sz w:val="22"/>
          <w:szCs w:val="22"/>
        </w:rPr>
        <w:t xml:space="preserve"> granted </w:t>
      </w:r>
      <w:r w:rsidRPr="00257C9A" w:rsidR="007E61E4">
        <w:rPr>
          <w:sz w:val="22"/>
          <w:szCs w:val="22"/>
        </w:rPr>
        <w:t xml:space="preserve">FHR </w:t>
      </w:r>
      <w:r w:rsidRPr="00257C9A" w:rsidR="00837B7C">
        <w:rPr>
          <w:sz w:val="22"/>
          <w:szCs w:val="22"/>
        </w:rPr>
        <w:t>a waiver</w:t>
      </w:r>
      <w:r w:rsidRPr="00257C9A" w:rsidR="00575EDB">
        <w:rPr>
          <w:sz w:val="22"/>
          <w:szCs w:val="22"/>
        </w:rPr>
        <w:t xml:space="preserve">, finding </w:t>
      </w:r>
      <w:r w:rsidRPr="00257C9A" w:rsidR="007E61E4">
        <w:rPr>
          <w:sz w:val="22"/>
          <w:szCs w:val="22"/>
        </w:rPr>
        <w:t xml:space="preserve">that </w:t>
      </w:r>
      <w:r w:rsidR="00372FA4">
        <w:rPr>
          <w:sz w:val="22"/>
          <w:szCs w:val="22"/>
        </w:rPr>
        <w:t xml:space="preserve">the </w:t>
      </w:r>
      <w:r w:rsidRPr="00257C9A" w:rsidR="004B57BC">
        <w:rPr>
          <w:sz w:val="22"/>
          <w:szCs w:val="22"/>
        </w:rPr>
        <w:t xml:space="preserve">purpose of the freeze and the public interest was served by permitting </w:t>
      </w:r>
      <w:r w:rsidRPr="00D6069D" w:rsidR="007E61E4">
        <w:rPr>
          <w:sz w:val="22"/>
          <w:szCs w:val="22"/>
        </w:rPr>
        <w:t>FHR to replace its radio system to ensure safe</w:t>
      </w:r>
      <w:r w:rsidRPr="00D6069D" w:rsidR="009D3F3A">
        <w:rPr>
          <w:sz w:val="22"/>
          <w:szCs w:val="22"/>
        </w:rPr>
        <w:t>,</w:t>
      </w:r>
      <w:r w:rsidRPr="00D6069D" w:rsidR="007E61E4">
        <w:rPr>
          <w:sz w:val="22"/>
          <w:szCs w:val="22"/>
        </w:rPr>
        <w:t xml:space="preserve"> reliable communications, including </w:t>
      </w:r>
      <w:r w:rsidRPr="00D6069D" w:rsidR="007E61E4">
        <w:rPr>
          <w:sz w:val="22"/>
          <w:szCs w:val="22"/>
        </w:rPr>
        <w:t>emergency services</w:t>
      </w:r>
      <w:r w:rsidRPr="003B43E8" w:rsidR="004B57BC">
        <w:rPr>
          <w:sz w:val="22"/>
          <w:szCs w:val="22"/>
        </w:rPr>
        <w:t xml:space="preserve">, while requiring </w:t>
      </w:r>
      <w:r w:rsidRPr="003B43E8" w:rsidR="007E61E4">
        <w:rPr>
          <w:sz w:val="22"/>
          <w:szCs w:val="22"/>
        </w:rPr>
        <w:t xml:space="preserve">FHR </w:t>
      </w:r>
      <w:r w:rsidRPr="003B43E8" w:rsidR="00692A1A">
        <w:rPr>
          <w:sz w:val="22"/>
          <w:szCs w:val="22"/>
        </w:rPr>
        <w:t xml:space="preserve">to </w:t>
      </w:r>
      <w:r w:rsidRPr="003B43E8" w:rsidR="007E61E4">
        <w:rPr>
          <w:sz w:val="22"/>
          <w:szCs w:val="22"/>
        </w:rPr>
        <w:t>cancel</w:t>
      </w:r>
      <w:r w:rsidRPr="003B43E8" w:rsidR="00692A1A">
        <w:rPr>
          <w:sz w:val="22"/>
          <w:szCs w:val="22"/>
        </w:rPr>
        <w:t xml:space="preserve"> </w:t>
      </w:r>
      <w:r w:rsidRPr="003B43E8" w:rsidR="007E61E4">
        <w:rPr>
          <w:sz w:val="22"/>
          <w:szCs w:val="22"/>
        </w:rPr>
        <w:t xml:space="preserve">its legacy system </w:t>
      </w:r>
      <w:r w:rsidRPr="003B43E8" w:rsidR="0055384B">
        <w:rPr>
          <w:sz w:val="22"/>
          <w:szCs w:val="22"/>
        </w:rPr>
        <w:t>licenses</w:t>
      </w:r>
      <w:r w:rsidRPr="003B43E8" w:rsidR="007E61E4">
        <w:rPr>
          <w:sz w:val="22"/>
          <w:szCs w:val="22"/>
        </w:rPr>
        <w:t xml:space="preserve">, </w:t>
      </w:r>
      <w:r w:rsidRPr="003B43E8" w:rsidR="004B57BC">
        <w:rPr>
          <w:sz w:val="22"/>
          <w:szCs w:val="22"/>
        </w:rPr>
        <w:t xml:space="preserve">resulting in </w:t>
      </w:r>
      <w:r w:rsidRPr="003B43E8" w:rsidR="007E61E4">
        <w:rPr>
          <w:sz w:val="22"/>
          <w:szCs w:val="22"/>
        </w:rPr>
        <w:t>no net spectrum increase to FHR</w:t>
      </w:r>
      <w:r w:rsidRPr="003B43E8" w:rsidR="00837B7C">
        <w:rPr>
          <w:sz w:val="22"/>
          <w:szCs w:val="22"/>
        </w:rPr>
        <w:t>.</w:t>
      </w:r>
      <w:r>
        <w:rPr>
          <w:rStyle w:val="FootnoteReference"/>
          <w:sz w:val="22"/>
          <w:szCs w:val="22"/>
        </w:rPr>
        <w:footnoteReference w:id="8"/>
      </w:r>
      <w:r w:rsidRPr="006721C6" w:rsidR="00837B7C">
        <w:rPr>
          <w:sz w:val="22"/>
          <w:szCs w:val="22"/>
        </w:rPr>
        <w:t xml:space="preserve">  The waiver was granted on the condition that FHR cancel </w:t>
      </w:r>
      <w:r w:rsidRPr="006721C6" w:rsidR="0055384B">
        <w:rPr>
          <w:sz w:val="22"/>
          <w:szCs w:val="22"/>
        </w:rPr>
        <w:t>the</w:t>
      </w:r>
      <w:r w:rsidRPr="006721C6" w:rsidR="00837B7C">
        <w:rPr>
          <w:sz w:val="22"/>
          <w:szCs w:val="22"/>
        </w:rPr>
        <w:t xml:space="preserve"> existing licenses by December 31, 2019</w:t>
      </w:r>
      <w:r w:rsidRPr="006721C6" w:rsidR="007E61E4">
        <w:rPr>
          <w:sz w:val="22"/>
          <w:szCs w:val="22"/>
        </w:rPr>
        <w:t>,</w:t>
      </w:r>
      <w:r>
        <w:rPr>
          <w:rStyle w:val="FootnoteReference"/>
          <w:sz w:val="22"/>
          <w:szCs w:val="22"/>
        </w:rPr>
        <w:footnoteReference w:id="9"/>
      </w:r>
      <w:r w:rsidRPr="006721C6" w:rsidR="00692A1A">
        <w:rPr>
          <w:sz w:val="22"/>
          <w:szCs w:val="22"/>
        </w:rPr>
        <w:t xml:space="preserve"> </w:t>
      </w:r>
      <w:r w:rsidRPr="006721C6" w:rsidR="007E61E4">
        <w:rPr>
          <w:sz w:val="22"/>
          <w:szCs w:val="22"/>
        </w:rPr>
        <w:t xml:space="preserve">the date FHR </w:t>
      </w:r>
      <w:r w:rsidRPr="006721C6" w:rsidR="000319E0">
        <w:rPr>
          <w:sz w:val="22"/>
          <w:szCs w:val="22"/>
        </w:rPr>
        <w:t xml:space="preserve">originally </w:t>
      </w:r>
      <w:r w:rsidRPr="006721C6" w:rsidR="007E61E4">
        <w:rPr>
          <w:sz w:val="22"/>
          <w:szCs w:val="22"/>
        </w:rPr>
        <w:t xml:space="preserve">indicated it would implement the new system in parallel with </w:t>
      </w:r>
      <w:r w:rsidRPr="006721C6" w:rsidR="00692A1A">
        <w:rPr>
          <w:sz w:val="22"/>
          <w:szCs w:val="22"/>
        </w:rPr>
        <w:t>its</w:t>
      </w:r>
      <w:r w:rsidRPr="00B80888" w:rsidR="007E61E4">
        <w:rPr>
          <w:sz w:val="22"/>
          <w:szCs w:val="22"/>
        </w:rPr>
        <w:t xml:space="preserve"> existing system to ensure uninterrupted service</w:t>
      </w:r>
      <w:r w:rsidRPr="00B80888" w:rsidR="00837B7C">
        <w:rPr>
          <w:sz w:val="22"/>
          <w:szCs w:val="22"/>
        </w:rPr>
        <w:t>.</w:t>
      </w:r>
      <w:r>
        <w:rPr>
          <w:rStyle w:val="FootnoteReference"/>
          <w:sz w:val="22"/>
          <w:szCs w:val="22"/>
        </w:rPr>
        <w:footnoteReference w:id="10"/>
      </w:r>
    </w:p>
    <w:p w:rsidR="00252A42" w:rsidRPr="00257C9A" w:rsidP="00252A42" w14:paraId="39B76C99" w14:textId="77777777">
      <w:pPr>
        <w:ind w:firstLine="720"/>
        <w:rPr>
          <w:sz w:val="22"/>
          <w:szCs w:val="22"/>
        </w:rPr>
      </w:pPr>
    </w:p>
    <w:p w:rsidR="007033E3" w:rsidRPr="006721C6" w:rsidP="00F8653C" w14:paraId="4CCDF290" w14:textId="450E04D6">
      <w:pPr>
        <w:ind w:firstLine="720"/>
        <w:rPr>
          <w:sz w:val="22"/>
          <w:szCs w:val="22"/>
        </w:rPr>
      </w:pPr>
      <w:r w:rsidRPr="00D6069D">
        <w:rPr>
          <w:sz w:val="22"/>
          <w:szCs w:val="22"/>
        </w:rPr>
        <w:t xml:space="preserve">In the instant request, </w:t>
      </w:r>
      <w:r w:rsidRPr="00D6069D" w:rsidR="000649D0">
        <w:rPr>
          <w:sz w:val="22"/>
          <w:szCs w:val="22"/>
        </w:rPr>
        <w:t>FHR</w:t>
      </w:r>
      <w:r w:rsidRPr="00D6069D">
        <w:rPr>
          <w:sz w:val="22"/>
          <w:szCs w:val="22"/>
        </w:rPr>
        <w:t xml:space="preserve"> state</w:t>
      </w:r>
      <w:r w:rsidRPr="00D6069D" w:rsidR="000649D0">
        <w:rPr>
          <w:sz w:val="22"/>
          <w:szCs w:val="22"/>
        </w:rPr>
        <w:t>s</w:t>
      </w:r>
      <w:r w:rsidRPr="00D6069D">
        <w:rPr>
          <w:sz w:val="22"/>
          <w:szCs w:val="22"/>
        </w:rPr>
        <w:t xml:space="preserve"> that </w:t>
      </w:r>
      <w:r w:rsidRPr="00D6069D" w:rsidR="00692A1A">
        <w:rPr>
          <w:sz w:val="22"/>
          <w:szCs w:val="22"/>
        </w:rPr>
        <w:t>its</w:t>
      </w:r>
      <w:r w:rsidRPr="00D6069D" w:rsidR="009D3F3A">
        <w:rPr>
          <w:sz w:val="22"/>
          <w:szCs w:val="22"/>
        </w:rPr>
        <w:t xml:space="preserve"> equipment supplier</w:t>
      </w:r>
      <w:r w:rsidRPr="00D6069D" w:rsidR="000319E0">
        <w:rPr>
          <w:sz w:val="22"/>
          <w:szCs w:val="22"/>
        </w:rPr>
        <w:t xml:space="preserve"> </w:t>
      </w:r>
      <w:r w:rsidRPr="00D6069D" w:rsidR="009D3F3A">
        <w:rPr>
          <w:sz w:val="22"/>
          <w:szCs w:val="22"/>
        </w:rPr>
        <w:t>delay</w:t>
      </w:r>
      <w:r w:rsidRPr="00D6069D" w:rsidR="000319E0">
        <w:rPr>
          <w:sz w:val="22"/>
          <w:szCs w:val="22"/>
        </w:rPr>
        <w:t>ed</w:t>
      </w:r>
      <w:r w:rsidRPr="00D6069D" w:rsidR="009D3F3A">
        <w:rPr>
          <w:sz w:val="22"/>
          <w:szCs w:val="22"/>
        </w:rPr>
        <w:t xml:space="preserve"> delivery</w:t>
      </w:r>
      <w:r w:rsidRPr="00D6069D" w:rsidR="000319E0">
        <w:rPr>
          <w:sz w:val="22"/>
          <w:szCs w:val="22"/>
        </w:rPr>
        <w:t xml:space="preserve"> of the radio building housing FHR’s infrastructure equipment from its </w:t>
      </w:r>
      <w:r w:rsidRPr="003B43E8" w:rsidR="000319E0">
        <w:rPr>
          <w:sz w:val="22"/>
          <w:szCs w:val="22"/>
        </w:rPr>
        <w:t>original promised date of November 11, 2019 to an actual delivery date of December 10, 2019</w:t>
      </w:r>
      <w:r w:rsidRPr="005F63DF" w:rsidR="000319E0">
        <w:rPr>
          <w:sz w:val="22"/>
          <w:szCs w:val="22"/>
        </w:rPr>
        <w:t>,</w:t>
      </w:r>
      <w:r>
        <w:rPr>
          <w:rStyle w:val="FootnoteReference"/>
          <w:sz w:val="22"/>
          <w:szCs w:val="22"/>
        </w:rPr>
        <w:footnoteReference w:id="11"/>
      </w:r>
      <w:r w:rsidRPr="005F63DF" w:rsidR="000319E0">
        <w:rPr>
          <w:sz w:val="22"/>
          <w:szCs w:val="22"/>
        </w:rPr>
        <w:t xml:space="preserve"> causing</w:t>
      </w:r>
      <w:r w:rsidRPr="006721C6" w:rsidR="000319E0">
        <w:rPr>
          <w:sz w:val="22"/>
          <w:szCs w:val="22"/>
        </w:rPr>
        <w:t xml:space="preserve"> additional </w:t>
      </w:r>
      <w:r w:rsidRPr="006721C6" w:rsidR="00E51F25">
        <w:rPr>
          <w:sz w:val="22"/>
          <w:szCs w:val="22"/>
        </w:rPr>
        <w:t xml:space="preserve">construction </w:t>
      </w:r>
      <w:r w:rsidRPr="006721C6" w:rsidR="000319E0">
        <w:rPr>
          <w:sz w:val="22"/>
          <w:szCs w:val="22"/>
        </w:rPr>
        <w:t xml:space="preserve">delays </w:t>
      </w:r>
      <w:r w:rsidRPr="006721C6" w:rsidR="00BC4384">
        <w:rPr>
          <w:sz w:val="22"/>
          <w:szCs w:val="22"/>
        </w:rPr>
        <w:t>and preventing FHR from meeting the December 31, 2019 license cancellation deadline.</w:t>
      </w:r>
      <w:r>
        <w:rPr>
          <w:rStyle w:val="FootnoteReference"/>
          <w:sz w:val="22"/>
          <w:szCs w:val="22"/>
        </w:rPr>
        <w:footnoteReference w:id="12"/>
      </w:r>
      <w:r w:rsidRPr="00257C9A" w:rsidR="000319E0">
        <w:rPr>
          <w:sz w:val="22"/>
          <w:szCs w:val="22"/>
        </w:rPr>
        <w:t xml:space="preserve"> </w:t>
      </w:r>
      <w:r w:rsidRPr="00257C9A" w:rsidR="00BC4384">
        <w:rPr>
          <w:sz w:val="22"/>
          <w:szCs w:val="22"/>
        </w:rPr>
        <w:t xml:space="preserve"> FHR therefore requests until</w:t>
      </w:r>
      <w:r w:rsidRPr="005F63DF" w:rsidR="00BC4384">
        <w:rPr>
          <w:sz w:val="22"/>
          <w:szCs w:val="22"/>
        </w:rPr>
        <w:t xml:space="preserve"> March 10, 2020 to cancel the legacy </w:t>
      </w:r>
      <w:r w:rsidRPr="005F63DF" w:rsidR="0055384B">
        <w:rPr>
          <w:sz w:val="22"/>
          <w:szCs w:val="22"/>
        </w:rPr>
        <w:t>licenses</w:t>
      </w:r>
      <w:r w:rsidRPr="005F63DF" w:rsidR="00E6127C">
        <w:rPr>
          <w:sz w:val="22"/>
          <w:szCs w:val="22"/>
        </w:rPr>
        <w:t>.</w:t>
      </w:r>
      <w:r>
        <w:rPr>
          <w:rStyle w:val="FootnoteReference"/>
          <w:sz w:val="22"/>
          <w:szCs w:val="22"/>
        </w:rPr>
        <w:footnoteReference w:id="13"/>
      </w:r>
      <w:r w:rsidRPr="006721C6" w:rsidR="00E6127C">
        <w:rPr>
          <w:sz w:val="22"/>
          <w:szCs w:val="22"/>
        </w:rPr>
        <w:t xml:space="preserve">  </w:t>
      </w:r>
    </w:p>
    <w:p w:rsidR="007033E3" w:rsidRPr="00257C9A" w:rsidP="00F8653C" w14:paraId="13DF5502" w14:textId="77777777">
      <w:pPr>
        <w:ind w:firstLine="720"/>
        <w:rPr>
          <w:sz w:val="22"/>
          <w:szCs w:val="22"/>
        </w:rPr>
      </w:pPr>
    </w:p>
    <w:p w:rsidR="00B16412" w:rsidRPr="006721C6" w:rsidP="000D0328" w14:paraId="280843EC" w14:textId="1C192EB3">
      <w:pPr>
        <w:ind w:firstLine="720"/>
        <w:rPr>
          <w:sz w:val="22"/>
          <w:szCs w:val="22"/>
        </w:rPr>
      </w:pPr>
      <w:r w:rsidRPr="005F63DF">
        <w:rPr>
          <w:sz w:val="22"/>
          <w:szCs w:val="22"/>
        </w:rPr>
        <w:t xml:space="preserve">We </w:t>
      </w:r>
      <w:r w:rsidRPr="005F63DF" w:rsidR="0055384B">
        <w:rPr>
          <w:sz w:val="22"/>
          <w:szCs w:val="22"/>
        </w:rPr>
        <w:t xml:space="preserve">grant FHR’s request and </w:t>
      </w:r>
      <w:r w:rsidRPr="005F63DF">
        <w:rPr>
          <w:sz w:val="22"/>
          <w:szCs w:val="22"/>
        </w:rPr>
        <w:t xml:space="preserve">find that </w:t>
      </w:r>
      <w:r w:rsidRPr="005F63DF" w:rsidR="003E104A">
        <w:rPr>
          <w:sz w:val="22"/>
          <w:szCs w:val="22"/>
        </w:rPr>
        <w:t xml:space="preserve">the purpose of the 900 MHz freeze to preserve the current landscape of authorized operations in the band would not be served by </w:t>
      </w:r>
      <w:r w:rsidRPr="005F63DF" w:rsidR="0055384B">
        <w:rPr>
          <w:sz w:val="22"/>
          <w:szCs w:val="22"/>
        </w:rPr>
        <w:t>denying relief in this case</w:t>
      </w:r>
      <w:r w:rsidRPr="005F63DF" w:rsidR="003E104A">
        <w:rPr>
          <w:sz w:val="22"/>
          <w:szCs w:val="22"/>
        </w:rPr>
        <w:t xml:space="preserve">.  </w:t>
      </w:r>
      <w:r w:rsidRPr="005F63DF">
        <w:rPr>
          <w:sz w:val="22"/>
          <w:szCs w:val="22"/>
        </w:rPr>
        <w:t xml:space="preserve">FHR acted with diligence to meet </w:t>
      </w:r>
      <w:r w:rsidRPr="0069059C" w:rsidR="00351A53">
        <w:rPr>
          <w:sz w:val="22"/>
          <w:szCs w:val="22"/>
        </w:rPr>
        <w:t>the waiver condition</w:t>
      </w:r>
      <w:r w:rsidRPr="0069059C" w:rsidR="00AE4600">
        <w:rPr>
          <w:sz w:val="22"/>
          <w:szCs w:val="22"/>
        </w:rPr>
        <w:t xml:space="preserve"> and has continued to make </w:t>
      </w:r>
      <w:r w:rsidRPr="0069059C" w:rsidR="00BC4384">
        <w:rPr>
          <w:sz w:val="22"/>
          <w:szCs w:val="22"/>
        </w:rPr>
        <w:t xml:space="preserve">substantial </w:t>
      </w:r>
      <w:r w:rsidRPr="0069059C" w:rsidR="00AE4600">
        <w:rPr>
          <w:sz w:val="22"/>
          <w:szCs w:val="22"/>
        </w:rPr>
        <w:t>progress towards constructin</w:t>
      </w:r>
      <w:r w:rsidRPr="00D6069D" w:rsidR="00351A53">
        <w:rPr>
          <w:sz w:val="22"/>
          <w:szCs w:val="22"/>
        </w:rPr>
        <w:t xml:space="preserve">g its parallel system </w:t>
      </w:r>
      <w:r w:rsidRPr="00D6069D" w:rsidR="00AE4600">
        <w:rPr>
          <w:sz w:val="22"/>
          <w:szCs w:val="22"/>
        </w:rPr>
        <w:t>despite equipment supplier delay in delivery</w:t>
      </w:r>
      <w:r w:rsidRPr="00D6069D" w:rsidR="00647D83">
        <w:rPr>
          <w:sz w:val="22"/>
          <w:szCs w:val="22"/>
        </w:rPr>
        <w:t>,</w:t>
      </w:r>
      <w:r>
        <w:rPr>
          <w:rStyle w:val="FootnoteReference"/>
          <w:sz w:val="22"/>
          <w:szCs w:val="22"/>
        </w:rPr>
        <w:footnoteReference w:id="14"/>
      </w:r>
      <w:r w:rsidRPr="006721C6" w:rsidR="000706C5">
        <w:rPr>
          <w:sz w:val="22"/>
          <w:szCs w:val="22"/>
        </w:rPr>
        <w:t xml:space="preserve"> </w:t>
      </w:r>
      <w:r w:rsidRPr="006721C6" w:rsidR="00647D83">
        <w:rPr>
          <w:sz w:val="22"/>
          <w:szCs w:val="22"/>
        </w:rPr>
        <w:t xml:space="preserve">including </w:t>
      </w:r>
      <w:r w:rsidRPr="006721C6" w:rsidR="00607BBE">
        <w:rPr>
          <w:sz w:val="22"/>
          <w:szCs w:val="22"/>
        </w:rPr>
        <w:t>constructin</w:t>
      </w:r>
      <w:r w:rsidRPr="006721C6" w:rsidR="00C65830">
        <w:rPr>
          <w:sz w:val="22"/>
          <w:szCs w:val="22"/>
        </w:rPr>
        <w:t>g</w:t>
      </w:r>
      <w:r w:rsidRPr="006721C6" w:rsidR="00607BBE">
        <w:rPr>
          <w:sz w:val="22"/>
          <w:szCs w:val="22"/>
        </w:rPr>
        <w:t xml:space="preserve"> at sites other than the </w:t>
      </w:r>
      <w:r w:rsidR="00321665">
        <w:rPr>
          <w:sz w:val="22"/>
          <w:szCs w:val="22"/>
        </w:rPr>
        <w:t>a</w:t>
      </w:r>
      <w:r w:rsidRPr="00257C9A" w:rsidR="00BC4384">
        <w:rPr>
          <w:sz w:val="22"/>
          <w:szCs w:val="22"/>
        </w:rPr>
        <w:t xml:space="preserve">ffected </w:t>
      </w:r>
      <w:r w:rsidRPr="00257C9A" w:rsidR="00607BBE">
        <w:rPr>
          <w:sz w:val="22"/>
          <w:szCs w:val="22"/>
        </w:rPr>
        <w:t>West Site and perform</w:t>
      </w:r>
      <w:r w:rsidRPr="00257C9A" w:rsidR="00C65830">
        <w:rPr>
          <w:sz w:val="22"/>
          <w:szCs w:val="22"/>
        </w:rPr>
        <w:t>ing</w:t>
      </w:r>
      <w:r w:rsidRPr="00257C9A" w:rsidR="00607BBE">
        <w:rPr>
          <w:sz w:val="22"/>
          <w:szCs w:val="22"/>
        </w:rPr>
        <w:t xml:space="preserve"> preliminary equipment function tests in nearby staging areas</w:t>
      </w:r>
      <w:r w:rsidRPr="005F63DF" w:rsidR="00C65830">
        <w:rPr>
          <w:sz w:val="22"/>
          <w:szCs w:val="22"/>
        </w:rPr>
        <w:t>.</w:t>
      </w:r>
      <w:r>
        <w:rPr>
          <w:rStyle w:val="FootnoteReference"/>
          <w:sz w:val="22"/>
          <w:szCs w:val="22"/>
        </w:rPr>
        <w:footnoteReference w:id="15"/>
      </w:r>
      <w:r w:rsidRPr="006721C6" w:rsidR="00E51F25">
        <w:rPr>
          <w:sz w:val="22"/>
          <w:szCs w:val="22"/>
        </w:rPr>
        <w:t xml:space="preserve">  </w:t>
      </w:r>
      <w:r w:rsidRPr="006721C6" w:rsidR="00AE5DE9">
        <w:rPr>
          <w:sz w:val="22"/>
          <w:szCs w:val="22"/>
        </w:rPr>
        <w:t>W</w:t>
      </w:r>
      <w:r w:rsidRPr="006721C6" w:rsidR="00AE4600">
        <w:rPr>
          <w:sz w:val="22"/>
          <w:szCs w:val="22"/>
        </w:rPr>
        <w:t>e find that a</w:t>
      </w:r>
      <w:r w:rsidRPr="006721C6" w:rsidR="003E104A">
        <w:rPr>
          <w:sz w:val="22"/>
          <w:szCs w:val="22"/>
        </w:rPr>
        <w:t xml:space="preserve">ffording additional time until March 10, 2020 to cancel its licenses </w:t>
      </w:r>
      <w:r w:rsidRPr="006721C6" w:rsidR="00AE4600">
        <w:rPr>
          <w:sz w:val="22"/>
          <w:szCs w:val="22"/>
        </w:rPr>
        <w:t>is in the public interest</w:t>
      </w:r>
      <w:r w:rsidRPr="00257C9A" w:rsidR="003E104A">
        <w:rPr>
          <w:sz w:val="22"/>
          <w:szCs w:val="22"/>
        </w:rPr>
        <w:t xml:space="preserve"> and will help </w:t>
      </w:r>
      <w:r w:rsidRPr="00257C9A" w:rsidR="00391426">
        <w:rPr>
          <w:sz w:val="22"/>
          <w:szCs w:val="22"/>
        </w:rPr>
        <w:t>ensure safe, reliable communications, including emergency communications for fire protection services</w:t>
      </w:r>
      <w:r w:rsidRPr="005F63DF" w:rsidR="003E104A">
        <w:rPr>
          <w:sz w:val="22"/>
          <w:szCs w:val="22"/>
        </w:rPr>
        <w:t>.</w:t>
      </w:r>
      <w:r>
        <w:rPr>
          <w:rStyle w:val="FootnoteReference"/>
          <w:sz w:val="22"/>
          <w:szCs w:val="22"/>
        </w:rPr>
        <w:footnoteReference w:id="16"/>
      </w:r>
      <w:r w:rsidRPr="006721C6" w:rsidR="000D0328">
        <w:rPr>
          <w:sz w:val="22"/>
          <w:szCs w:val="22"/>
        </w:rPr>
        <w:t xml:space="preserve">  </w:t>
      </w:r>
      <w:r w:rsidRPr="006721C6" w:rsidR="00AE5DE9">
        <w:rPr>
          <w:sz w:val="22"/>
          <w:szCs w:val="22"/>
        </w:rPr>
        <w:t xml:space="preserve">Moreover, granting FHR additional time </w:t>
      </w:r>
      <w:r w:rsidR="00803D92">
        <w:rPr>
          <w:sz w:val="22"/>
          <w:szCs w:val="22"/>
        </w:rPr>
        <w:t xml:space="preserve">until March 10, 2020 will </w:t>
      </w:r>
      <w:r w:rsidR="00C12B2A">
        <w:rPr>
          <w:sz w:val="22"/>
          <w:szCs w:val="22"/>
        </w:rPr>
        <w:t xml:space="preserve">afford FHR </w:t>
      </w:r>
      <w:r w:rsidR="0092045E">
        <w:rPr>
          <w:sz w:val="22"/>
          <w:szCs w:val="22"/>
        </w:rPr>
        <w:t xml:space="preserve">approximately </w:t>
      </w:r>
      <w:r w:rsidR="00803D92">
        <w:rPr>
          <w:sz w:val="22"/>
          <w:szCs w:val="22"/>
        </w:rPr>
        <w:t>180</w:t>
      </w:r>
      <w:r w:rsidR="00C12B2A">
        <w:rPr>
          <w:sz w:val="22"/>
          <w:szCs w:val="22"/>
        </w:rPr>
        <w:t xml:space="preserve"> days to con</w:t>
      </w:r>
      <w:r w:rsidR="00582DDF">
        <w:rPr>
          <w:sz w:val="22"/>
          <w:szCs w:val="22"/>
        </w:rPr>
        <w:t>s</w:t>
      </w:r>
      <w:r w:rsidR="00C12B2A">
        <w:rPr>
          <w:sz w:val="22"/>
          <w:szCs w:val="22"/>
        </w:rPr>
        <w:t xml:space="preserve">truct </w:t>
      </w:r>
      <w:r w:rsidR="00B86786">
        <w:rPr>
          <w:sz w:val="22"/>
          <w:szCs w:val="22"/>
        </w:rPr>
        <w:t>following</w:t>
      </w:r>
      <w:r w:rsidR="007C38D8">
        <w:rPr>
          <w:sz w:val="22"/>
          <w:szCs w:val="22"/>
        </w:rPr>
        <w:t xml:space="preserve"> </w:t>
      </w:r>
      <w:r w:rsidR="00C12B2A">
        <w:rPr>
          <w:sz w:val="22"/>
          <w:szCs w:val="22"/>
        </w:rPr>
        <w:t xml:space="preserve">the </w:t>
      </w:r>
      <w:r w:rsidR="00C728AE">
        <w:rPr>
          <w:sz w:val="22"/>
          <w:szCs w:val="22"/>
        </w:rPr>
        <w:t xml:space="preserve">Division’s </w:t>
      </w:r>
      <w:r w:rsidR="00C12B2A">
        <w:rPr>
          <w:sz w:val="22"/>
          <w:szCs w:val="22"/>
        </w:rPr>
        <w:t xml:space="preserve">grant of its initial </w:t>
      </w:r>
      <w:r w:rsidR="00E6484D">
        <w:rPr>
          <w:sz w:val="22"/>
          <w:szCs w:val="22"/>
        </w:rPr>
        <w:t>waiver</w:t>
      </w:r>
      <w:r w:rsidR="00C12B2A">
        <w:rPr>
          <w:sz w:val="22"/>
          <w:szCs w:val="22"/>
        </w:rPr>
        <w:t xml:space="preserve"> request</w:t>
      </w:r>
      <w:r w:rsidR="00C728AE">
        <w:rPr>
          <w:sz w:val="22"/>
          <w:szCs w:val="22"/>
        </w:rPr>
        <w:t xml:space="preserve"> on </w:t>
      </w:r>
      <w:r w:rsidRPr="00C728AE" w:rsidR="00C728AE">
        <w:rPr>
          <w:sz w:val="22"/>
          <w:szCs w:val="22"/>
        </w:rPr>
        <w:t>September 12, 2019</w:t>
      </w:r>
      <w:r w:rsidR="00C12B2A">
        <w:rPr>
          <w:sz w:val="22"/>
          <w:szCs w:val="22"/>
        </w:rPr>
        <w:t xml:space="preserve">.  This timeframe </w:t>
      </w:r>
      <w:r w:rsidRPr="006721C6" w:rsidR="00AE5DE9">
        <w:rPr>
          <w:sz w:val="22"/>
          <w:szCs w:val="22"/>
        </w:rPr>
        <w:t xml:space="preserve">is consistent with the </w:t>
      </w:r>
      <w:r w:rsidR="004805D9">
        <w:rPr>
          <w:sz w:val="22"/>
          <w:szCs w:val="22"/>
        </w:rPr>
        <w:t xml:space="preserve">180-day period </w:t>
      </w:r>
      <w:r w:rsidR="00556E72">
        <w:rPr>
          <w:sz w:val="22"/>
          <w:szCs w:val="22"/>
        </w:rPr>
        <w:t xml:space="preserve">that the Bureau </w:t>
      </w:r>
      <w:r w:rsidR="00D03B3C">
        <w:rPr>
          <w:sz w:val="22"/>
          <w:szCs w:val="22"/>
        </w:rPr>
        <w:t xml:space="preserve">afforded </w:t>
      </w:r>
      <w:r w:rsidR="005E64EB">
        <w:rPr>
          <w:sz w:val="22"/>
          <w:szCs w:val="22"/>
        </w:rPr>
        <w:t xml:space="preserve">licensees to </w:t>
      </w:r>
      <w:r w:rsidR="00C266BA">
        <w:rPr>
          <w:sz w:val="22"/>
          <w:szCs w:val="22"/>
        </w:rPr>
        <w:t>construct</w:t>
      </w:r>
      <w:r w:rsidR="005E64EB">
        <w:rPr>
          <w:sz w:val="22"/>
          <w:szCs w:val="22"/>
        </w:rPr>
        <w:t xml:space="preserve"> </w:t>
      </w:r>
      <w:r w:rsidR="00A70CC7">
        <w:rPr>
          <w:sz w:val="22"/>
          <w:szCs w:val="22"/>
        </w:rPr>
        <w:t xml:space="preserve">after grant of applications to relocate to </w:t>
      </w:r>
      <w:r w:rsidR="009C111B">
        <w:rPr>
          <w:sz w:val="22"/>
          <w:szCs w:val="22"/>
        </w:rPr>
        <w:t>900 MHz n</w:t>
      </w:r>
      <w:r w:rsidR="00A70CC7">
        <w:rPr>
          <w:sz w:val="22"/>
          <w:szCs w:val="22"/>
        </w:rPr>
        <w:t xml:space="preserve">arrowband frequencies, which the Bureau </w:t>
      </w:r>
      <w:r w:rsidR="002354A5">
        <w:rPr>
          <w:sz w:val="22"/>
          <w:szCs w:val="22"/>
        </w:rPr>
        <w:t>permitted in certain circumstances when it modified the 900 MHz freeze</w:t>
      </w:r>
      <w:r w:rsidR="003521C6">
        <w:rPr>
          <w:sz w:val="22"/>
          <w:szCs w:val="22"/>
        </w:rPr>
        <w:t>,</w:t>
      </w:r>
      <w:r w:rsidR="002354A5">
        <w:rPr>
          <w:sz w:val="22"/>
          <w:szCs w:val="22"/>
        </w:rPr>
        <w:t xml:space="preserve"> </w:t>
      </w:r>
      <w:r w:rsidR="005E64EB">
        <w:rPr>
          <w:sz w:val="22"/>
          <w:szCs w:val="22"/>
        </w:rPr>
        <w:t xml:space="preserve">subsequent to the </w:t>
      </w:r>
      <w:r w:rsidR="005E64EB">
        <w:rPr>
          <w:i/>
        </w:rPr>
        <w:t>Flint Hills Order</w:t>
      </w:r>
      <w:r w:rsidRPr="006721C6" w:rsidR="006019F1">
        <w:rPr>
          <w:sz w:val="22"/>
          <w:szCs w:val="22"/>
        </w:rPr>
        <w:t>.</w:t>
      </w:r>
      <w:r>
        <w:rPr>
          <w:rStyle w:val="FootnoteReference"/>
          <w:sz w:val="22"/>
          <w:szCs w:val="22"/>
        </w:rPr>
        <w:footnoteReference w:id="17"/>
      </w:r>
      <w:r w:rsidRPr="006721C6" w:rsidR="006019F1">
        <w:rPr>
          <w:sz w:val="22"/>
          <w:szCs w:val="22"/>
        </w:rPr>
        <w:t xml:space="preserve"> </w:t>
      </w:r>
    </w:p>
    <w:p w:rsidR="00FB18F2" w:rsidRPr="00257C9A" w:rsidP="000D0328" w14:paraId="387E70A5" w14:textId="55D54BA4">
      <w:pPr>
        <w:ind w:firstLine="720"/>
        <w:rPr>
          <w:sz w:val="22"/>
          <w:szCs w:val="22"/>
        </w:rPr>
      </w:pPr>
    </w:p>
    <w:p w:rsidR="001D0CF2" w:rsidRPr="005F63DF" w:rsidP="000D0328" w14:paraId="72C3B508" w14:textId="78BD8498">
      <w:pPr>
        <w:ind w:firstLine="720"/>
        <w:rPr>
          <w:sz w:val="22"/>
          <w:szCs w:val="22"/>
        </w:rPr>
      </w:pPr>
      <w:r w:rsidRPr="00257C9A">
        <w:rPr>
          <w:sz w:val="22"/>
          <w:szCs w:val="22"/>
        </w:rPr>
        <w:t xml:space="preserve">We grant FHR’s request and modify the </w:t>
      </w:r>
      <w:r w:rsidRPr="00257C9A" w:rsidR="00C87DC2">
        <w:rPr>
          <w:sz w:val="22"/>
          <w:szCs w:val="22"/>
        </w:rPr>
        <w:t xml:space="preserve">prior </w:t>
      </w:r>
      <w:r w:rsidRPr="005F63DF">
        <w:rPr>
          <w:sz w:val="22"/>
          <w:szCs w:val="22"/>
        </w:rPr>
        <w:t xml:space="preserve">waiver </w:t>
      </w:r>
      <w:r w:rsidRPr="005F63DF" w:rsidR="00D137E2">
        <w:rPr>
          <w:sz w:val="22"/>
          <w:szCs w:val="22"/>
        </w:rPr>
        <w:t xml:space="preserve">grant </w:t>
      </w:r>
      <w:r w:rsidRPr="005F63DF" w:rsidR="00C87DC2">
        <w:rPr>
          <w:sz w:val="22"/>
          <w:szCs w:val="22"/>
        </w:rPr>
        <w:t>o</w:t>
      </w:r>
      <w:r w:rsidRPr="005F63DF">
        <w:rPr>
          <w:sz w:val="22"/>
          <w:szCs w:val="22"/>
        </w:rPr>
        <w:t xml:space="preserve">n the express </w:t>
      </w:r>
      <w:r w:rsidRPr="005F63DF" w:rsidR="00C87DC2">
        <w:rPr>
          <w:sz w:val="22"/>
          <w:szCs w:val="22"/>
        </w:rPr>
        <w:t xml:space="preserve">condition </w:t>
      </w:r>
      <w:r w:rsidRPr="0069059C">
        <w:rPr>
          <w:sz w:val="22"/>
          <w:szCs w:val="22"/>
        </w:rPr>
        <w:t>that FHR can</w:t>
      </w:r>
      <w:r w:rsidRPr="0069059C" w:rsidR="00C87DC2">
        <w:rPr>
          <w:sz w:val="22"/>
          <w:szCs w:val="22"/>
        </w:rPr>
        <w:t>c</w:t>
      </w:r>
      <w:r w:rsidRPr="00D6069D">
        <w:rPr>
          <w:sz w:val="22"/>
          <w:szCs w:val="22"/>
        </w:rPr>
        <w:t>el its licenses for Stations WQAW222, WQBJ582, WPLX984, and WQUN818 by March 10, 2020.  A fa</w:t>
      </w:r>
      <w:r w:rsidRPr="00D6069D" w:rsidR="00C87DC2">
        <w:rPr>
          <w:sz w:val="22"/>
          <w:szCs w:val="22"/>
        </w:rPr>
        <w:t>i</w:t>
      </w:r>
      <w:r w:rsidRPr="0097547C">
        <w:rPr>
          <w:sz w:val="22"/>
          <w:szCs w:val="22"/>
        </w:rPr>
        <w:t xml:space="preserve">lure to </w:t>
      </w:r>
      <w:r w:rsidRPr="0097547C" w:rsidR="00B1537B">
        <w:rPr>
          <w:sz w:val="22"/>
          <w:szCs w:val="22"/>
        </w:rPr>
        <w:t xml:space="preserve">timely </w:t>
      </w:r>
      <w:r w:rsidRPr="00C92965">
        <w:rPr>
          <w:sz w:val="22"/>
          <w:szCs w:val="22"/>
        </w:rPr>
        <w:t>cancel the existing licenses as required shall constitute a failure to mee</w:t>
      </w:r>
      <w:r w:rsidRPr="00C92965" w:rsidR="00C87DC2">
        <w:rPr>
          <w:sz w:val="22"/>
          <w:szCs w:val="22"/>
        </w:rPr>
        <w:t>t</w:t>
      </w:r>
      <w:r w:rsidRPr="00C92965">
        <w:rPr>
          <w:sz w:val="22"/>
          <w:szCs w:val="22"/>
        </w:rPr>
        <w:t xml:space="preserve"> a condition of the grant</w:t>
      </w:r>
      <w:r w:rsidRPr="00C92965" w:rsidR="00C87DC2">
        <w:rPr>
          <w:sz w:val="22"/>
          <w:szCs w:val="22"/>
        </w:rPr>
        <w:t xml:space="preserve"> </w:t>
      </w:r>
      <w:r w:rsidR="00CF02B6">
        <w:rPr>
          <w:sz w:val="22"/>
          <w:szCs w:val="22"/>
        </w:rPr>
        <w:t>of</w:t>
      </w:r>
      <w:r w:rsidRPr="00C92965" w:rsidR="00C87DC2">
        <w:rPr>
          <w:sz w:val="22"/>
          <w:szCs w:val="22"/>
        </w:rPr>
        <w:t xml:space="preserve"> call signs </w:t>
      </w:r>
      <w:r w:rsidR="00CF02B6">
        <w:rPr>
          <w:sz w:val="22"/>
          <w:szCs w:val="22"/>
        </w:rPr>
        <w:t xml:space="preserve">WREB811 and </w:t>
      </w:r>
      <w:r w:rsidR="00EA7FDC">
        <w:rPr>
          <w:sz w:val="22"/>
          <w:szCs w:val="22"/>
        </w:rPr>
        <w:t>WREB813</w:t>
      </w:r>
      <w:r w:rsidRPr="00C92965" w:rsidR="00EA7FDC">
        <w:rPr>
          <w:sz w:val="22"/>
          <w:szCs w:val="22"/>
        </w:rPr>
        <w:t xml:space="preserve"> </w:t>
      </w:r>
      <w:r w:rsidRPr="006721C6" w:rsidR="00254164">
        <w:rPr>
          <w:sz w:val="22"/>
          <w:szCs w:val="22"/>
        </w:rPr>
        <w:t xml:space="preserve">and thus grounds for </w:t>
      </w:r>
      <w:r w:rsidRPr="006721C6" w:rsidR="00B1537B">
        <w:rPr>
          <w:sz w:val="22"/>
          <w:szCs w:val="22"/>
        </w:rPr>
        <w:t>declaring that the licenses terminated.  Failure to meet this condition may also result in monetary s</w:t>
      </w:r>
      <w:r w:rsidRPr="00257C9A" w:rsidR="007A7A0B">
        <w:rPr>
          <w:sz w:val="22"/>
          <w:szCs w:val="22"/>
        </w:rPr>
        <w:t>anctions</w:t>
      </w:r>
      <w:r w:rsidRPr="00257C9A" w:rsidR="00B1537B">
        <w:rPr>
          <w:sz w:val="22"/>
          <w:szCs w:val="22"/>
        </w:rPr>
        <w:t xml:space="preserve"> or other enforcement ac</w:t>
      </w:r>
      <w:r w:rsidRPr="005F63DF" w:rsidR="007A7A0B">
        <w:rPr>
          <w:sz w:val="22"/>
          <w:szCs w:val="22"/>
        </w:rPr>
        <w:t xml:space="preserve">tion </w:t>
      </w:r>
      <w:r w:rsidRPr="005F63DF" w:rsidR="00B1537B">
        <w:rPr>
          <w:sz w:val="22"/>
          <w:szCs w:val="22"/>
        </w:rPr>
        <w:t xml:space="preserve">by the </w:t>
      </w:r>
      <w:r w:rsidRPr="005F63DF" w:rsidR="007A7A0B">
        <w:rPr>
          <w:sz w:val="22"/>
          <w:szCs w:val="22"/>
        </w:rPr>
        <w:t>Commission</w:t>
      </w:r>
      <w:r w:rsidRPr="005F63DF" w:rsidR="00B1537B">
        <w:rPr>
          <w:sz w:val="22"/>
          <w:szCs w:val="22"/>
        </w:rPr>
        <w:t xml:space="preserve">. </w:t>
      </w:r>
    </w:p>
    <w:p w:rsidR="00AE4600" w:rsidRPr="0069059C" w:rsidP="00AE4600" w14:paraId="602281E9" w14:textId="77777777">
      <w:pPr>
        <w:rPr>
          <w:sz w:val="22"/>
          <w:szCs w:val="22"/>
        </w:rPr>
      </w:pPr>
    </w:p>
    <w:p w:rsidR="00D4347E" w:rsidRPr="00573391" w:rsidP="00503F26" w14:paraId="26DEA4EF" w14:textId="00E2CB43">
      <w:pPr>
        <w:ind w:firstLine="720"/>
        <w:rPr>
          <w:sz w:val="22"/>
          <w:szCs w:val="22"/>
        </w:rPr>
      </w:pPr>
      <w:r w:rsidRPr="0069059C">
        <w:rPr>
          <w:sz w:val="22"/>
          <w:szCs w:val="22"/>
        </w:rPr>
        <w:t>Accordingly, IT IS ORDERE</w:t>
      </w:r>
      <w:r w:rsidRPr="00D6069D">
        <w:rPr>
          <w:sz w:val="22"/>
          <w:szCs w:val="22"/>
        </w:rPr>
        <w:t>D</w:t>
      </w:r>
      <w:r w:rsidRPr="00D6069D" w:rsidR="00C2276E">
        <w:rPr>
          <w:sz w:val="22"/>
          <w:szCs w:val="22"/>
        </w:rPr>
        <w:t>,</w:t>
      </w:r>
      <w:r w:rsidRPr="0097547C">
        <w:rPr>
          <w:sz w:val="22"/>
          <w:szCs w:val="22"/>
        </w:rPr>
        <w:t xml:space="preserve"> </w:t>
      </w:r>
      <w:r w:rsidRPr="00573391" w:rsidR="00C2276E">
        <w:rPr>
          <w:sz w:val="22"/>
          <w:szCs w:val="22"/>
        </w:rPr>
        <w:t>pursuant to section 4(</w:t>
      </w:r>
      <w:r w:rsidRPr="00573391" w:rsidR="00C2276E">
        <w:rPr>
          <w:sz w:val="22"/>
          <w:szCs w:val="22"/>
        </w:rPr>
        <w:t>i</w:t>
      </w:r>
      <w:r w:rsidRPr="00573391" w:rsidR="00C2276E">
        <w:rPr>
          <w:sz w:val="22"/>
          <w:szCs w:val="22"/>
        </w:rPr>
        <w:t>) of the Communications Act of 1934, as amended, 47 U.S.C. § 154(</w:t>
      </w:r>
      <w:r w:rsidRPr="00573391" w:rsidR="00C2276E">
        <w:rPr>
          <w:sz w:val="22"/>
          <w:szCs w:val="22"/>
        </w:rPr>
        <w:t>i</w:t>
      </w:r>
      <w:r w:rsidRPr="00573391" w:rsidR="00C2276E">
        <w:rPr>
          <w:sz w:val="22"/>
          <w:szCs w:val="22"/>
        </w:rPr>
        <w:t xml:space="preserve">), and section 1.925 of the Commission’s rules, 47 CFR § 1.925, </w:t>
      </w:r>
      <w:r w:rsidRPr="006721C6">
        <w:rPr>
          <w:sz w:val="22"/>
          <w:szCs w:val="22"/>
        </w:rPr>
        <w:t xml:space="preserve">that the </w:t>
      </w:r>
      <w:r w:rsidRPr="006721C6" w:rsidR="00135F6D">
        <w:rPr>
          <w:sz w:val="22"/>
          <w:szCs w:val="22"/>
        </w:rPr>
        <w:t xml:space="preserve">request to modify the waiver granted on September 12, 2019 in DA 19-908, as set forth in the </w:t>
      </w:r>
      <w:r w:rsidRPr="00573391" w:rsidR="00573D9E">
        <w:rPr>
          <w:sz w:val="22"/>
          <w:szCs w:val="22"/>
        </w:rPr>
        <w:t xml:space="preserve">Request for Modification of Waiver of Application Freeze filed on December 3, 2019, by Flint Hills Resources Corpus Christi, LLC, in connection with </w:t>
      </w:r>
      <w:r w:rsidRPr="006721C6" w:rsidR="005E0D60">
        <w:rPr>
          <w:sz w:val="22"/>
          <w:szCs w:val="22"/>
        </w:rPr>
        <w:t xml:space="preserve">call signs </w:t>
      </w:r>
      <w:r w:rsidR="00573391">
        <w:rPr>
          <w:sz w:val="22"/>
          <w:szCs w:val="22"/>
        </w:rPr>
        <w:t>WREB81</w:t>
      </w:r>
      <w:r w:rsidR="00CF02B6">
        <w:rPr>
          <w:sz w:val="22"/>
          <w:szCs w:val="22"/>
        </w:rPr>
        <w:t>1</w:t>
      </w:r>
      <w:r w:rsidRPr="006721C6" w:rsidR="00573391">
        <w:rPr>
          <w:sz w:val="22"/>
          <w:szCs w:val="22"/>
        </w:rPr>
        <w:t xml:space="preserve"> </w:t>
      </w:r>
      <w:r w:rsidRPr="006721C6" w:rsidR="005E0D60">
        <w:rPr>
          <w:sz w:val="22"/>
          <w:szCs w:val="22"/>
        </w:rPr>
        <w:t xml:space="preserve">and </w:t>
      </w:r>
      <w:r w:rsidR="00573391">
        <w:rPr>
          <w:sz w:val="22"/>
          <w:szCs w:val="22"/>
        </w:rPr>
        <w:t>WREB81</w:t>
      </w:r>
      <w:r w:rsidR="00CF02B6">
        <w:rPr>
          <w:sz w:val="22"/>
          <w:szCs w:val="22"/>
        </w:rPr>
        <w:t>3</w:t>
      </w:r>
      <w:r w:rsidRPr="006721C6" w:rsidR="00FC392A">
        <w:rPr>
          <w:sz w:val="22"/>
          <w:szCs w:val="22"/>
        </w:rPr>
        <w:t>,</w:t>
      </w:r>
      <w:r w:rsidRPr="006721C6">
        <w:rPr>
          <w:sz w:val="22"/>
          <w:szCs w:val="22"/>
        </w:rPr>
        <w:t xml:space="preserve"> </w:t>
      </w:r>
      <w:r w:rsidRPr="00573391" w:rsidR="00503F26">
        <w:rPr>
          <w:sz w:val="22"/>
          <w:szCs w:val="22"/>
        </w:rPr>
        <w:t>IS</w:t>
      </w:r>
      <w:r w:rsidRPr="00573391">
        <w:rPr>
          <w:sz w:val="22"/>
          <w:szCs w:val="22"/>
        </w:rPr>
        <w:t xml:space="preserve"> GRANTED.</w:t>
      </w:r>
    </w:p>
    <w:p w:rsidR="00744922" w:rsidRPr="006721C6" w:rsidP="008F4146" w14:paraId="466A1DC5" w14:textId="77777777">
      <w:pPr>
        <w:rPr>
          <w:sz w:val="22"/>
          <w:szCs w:val="22"/>
        </w:rPr>
      </w:pPr>
    </w:p>
    <w:p w:rsidR="00886EED" w:rsidRPr="005F63DF" w:rsidP="005A625F" w14:paraId="7004EA33" w14:textId="0A442C8F">
      <w:pPr>
        <w:ind w:firstLine="720"/>
        <w:rPr>
          <w:sz w:val="22"/>
          <w:szCs w:val="22"/>
        </w:rPr>
      </w:pPr>
      <w:r w:rsidRPr="00257C9A">
        <w:rPr>
          <w:sz w:val="22"/>
          <w:szCs w:val="22"/>
        </w:rPr>
        <w:t>This action is taken under delegated authority pursuant to Sections 0.131 and 0.331 of the Commission’s Rules, 47 CFR. §§ 0.131, 0.331.</w:t>
      </w:r>
    </w:p>
    <w:p w:rsidR="001E6746" w:rsidRPr="005F63DF" w:rsidP="00886EED" w14:paraId="0799AC5A" w14:textId="77777777">
      <w:pPr>
        <w:rPr>
          <w:sz w:val="22"/>
          <w:szCs w:val="22"/>
        </w:rPr>
      </w:pPr>
      <w:r w:rsidRPr="005F63DF">
        <w:rPr>
          <w:sz w:val="22"/>
          <w:szCs w:val="22"/>
        </w:rPr>
        <w:t xml:space="preserve">                                                                            </w:t>
      </w:r>
    </w:p>
    <w:p w:rsidR="00744922" w:rsidRPr="005F63DF" w:rsidP="00FC392A" w14:paraId="2D75BC0F" w14:textId="77777777">
      <w:pPr>
        <w:ind w:left="3600" w:firstLine="720"/>
        <w:rPr>
          <w:sz w:val="22"/>
          <w:szCs w:val="22"/>
        </w:rPr>
      </w:pPr>
      <w:r w:rsidRPr="005F63DF">
        <w:rPr>
          <w:sz w:val="22"/>
          <w:szCs w:val="22"/>
        </w:rPr>
        <w:t>FEDERAL COMMUNICATIONS COMMISSION</w:t>
      </w:r>
    </w:p>
    <w:p w:rsidR="00DC7B45" w:rsidRPr="0069059C" w:rsidP="00886EED" w14:paraId="18BC4A3E" w14:textId="77777777">
      <w:pPr>
        <w:rPr>
          <w:sz w:val="22"/>
          <w:szCs w:val="22"/>
        </w:rPr>
      </w:pPr>
    </w:p>
    <w:p w:rsidR="00BC19EF" w:rsidRPr="00D6069D" w:rsidP="00886EED" w14:paraId="0A78E83F" w14:textId="77777777">
      <w:pPr>
        <w:rPr>
          <w:sz w:val="22"/>
          <w:szCs w:val="22"/>
        </w:rPr>
      </w:pPr>
    </w:p>
    <w:p w:rsidR="00BC19EF" w:rsidRPr="00573391" w:rsidP="00886EED" w14:paraId="5B726372" w14:textId="77777777">
      <w:pPr>
        <w:rPr>
          <w:sz w:val="22"/>
          <w:szCs w:val="22"/>
        </w:rPr>
      </w:pPr>
    </w:p>
    <w:p w:rsidR="00E214AD" w:rsidRPr="00573391" w:rsidP="00886EED" w14:paraId="4E5DECD9" w14:textId="77777777">
      <w:pPr>
        <w:keepNext/>
        <w:keepLines/>
        <w:tabs>
          <w:tab w:val="left" w:pos="-1440"/>
          <w:tab w:val="left" w:pos="-720"/>
        </w:tabs>
        <w:suppressAutoHyphens/>
        <w:spacing w:line="227" w:lineRule="auto"/>
        <w:rPr>
          <w:sz w:val="22"/>
          <w:szCs w:val="22"/>
        </w:rPr>
      </w:pPr>
      <w:r w:rsidRPr="00573391">
        <w:rPr>
          <w:sz w:val="22"/>
          <w:szCs w:val="22"/>
        </w:rPr>
        <w:tab/>
      </w:r>
      <w:r w:rsidRPr="00573391" w:rsidR="00516FB1">
        <w:rPr>
          <w:sz w:val="22"/>
          <w:szCs w:val="22"/>
        </w:rPr>
        <w:tab/>
      </w:r>
      <w:r w:rsidRPr="00573391" w:rsidR="00516FB1">
        <w:rPr>
          <w:sz w:val="22"/>
          <w:szCs w:val="22"/>
        </w:rPr>
        <w:tab/>
      </w:r>
      <w:r w:rsidRPr="00573391" w:rsidR="00516FB1">
        <w:rPr>
          <w:sz w:val="22"/>
          <w:szCs w:val="22"/>
        </w:rPr>
        <w:tab/>
      </w:r>
      <w:r w:rsidRPr="00573391" w:rsidR="00516FB1">
        <w:rPr>
          <w:sz w:val="22"/>
          <w:szCs w:val="22"/>
        </w:rPr>
        <w:tab/>
      </w:r>
      <w:r w:rsidRPr="00573391" w:rsidR="00516FB1">
        <w:rPr>
          <w:sz w:val="22"/>
          <w:szCs w:val="22"/>
        </w:rPr>
        <w:tab/>
      </w:r>
      <w:r w:rsidRPr="00573391" w:rsidR="00732BBB">
        <w:rPr>
          <w:sz w:val="22"/>
          <w:szCs w:val="22"/>
        </w:rPr>
        <w:t>Roger S. Noel</w:t>
      </w:r>
    </w:p>
    <w:p w:rsidR="00E214AD" w:rsidRPr="00573391" w:rsidP="00886EED" w14:paraId="045411E9" w14:textId="77777777">
      <w:pPr>
        <w:keepNext/>
        <w:keepLines/>
        <w:tabs>
          <w:tab w:val="left" w:pos="-1440"/>
          <w:tab w:val="left" w:pos="-720"/>
        </w:tabs>
        <w:suppressAutoHyphens/>
        <w:spacing w:line="227" w:lineRule="auto"/>
        <w:rPr>
          <w:sz w:val="22"/>
          <w:szCs w:val="22"/>
        </w:rPr>
      </w:pPr>
      <w:r w:rsidRPr="00573391">
        <w:rPr>
          <w:sz w:val="22"/>
          <w:szCs w:val="22"/>
        </w:rPr>
        <w:tab/>
      </w:r>
      <w:r w:rsidRPr="00573391" w:rsidR="00516FB1">
        <w:rPr>
          <w:sz w:val="22"/>
          <w:szCs w:val="22"/>
        </w:rPr>
        <w:tab/>
      </w:r>
      <w:r w:rsidRPr="00573391" w:rsidR="00516FB1">
        <w:rPr>
          <w:sz w:val="22"/>
          <w:szCs w:val="22"/>
        </w:rPr>
        <w:tab/>
      </w:r>
      <w:r w:rsidRPr="00573391" w:rsidR="00516FB1">
        <w:rPr>
          <w:sz w:val="22"/>
          <w:szCs w:val="22"/>
        </w:rPr>
        <w:tab/>
      </w:r>
      <w:r w:rsidRPr="00573391" w:rsidR="00516FB1">
        <w:rPr>
          <w:sz w:val="22"/>
          <w:szCs w:val="22"/>
        </w:rPr>
        <w:tab/>
      </w:r>
      <w:r w:rsidRPr="00573391" w:rsidR="00516FB1">
        <w:rPr>
          <w:sz w:val="22"/>
          <w:szCs w:val="22"/>
        </w:rPr>
        <w:tab/>
      </w:r>
      <w:r w:rsidRPr="00573391" w:rsidR="00886EED">
        <w:rPr>
          <w:sz w:val="22"/>
          <w:szCs w:val="22"/>
        </w:rPr>
        <w:t>Chief</w:t>
      </w:r>
      <w:r w:rsidRPr="00573391" w:rsidR="00516FB1">
        <w:rPr>
          <w:sz w:val="22"/>
          <w:szCs w:val="22"/>
        </w:rPr>
        <w:t>, Mobility Division</w:t>
      </w:r>
    </w:p>
    <w:p w:rsidR="00F25048" w:rsidRPr="00573391" w:rsidP="00F25048" w14:paraId="283FB94A" w14:textId="77777777">
      <w:pPr>
        <w:keepNext/>
        <w:keepLines/>
        <w:tabs>
          <w:tab w:val="left" w:pos="-1440"/>
          <w:tab w:val="left" w:pos="-720"/>
        </w:tabs>
        <w:suppressAutoHyphens/>
        <w:spacing w:line="227" w:lineRule="auto"/>
        <w:rPr>
          <w:sz w:val="22"/>
          <w:szCs w:val="22"/>
        </w:rPr>
      </w:pPr>
      <w:r w:rsidRPr="00573391">
        <w:rPr>
          <w:sz w:val="22"/>
          <w:szCs w:val="22"/>
        </w:rPr>
        <w:tab/>
      </w:r>
      <w:r w:rsidRPr="00573391" w:rsidR="00516FB1">
        <w:rPr>
          <w:sz w:val="22"/>
          <w:szCs w:val="22"/>
        </w:rPr>
        <w:tab/>
      </w:r>
      <w:r w:rsidRPr="00573391" w:rsidR="00516FB1">
        <w:rPr>
          <w:sz w:val="22"/>
          <w:szCs w:val="22"/>
        </w:rPr>
        <w:tab/>
      </w:r>
      <w:r w:rsidRPr="00573391" w:rsidR="00516FB1">
        <w:rPr>
          <w:sz w:val="22"/>
          <w:szCs w:val="22"/>
        </w:rPr>
        <w:tab/>
      </w:r>
      <w:r w:rsidRPr="00573391" w:rsidR="00516FB1">
        <w:rPr>
          <w:sz w:val="22"/>
          <w:szCs w:val="22"/>
        </w:rPr>
        <w:tab/>
      </w:r>
      <w:r w:rsidRPr="00573391" w:rsidR="00516FB1">
        <w:rPr>
          <w:sz w:val="22"/>
          <w:szCs w:val="22"/>
        </w:rPr>
        <w:tab/>
      </w:r>
      <w:r w:rsidRPr="00573391" w:rsidR="00E214AD">
        <w:rPr>
          <w:sz w:val="22"/>
          <w:szCs w:val="22"/>
        </w:rPr>
        <w:t>W</w:t>
      </w:r>
      <w:r w:rsidRPr="00573391" w:rsidR="00886EED">
        <w:rPr>
          <w:sz w:val="22"/>
          <w:szCs w:val="22"/>
        </w:rPr>
        <w:t>ireless Telecommunications Bureau</w:t>
      </w:r>
    </w:p>
    <w:sectPr>
      <w:head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7D72" w14:paraId="53CB6C4C" w14:textId="77777777">
      <w:r>
        <w:separator/>
      </w:r>
    </w:p>
  </w:footnote>
  <w:footnote w:type="continuationSeparator" w:id="1">
    <w:p w:rsidR="00C97D72" w14:paraId="185A0EDE" w14:textId="77777777">
      <w:r>
        <w:continuationSeparator/>
      </w:r>
    </w:p>
  </w:footnote>
  <w:footnote w:id="2">
    <w:p w:rsidR="007D5D52" w:rsidP="00585E50" w14:paraId="41ABF770" w14:textId="77777777">
      <w:pPr>
        <w:pStyle w:val="FootnoteText"/>
        <w:spacing w:after="120"/>
      </w:pPr>
      <w:r>
        <w:rPr>
          <w:rStyle w:val="FootnoteReference"/>
        </w:rPr>
        <w:footnoteRef/>
      </w:r>
      <w:r>
        <w:t xml:space="preserve"> Request for Modification of Waiver of Application Freeze, File Nos. 0008695770 and 0008695803</w:t>
      </w:r>
      <w:r w:rsidR="00D44469">
        <w:t>, at 1</w:t>
      </w:r>
      <w:r w:rsidR="00FC42AC">
        <w:t xml:space="preserve"> (filed Dec. 3, 2019 and supplemented Dec. 12, 2019)</w:t>
      </w:r>
      <w:r w:rsidR="00D44469">
        <w:t xml:space="preserve"> </w:t>
      </w:r>
      <w:r w:rsidR="00FC42AC">
        <w:t>(</w:t>
      </w:r>
      <w:r w:rsidRPr="00232659" w:rsidR="00FC42AC">
        <w:rPr>
          <w:i/>
        </w:rPr>
        <w:t xml:space="preserve">Flint Hills </w:t>
      </w:r>
      <w:r w:rsidRPr="00232659" w:rsidR="006E160B">
        <w:rPr>
          <w:i/>
        </w:rPr>
        <w:t>Modification Request</w:t>
      </w:r>
      <w:r w:rsidR="00FC42AC">
        <w:t xml:space="preserve">). </w:t>
      </w:r>
    </w:p>
  </w:footnote>
  <w:footnote w:id="3">
    <w:p w:rsidR="009F2EFE" w:rsidRPr="009F2EFE" w:rsidP="002E21F1" w14:paraId="7D405EDF" w14:textId="77777777">
      <w:pPr>
        <w:pStyle w:val="FootnoteText"/>
        <w:spacing w:after="120"/>
      </w:pPr>
      <w:r>
        <w:rPr>
          <w:rStyle w:val="FootnoteReference"/>
        </w:rPr>
        <w:footnoteRef/>
      </w:r>
      <w:r>
        <w:t xml:space="preserve"> Flint Hills Resources Corpus Christi, LLC Requests for Waiver of 900 MHz Application Freeze, File Nos. 0008695770 and 0008695803, Order, 34 FCC Rcd 8071</w:t>
      </w:r>
      <w:r w:rsidR="00D44469">
        <w:t>, para. 10</w:t>
      </w:r>
      <w:r>
        <w:t xml:space="preserve"> </w:t>
      </w:r>
      <w:r>
        <w:t xml:space="preserve">(WTB </w:t>
      </w:r>
      <w:r w:rsidR="00F8653C">
        <w:t xml:space="preserve">Sept. 12, </w:t>
      </w:r>
      <w:r>
        <w:t>2019) (</w:t>
      </w:r>
      <w:r>
        <w:rPr>
          <w:i/>
        </w:rPr>
        <w:t>Flint Hills Order</w:t>
      </w:r>
      <w:r>
        <w:t>).</w:t>
      </w:r>
    </w:p>
  </w:footnote>
  <w:footnote w:id="4">
    <w:p w:rsidR="009D374C" w:rsidP="002E21F1" w14:paraId="29849363" w14:textId="77777777">
      <w:pPr>
        <w:pStyle w:val="FootnoteText"/>
        <w:spacing w:after="120"/>
      </w:pPr>
      <w:r>
        <w:rPr>
          <w:rStyle w:val="FootnoteReference"/>
        </w:rPr>
        <w:footnoteRef/>
      </w:r>
      <w:r>
        <w:t xml:space="preserve"> </w:t>
      </w:r>
      <w:r>
        <w:rPr>
          <w:i/>
        </w:rPr>
        <w:t>See Wireless Telecommunications Bureau Announces Temporary Filing Freeze on the Acceptance of Certain Part 90 Applications for 896-901/935-940 MHz (900 MHz Band) Spectrum</w:t>
      </w:r>
      <w:r>
        <w:t xml:space="preserve">, Public Notice, </w:t>
      </w:r>
      <w:r w:rsidRPr="00964785">
        <w:t>33 FCC Rcd 8735</w:t>
      </w:r>
      <w:r>
        <w:t xml:space="preserve"> (WTB 2018) (</w:t>
      </w:r>
      <w:r>
        <w:rPr>
          <w:i/>
        </w:rPr>
        <w:t>Freeze Public Notice</w:t>
      </w:r>
      <w:r>
        <w:t>).</w:t>
      </w:r>
    </w:p>
  </w:footnote>
  <w:footnote w:id="5">
    <w:p w:rsidR="009D374C" w:rsidRPr="00987695" w:rsidP="002E21F1" w14:paraId="5E1718E6" w14:textId="176FDA8B">
      <w:pPr>
        <w:pStyle w:val="FootnoteText"/>
        <w:spacing w:after="120"/>
      </w:pPr>
      <w:r>
        <w:rPr>
          <w:rStyle w:val="FootnoteReference"/>
        </w:rPr>
        <w:footnoteRef/>
      </w:r>
      <w:r>
        <w:t xml:space="preserve"> </w:t>
      </w:r>
      <w:r w:rsidRPr="003B43E8" w:rsidR="00B80888">
        <w:rPr>
          <w:i/>
        </w:rPr>
        <w:t>Id.</w:t>
      </w:r>
      <w:r w:rsidR="00980797">
        <w:t xml:space="preserve"> (citing </w:t>
      </w:r>
      <w:r w:rsidRPr="003427EB" w:rsidR="00980797">
        <w:rPr>
          <w:i/>
        </w:rPr>
        <w:t>Review of the Commission’s Rules Governing the 896-901/935-940 MHz Band,</w:t>
      </w:r>
      <w:r w:rsidRPr="003D5D5F" w:rsidR="00980797">
        <w:t xml:space="preserve"> </w:t>
      </w:r>
      <w:r w:rsidRPr="003427EB" w:rsidR="00980797">
        <w:t>Notice of Inquiry,</w:t>
      </w:r>
      <w:r w:rsidRPr="003D5D5F" w:rsidR="00980797">
        <w:t xml:space="preserve"> 32 FCC 6421 (2017)</w:t>
      </w:r>
      <w:r w:rsidR="00980797">
        <w:t>).</w:t>
      </w:r>
      <w:r w:rsidR="00E64602">
        <w:t xml:space="preserve">  </w:t>
      </w:r>
      <w:r w:rsidRPr="00987695" w:rsidR="00E64602">
        <w:t xml:space="preserve">The </w:t>
      </w:r>
      <w:r w:rsidRPr="00987695" w:rsidR="00E64602">
        <w:rPr>
          <w:i/>
        </w:rPr>
        <w:t>Public Notice</w:t>
      </w:r>
      <w:r w:rsidRPr="00987695" w:rsidR="00E64602">
        <w:t xml:space="preserve"> noted that licensees have recourse via the Commission's waiver provisions to request an exception to the freeze.  </w:t>
      </w:r>
      <w:r w:rsidRPr="00987695" w:rsidR="00E64602">
        <w:rPr>
          <w:i/>
        </w:rPr>
        <w:t>Id</w:t>
      </w:r>
      <w:r w:rsidRPr="00987695" w:rsidR="00E64602">
        <w:t xml:space="preserve">. </w:t>
      </w:r>
    </w:p>
  </w:footnote>
  <w:footnote w:id="6">
    <w:p w:rsidR="002A1267" w:rsidP="003B43E8" w14:paraId="5B311F8E" w14:textId="77777777">
      <w:pPr>
        <w:pStyle w:val="FootnoteText"/>
        <w:spacing w:after="120"/>
      </w:pPr>
      <w:r>
        <w:rPr>
          <w:rStyle w:val="FootnoteReference"/>
        </w:rPr>
        <w:footnoteRef/>
      </w:r>
      <w:r>
        <w:t xml:space="preserve"> </w:t>
      </w:r>
      <w:r>
        <w:rPr>
          <w:i/>
        </w:rPr>
        <w:t xml:space="preserve">See </w:t>
      </w:r>
      <w:r>
        <w:t xml:space="preserve">Flint Hills Resources Corpus Christi, LLC Request for Waiver of Application Freeze, FCC File Nos. </w:t>
      </w:r>
      <w:r w:rsidRPr="0096725C">
        <w:t>0008</w:t>
      </w:r>
      <w:r>
        <w:t>695770</w:t>
      </w:r>
      <w:r w:rsidRPr="0096725C">
        <w:t xml:space="preserve"> </w:t>
      </w:r>
      <w:r>
        <w:t>and 0008695803 (filed June 18, 2019) (</w:t>
      </w:r>
      <w:r w:rsidRPr="002A1267">
        <w:rPr>
          <w:i/>
        </w:rPr>
        <w:t>Flint Hills Waiver Request</w:t>
      </w:r>
      <w:r>
        <w:t>).</w:t>
      </w:r>
    </w:p>
  </w:footnote>
  <w:footnote w:id="7">
    <w:p w:rsidR="007E61E4" w:rsidRPr="00A60F4B" w:rsidP="003B43E8" w14:paraId="354F55AA" w14:textId="72592A15">
      <w:pPr>
        <w:pStyle w:val="FootnoteText"/>
        <w:spacing w:after="120"/>
      </w:pPr>
      <w:r>
        <w:rPr>
          <w:rStyle w:val="FootnoteReference"/>
        </w:rPr>
        <w:footnoteRef/>
      </w:r>
      <w:r>
        <w:t xml:space="preserve"> </w:t>
      </w:r>
      <w:r>
        <w:rPr>
          <w:i/>
        </w:rPr>
        <w:t xml:space="preserve">See </w:t>
      </w:r>
      <w:r w:rsidR="00257C9A">
        <w:rPr>
          <w:i/>
        </w:rPr>
        <w:t>Flint Hills Waiver Request</w:t>
      </w:r>
      <w:r>
        <w:t xml:space="preserve"> at 3, 6</w:t>
      </w:r>
      <w:r w:rsidR="00257C9A">
        <w:t>.</w:t>
      </w:r>
    </w:p>
  </w:footnote>
  <w:footnote w:id="8">
    <w:p w:rsidR="00837B7C" w:rsidP="00573391" w14:paraId="5CF3245E" w14:textId="387317FA">
      <w:pPr>
        <w:pStyle w:val="FootnoteText"/>
        <w:spacing w:after="120"/>
      </w:pPr>
      <w:r>
        <w:rPr>
          <w:rStyle w:val="FootnoteReference"/>
        </w:rPr>
        <w:footnoteRef/>
      </w:r>
      <w:r>
        <w:t xml:space="preserve"> </w:t>
      </w:r>
      <w:r>
        <w:rPr>
          <w:i/>
        </w:rPr>
        <w:t>See Flint Hills Order</w:t>
      </w:r>
      <w:r w:rsidR="00257C9A">
        <w:t>, 34 FCC Rcd 8071</w:t>
      </w:r>
      <w:r>
        <w:t>.</w:t>
      </w:r>
    </w:p>
  </w:footnote>
  <w:footnote w:id="9">
    <w:p w:rsidR="00837B7C" w:rsidP="00573391" w14:paraId="76C71A17" w14:textId="7B3C2DEF">
      <w:pPr>
        <w:pStyle w:val="FootnoteText"/>
        <w:spacing w:after="120"/>
      </w:pPr>
      <w:r>
        <w:rPr>
          <w:rStyle w:val="FootnoteReference"/>
        </w:rPr>
        <w:footnoteRef/>
      </w:r>
      <w:r>
        <w:t xml:space="preserve"> </w:t>
      </w:r>
      <w:r w:rsidR="00257C9A">
        <w:rPr>
          <w:i/>
        </w:rPr>
        <w:t>Id.</w:t>
      </w:r>
      <w:r w:rsidR="00257C9A">
        <w:t xml:space="preserve"> at </w:t>
      </w:r>
      <w:r w:rsidR="00573391">
        <w:t xml:space="preserve">8071, </w:t>
      </w:r>
      <w:r w:rsidR="00257C9A">
        <w:t>para. 10</w:t>
      </w:r>
      <w:r>
        <w:t>.</w:t>
      </w:r>
    </w:p>
  </w:footnote>
  <w:footnote w:id="10">
    <w:p w:rsidR="00837B7C" w:rsidP="00573391" w14:paraId="4F40CC6E" w14:textId="6679CD8F">
      <w:pPr>
        <w:pStyle w:val="FootnoteText"/>
        <w:spacing w:after="120"/>
      </w:pPr>
      <w:r>
        <w:rPr>
          <w:rStyle w:val="FootnoteReference"/>
        </w:rPr>
        <w:footnoteRef/>
      </w:r>
      <w:r>
        <w:t xml:space="preserve"> </w:t>
      </w:r>
      <w:r w:rsidRPr="00232659">
        <w:rPr>
          <w:i/>
        </w:rPr>
        <w:t>Flint Hills Modification Request</w:t>
      </w:r>
      <w:r w:rsidR="00257C9A">
        <w:t xml:space="preserve"> at 1</w:t>
      </w:r>
      <w:r>
        <w:t xml:space="preserve">.  </w:t>
      </w:r>
    </w:p>
  </w:footnote>
  <w:footnote w:id="11">
    <w:p w:rsidR="005F63DF" w:rsidP="00573391" w14:paraId="73424509" w14:textId="45BB5ACB">
      <w:pPr>
        <w:pStyle w:val="FootnoteText"/>
        <w:spacing w:after="120"/>
      </w:pPr>
      <w:r>
        <w:rPr>
          <w:rStyle w:val="FootnoteReference"/>
        </w:rPr>
        <w:footnoteRef/>
      </w:r>
      <w:r>
        <w:t xml:space="preserve"> </w:t>
      </w:r>
      <w:r>
        <w:rPr>
          <w:i/>
        </w:rPr>
        <w:t>See</w:t>
      </w:r>
      <w:r>
        <w:t xml:space="preserve"> Supplement to Waiver Request, FCC File Nos. </w:t>
      </w:r>
      <w:r w:rsidRPr="0096725C">
        <w:t>0008</w:t>
      </w:r>
      <w:r>
        <w:t>56995770</w:t>
      </w:r>
      <w:r w:rsidRPr="0096725C">
        <w:t xml:space="preserve"> </w:t>
      </w:r>
      <w:r>
        <w:t xml:space="preserve">and 0008695803, at 1 (filed </w:t>
      </w:r>
      <w:r w:rsidR="003E4110">
        <w:t>December 12,</w:t>
      </w:r>
      <w:r>
        <w:t xml:space="preserve"> 2019) (Supplement).</w:t>
      </w:r>
    </w:p>
  </w:footnote>
  <w:footnote w:id="12">
    <w:p w:rsidR="00D6069D" w:rsidRPr="00D6069D" w:rsidP="00573391" w14:paraId="1F9AE2DB" w14:textId="558D7F0A">
      <w:pPr>
        <w:pStyle w:val="FootnoteText"/>
        <w:spacing w:after="120"/>
      </w:pPr>
      <w:r>
        <w:rPr>
          <w:rStyle w:val="FootnoteReference"/>
        </w:rPr>
        <w:footnoteRef/>
      </w:r>
      <w:r>
        <w:t xml:space="preserve"> </w:t>
      </w:r>
      <w:r>
        <w:rPr>
          <w:i/>
        </w:rPr>
        <w:t xml:space="preserve">Flint Hills Modification Request </w:t>
      </w:r>
      <w:r>
        <w:t xml:space="preserve">at 1; </w:t>
      </w:r>
      <w:r w:rsidRPr="00573391">
        <w:t>Supplement</w:t>
      </w:r>
      <w:r>
        <w:t xml:space="preserve"> at 1.</w:t>
      </w:r>
    </w:p>
  </w:footnote>
  <w:footnote w:id="13">
    <w:p w:rsidR="00E6127C" w:rsidP="00585E50" w14:paraId="74AEEB7F" w14:textId="1994A22C">
      <w:pPr>
        <w:pStyle w:val="FootnoteText"/>
        <w:spacing w:after="120"/>
      </w:pPr>
      <w:r>
        <w:rPr>
          <w:rStyle w:val="FootnoteReference"/>
        </w:rPr>
        <w:footnoteRef/>
      </w:r>
      <w:r>
        <w:t xml:space="preserve"> </w:t>
      </w:r>
      <w:r w:rsidRPr="00232659">
        <w:rPr>
          <w:i/>
        </w:rPr>
        <w:t>Flint Hills Modification Request</w:t>
      </w:r>
      <w:r w:rsidR="003E4110">
        <w:t xml:space="preserve"> at 1-3</w:t>
      </w:r>
      <w:r>
        <w:t xml:space="preserve">.  Specifically, FHR states that the </w:t>
      </w:r>
      <w:r w:rsidR="009A0C0A">
        <w:t xml:space="preserve">following </w:t>
      </w:r>
      <w:r>
        <w:t>additional delays in construction have resulted from the delay in the building’s delivery</w:t>
      </w:r>
      <w:r w:rsidR="009A0C0A">
        <w:t>:</w:t>
      </w:r>
      <w:r>
        <w:t xml:space="preserve"> (1) the purchased radio system equipment cannot be loaded into the building; (2) electrical infrastructure tie-ins to the building cannot be made; and (3) antenna coax infrastructure tie-ins to the building cannot be made.</w:t>
      </w:r>
    </w:p>
  </w:footnote>
  <w:footnote w:id="14">
    <w:p w:rsidR="00607BBE" w:rsidP="002E21F1" w14:paraId="4DC21AC4" w14:textId="0A289446">
      <w:pPr>
        <w:pStyle w:val="FootnoteText"/>
        <w:spacing w:after="120"/>
      </w:pPr>
      <w:r>
        <w:rPr>
          <w:rStyle w:val="FootnoteReference"/>
        </w:rPr>
        <w:footnoteRef/>
      </w:r>
      <w:r>
        <w:t xml:space="preserve"> </w:t>
      </w:r>
      <w:r w:rsidR="0006159A">
        <w:rPr>
          <w:i/>
        </w:rPr>
        <w:t>Id.</w:t>
      </w:r>
      <w:r w:rsidR="00E3728B">
        <w:t xml:space="preserve"> at 1-2.</w:t>
      </w:r>
    </w:p>
  </w:footnote>
  <w:footnote w:id="15">
    <w:p w:rsidR="00AE4600" w:rsidP="00573391" w14:paraId="77EAF774" w14:textId="0529B86F">
      <w:pPr>
        <w:pStyle w:val="FootnoteText"/>
        <w:spacing w:after="120"/>
      </w:pPr>
      <w:r>
        <w:rPr>
          <w:rStyle w:val="FootnoteReference"/>
        </w:rPr>
        <w:footnoteRef/>
      </w:r>
      <w:r>
        <w:t xml:space="preserve"> Supplement at 1.</w:t>
      </w:r>
      <w:r w:rsidR="00647D83">
        <w:t xml:space="preserve">  Delay in building delivery resulted in inability to load the radio system and perform </w:t>
      </w:r>
      <w:r w:rsidRPr="00647D83" w:rsidR="00647D83">
        <w:t xml:space="preserve">electrical infrastructure </w:t>
      </w:r>
      <w:r w:rsidR="00647D83">
        <w:t xml:space="preserve">and </w:t>
      </w:r>
      <w:r w:rsidRPr="00647D83" w:rsidR="00647D83">
        <w:t>antenna coax infrastructure tie-ins</w:t>
      </w:r>
      <w:r w:rsidR="00647D83">
        <w:t xml:space="preserve">.  </w:t>
      </w:r>
      <w:r w:rsidRPr="00C65830" w:rsidR="00647D83">
        <w:rPr>
          <w:i/>
        </w:rPr>
        <w:t>Id.</w:t>
      </w:r>
      <w:r w:rsidR="00647D83">
        <w:t xml:space="preserve">  </w:t>
      </w:r>
    </w:p>
  </w:footnote>
  <w:footnote w:id="16">
    <w:p w:rsidR="00391426" w:rsidP="00573391" w14:paraId="0C24176E" w14:textId="77777777">
      <w:pPr>
        <w:pStyle w:val="FootnoteText"/>
        <w:spacing w:after="120"/>
      </w:pPr>
      <w:r>
        <w:rPr>
          <w:rStyle w:val="FootnoteReference"/>
        </w:rPr>
        <w:footnoteRef/>
      </w:r>
      <w:r>
        <w:t xml:space="preserve"> </w:t>
      </w:r>
      <w:r>
        <w:rPr>
          <w:i/>
        </w:rPr>
        <w:t>See</w:t>
      </w:r>
      <w:r>
        <w:t xml:space="preserve">, </w:t>
      </w:r>
      <w:r>
        <w:rPr>
          <w:i/>
        </w:rPr>
        <w:t>e.g.</w:t>
      </w:r>
      <w:r>
        <w:t xml:space="preserve">, </w:t>
      </w:r>
      <w:r>
        <w:rPr>
          <w:i/>
        </w:rPr>
        <w:t>Flint Hills Resources Pine Bend, LLC</w:t>
      </w:r>
      <w:r>
        <w:t>, Order, 34 FCC Rcd 300, 302, para. 8 (WTB MD 2019) (</w:t>
      </w:r>
      <w:r>
        <w:rPr>
          <w:i/>
        </w:rPr>
        <w:t>FHR Pine Bend</w:t>
      </w:r>
      <w:r>
        <w:t xml:space="preserve">); </w:t>
      </w:r>
      <w:r w:rsidRPr="00EC6590">
        <w:rPr>
          <w:i/>
          <w:iCs/>
        </w:rPr>
        <w:t>Arizona Public Service Co.</w:t>
      </w:r>
      <w:r w:rsidRPr="00EC6590">
        <w:t>, Order, 32 FCC Rcd 9437, 9440, para. 7 (WTB MD</w:t>
      </w:r>
      <w:r>
        <w:t xml:space="preserve"> 2017).</w:t>
      </w:r>
    </w:p>
  </w:footnote>
  <w:footnote w:id="17">
    <w:p w:rsidR="006019F1" w:rsidP="00573391" w14:paraId="55F87E0F" w14:textId="25EFC8B8">
      <w:pPr>
        <w:pStyle w:val="FootnoteText"/>
        <w:spacing w:after="120"/>
      </w:pPr>
      <w:r>
        <w:rPr>
          <w:rStyle w:val="FootnoteReference"/>
        </w:rPr>
        <w:footnoteRef/>
      </w:r>
      <w:r>
        <w:t xml:space="preserve"> </w:t>
      </w:r>
      <w:r w:rsidR="00C92965">
        <w:rPr>
          <w:i/>
        </w:rPr>
        <w:t xml:space="preserve">See Review of the Commission’s Rules Governing the 896-901/935-940 MHz Band, </w:t>
      </w:r>
      <w:r w:rsidR="00C92965">
        <w:rPr>
          <w:i/>
        </w:rPr>
        <w:t>pdvWireless</w:t>
      </w:r>
      <w:r w:rsidR="00C92965">
        <w:rPr>
          <w:i/>
        </w:rPr>
        <w:t xml:space="preserve">, Inc. d/b/a </w:t>
      </w:r>
      <w:r w:rsidR="00C92965">
        <w:rPr>
          <w:i/>
        </w:rPr>
        <w:t>Anterix</w:t>
      </w:r>
      <w:r w:rsidR="00C92965">
        <w:rPr>
          <w:i/>
        </w:rPr>
        <w:t>, Request for Modification of 900 MHz Temporary Filing Freeze</w:t>
      </w:r>
      <w:r w:rsidR="00C92965">
        <w:t xml:space="preserve">, </w:t>
      </w:r>
      <w:r w:rsidR="00694173">
        <w:t xml:space="preserve">DA 19-1025, </w:t>
      </w:r>
      <w:r w:rsidR="00C92965">
        <w:t xml:space="preserve">Order, </w:t>
      </w:r>
      <w:r w:rsidRPr="00964785" w:rsidR="00C92965">
        <w:t>3</w:t>
      </w:r>
      <w:r w:rsidR="00C92965">
        <w:t>4</w:t>
      </w:r>
      <w:r w:rsidRPr="00964785" w:rsidR="00C92965">
        <w:t xml:space="preserve"> FCC Rcd </w:t>
      </w:r>
      <w:r w:rsidR="00C92965">
        <w:t>9369</w:t>
      </w:r>
      <w:r w:rsidR="006D0F4A">
        <w:t>, 9371, para. 7</w:t>
      </w:r>
      <w:r w:rsidR="00C92965">
        <w:t xml:space="preserve"> (WTB 2019) (</w:t>
      </w:r>
      <w:r w:rsidR="00C92965">
        <w:rPr>
          <w:i/>
        </w:rPr>
        <w:t>900 MHz Freeze Modification Order</w:t>
      </w:r>
      <w:r w:rsidR="00C92965">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746" w14:paraId="191F9712" w14:textId="77777777">
    <w:pPr>
      <w:pStyle w:val="Header"/>
      <w:rPr>
        <w:sz w:val="22"/>
      </w:rPr>
    </w:pPr>
    <w:r>
      <w:rPr>
        <w:sz w:val="22"/>
      </w:rPr>
      <w:tab/>
    </w:r>
    <w:r>
      <w:rPr>
        <w:sz w:val="22"/>
      </w:rPr>
      <w:tab/>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E214AD">
      <w:rPr>
        <w:rStyle w:val="PageNumber"/>
        <w:noProof/>
        <w:sz w:val="22"/>
      </w:rPr>
      <w:t>2</w:t>
    </w:r>
    <w:r>
      <w:rPr>
        <w:rStyle w:val="PageNumbe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746" w14:paraId="71F1BB81" w14:textId="76271420">
    <w:pPr>
      <w:pStyle w:val="Header"/>
      <w:tabs>
        <w:tab w:val="clear" w:pos="4320"/>
        <w:tab w:val="clear" w:pos="8640"/>
      </w:tabs>
      <w:spacing w:before="360" w:line="228" w:lineRule="auto"/>
      <w:jc w:val="center"/>
    </w:pPr>
    <w:r>
      <w:rPr>
        <w:noProof/>
      </w:rPr>
      <w:drawing>
        <wp:anchor distT="0" distB="0" distL="114300" distR="114300" simplePos="0" relativeHeight="251658240"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225436" name="Picture 2"/>
                  <pic:cNvPicPr>
                    <a:picLocks noChangeAspect="1" noChangeArrowheads="1"/>
                  </pic:cNvPicPr>
                </pic:nvPicPr>
                <pic:blipFill>
                  <a:blip xmlns:r="http://schemas.openxmlformats.org/officeDocument/2006/relationships" r:embed="rId1">
                    <a:lum contrast="6000"/>
                    <a:extLst>
                      <a:ext xmlns:a="http://schemas.openxmlformats.org/drawingml/2006/main" uri="{28A0092B-C50C-407E-A947-70E740481C1C}">
                        <a14:useLocalDpi xmlns:a14="http://schemas.microsoft.com/office/drawing/2010/main" val="0"/>
                      </a:ext>
                    </a:extLst>
                  </a:blip>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1E6746" w14:paraId="61B3415E" w14:textId="77777777">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1E6746" w14:paraId="34DF9694" w14:textId="77777777">
    <w:pPr>
      <w:pStyle w:val="Header"/>
      <w:tabs>
        <w:tab w:val="clear" w:pos="4320"/>
      </w:tabs>
      <w:jc w:val="center"/>
      <w:rPr>
        <w:sz w:val="22"/>
      </w:rPr>
    </w:pPr>
  </w:p>
  <w:p w:rsidR="001E6746" w14:paraId="00A08708" w14:textId="76B3FE78">
    <w:pPr>
      <w:pStyle w:val="Header"/>
      <w:tabs>
        <w:tab w:val="clear" w:pos="4320"/>
      </w:tabs>
      <w:jc w:val="center"/>
      <w:rPr>
        <w:sz w:val="22"/>
      </w:rPr>
    </w:pPr>
    <w:r>
      <w:rPr>
        <w:sz w:val="22"/>
      </w:rPr>
      <w:t>January</w:t>
    </w:r>
    <w:r>
      <w:rPr>
        <w:sz w:val="22"/>
      </w:rPr>
      <w:t xml:space="preserve"> </w:t>
    </w:r>
    <w:r w:rsidR="00A17A65">
      <w:rPr>
        <w:sz w:val="22"/>
      </w:rPr>
      <w:t>21</w:t>
    </w:r>
    <w:r>
      <w:rPr>
        <w:sz w:val="22"/>
      </w:rPr>
      <w:t>, 20</w:t>
    </w:r>
    <w:r>
      <w:rPr>
        <w:sz w:val="22"/>
      </w:rPr>
      <w:t>2</w:t>
    </w:r>
    <w:r>
      <w:rPr>
        <w:sz w:val="2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CB58A50A"/>
    <w:lvl w:ilvl="0">
      <w:start w:val="1"/>
      <w:numFmt w:val="decimal"/>
      <w:pStyle w:val="ParaNum"/>
      <w:lvlText w:val="%1."/>
      <w:lvlJc w:val="left"/>
      <w:pPr>
        <w:tabs>
          <w:tab w:val="num" w:pos="1080"/>
        </w:tabs>
        <w:ind w:left="0" w:firstLine="720"/>
      </w:pPr>
      <w:rPr>
        <w:rFonts w:ascii="Times New Roman" w:hAnsi="Times New Roman" w:cs="Times New Roman"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922"/>
    <w:rsid w:val="000319E0"/>
    <w:rsid w:val="00055396"/>
    <w:rsid w:val="0006159A"/>
    <w:rsid w:val="000649D0"/>
    <w:rsid w:val="00065647"/>
    <w:rsid w:val="000676F8"/>
    <w:rsid w:val="000706C5"/>
    <w:rsid w:val="00075517"/>
    <w:rsid w:val="000B0075"/>
    <w:rsid w:val="000C5A4C"/>
    <w:rsid w:val="000D0328"/>
    <w:rsid w:val="001070D4"/>
    <w:rsid w:val="0011171A"/>
    <w:rsid w:val="00117728"/>
    <w:rsid w:val="00124A48"/>
    <w:rsid w:val="00131756"/>
    <w:rsid w:val="00135F6D"/>
    <w:rsid w:val="00172A06"/>
    <w:rsid w:val="001D0CF2"/>
    <w:rsid w:val="001E15A1"/>
    <w:rsid w:val="001E6746"/>
    <w:rsid w:val="001F3DFD"/>
    <w:rsid w:val="001F5FBA"/>
    <w:rsid w:val="001F77B1"/>
    <w:rsid w:val="00206714"/>
    <w:rsid w:val="00210381"/>
    <w:rsid w:val="00232659"/>
    <w:rsid w:val="00233223"/>
    <w:rsid w:val="002354A5"/>
    <w:rsid w:val="00252A42"/>
    <w:rsid w:val="00254164"/>
    <w:rsid w:val="0025617D"/>
    <w:rsid w:val="00257C9A"/>
    <w:rsid w:val="0026121A"/>
    <w:rsid w:val="002727DB"/>
    <w:rsid w:val="00290E90"/>
    <w:rsid w:val="00297CC8"/>
    <w:rsid w:val="002A1267"/>
    <w:rsid w:val="002A2BF1"/>
    <w:rsid w:val="002E21F1"/>
    <w:rsid w:val="002E5D98"/>
    <w:rsid w:val="003052D3"/>
    <w:rsid w:val="00321665"/>
    <w:rsid w:val="003243FE"/>
    <w:rsid w:val="003427EB"/>
    <w:rsid w:val="00345DAA"/>
    <w:rsid w:val="00351A53"/>
    <w:rsid w:val="003521C6"/>
    <w:rsid w:val="00372FA4"/>
    <w:rsid w:val="00383266"/>
    <w:rsid w:val="003911E5"/>
    <w:rsid w:val="00391426"/>
    <w:rsid w:val="003B43E8"/>
    <w:rsid w:val="003D1D1B"/>
    <w:rsid w:val="003D599D"/>
    <w:rsid w:val="003D5D5F"/>
    <w:rsid w:val="003E042B"/>
    <w:rsid w:val="003E104A"/>
    <w:rsid w:val="003E2115"/>
    <w:rsid w:val="003E4110"/>
    <w:rsid w:val="003E73A2"/>
    <w:rsid w:val="003F35F8"/>
    <w:rsid w:val="004054D8"/>
    <w:rsid w:val="004471FA"/>
    <w:rsid w:val="00474242"/>
    <w:rsid w:val="00475AEE"/>
    <w:rsid w:val="00477FB0"/>
    <w:rsid w:val="004805D9"/>
    <w:rsid w:val="004A59BE"/>
    <w:rsid w:val="004B1751"/>
    <w:rsid w:val="004B57BC"/>
    <w:rsid w:val="004B74A7"/>
    <w:rsid w:val="004D7E31"/>
    <w:rsid w:val="004F0130"/>
    <w:rsid w:val="00503F26"/>
    <w:rsid w:val="00512161"/>
    <w:rsid w:val="00516FB1"/>
    <w:rsid w:val="00527290"/>
    <w:rsid w:val="0053462C"/>
    <w:rsid w:val="005425FA"/>
    <w:rsid w:val="0054317B"/>
    <w:rsid w:val="0055384B"/>
    <w:rsid w:val="00556E72"/>
    <w:rsid w:val="00560932"/>
    <w:rsid w:val="00573391"/>
    <w:rsid w:val="00573D9E"/>
    <w:rsid w:val="00575EDB"/>
    <w:rsid w:val="00582DDF"/>
    <w:rsid w:val="00585E50"/>
    <w:rsid w:val="00590193"/>
    <w:rsid w:val="0059535D"/>
    <w:rsid w:val="00597BA3"/>
    <w:rsid w:val="005A5B41"/>
    <w:rsid w:val="005A625F"/>
    <w:rsid w:val="005B3D43"/>
    <w:rsid w:val="005C167E"/>
    <w:rsid w:val="005D0D6E"/>
    <w:rsid w:val="005E0D60"/>
    <w:rsid w:val="005E31CF"/>
    <w:rsid w:val="005E64EB"/>
    <w:rsid w:val="005F299D"/>
    <w:rsid w:val="005F63DF"/>
    <w:rsid w:val="006019F1"/>
    <w:rsid w:val="00601F33"/>
    <w:rsid w:val="00603D80"/>
    <w:rsid w:val="00607BBE"/>
    <w:rsid w:val="00630D93"/>
    <w:rsid w:val="00635A98"/>
    <w:rsid w:val="00647C34"/>
    <w:rsid w:val="00647D83"/>
    <w:rsid w:val="006721C6"/>
    <w:rsid w:val="0068333A"/>
    <w:rsid w:val="00683BFC"/>
    <w:rsid w:val="0069059C"/>
    <w:rsid w:val="00692A1A"/>
    <w:rsid w:val="00694173"/>
    <w:rsid w:val="006D0F4A"/>
    <w:rsid w:val="006E160B"/>
    <w:rsid w:val="006E7CDF"/>
    <w:rsid w:val="007033E3"/>
    <w:rsid w:val="00732BBB"/>
    <w:rsid w:val="007436A8"/>
    <w:rsid w:val="00744922"/>
    <w:rsid w:val="007625C9"/>
    <w:rsid w:val="00774996"/>
    <w:rsid w:val="007A0E9F"/>
    <w:rsid w:val="007A21BD"/>
    <w:rsid w:val="007A7A0B"/>
    <w:rsid w:val="007B60B4"/>
    <w:rsid w:val="007C38D8"/>
    <w:rsid w:val="007D5D52"/>
    <w:rsid w:val="007E61E4"/>
    <w:rsid w:val="00803D92"/>
    <w:rsid w:val="00812FFF"/>
    <w:rsid w:val="00833B9A"/>
    <w:rsid w:val="00837B7C"/>
    <w:rsid w:val="00842A86"/>
    <w:rsid w:val="00863B48"/>
    <w:rsid w:val="00880B25"/>
    <w:rsid w:val="00886EED"/>
    <w:rsid w:val="00893E9B"/>
    <w:rsid w:val="00894C2F"/>
    <w:rsid w:val="008A5C73"/>
    <w:rsid w:val="008B3E17"/>
    <w:rsid w:val="008C79CA"/>
    <w:rsid w:val="008D1078"/>
    <w:rsid w:val="008E3A6C"/>
    <w:rsid w:val="008E5652"/>
    <w:rsid w:val="008F4146"/>
    <w:rsid w:val="009044B0"/>
    <w:rsid w:val="0091734B"/>
    <w:rsid w:val="0092045E"/>
    <w:rsid w:val="0092110A"/>
    <w:rsid w:val="00940444"/>
    <w:rsid w:val="00964785"/>
    <w:rsid w:val="0096725C"/>
    <w:rsid w:val="0097547C"/>
    <w:rsid w:val="0097581E"/>
    <w:rsid w:val="0097584C"/>
    <w:rsid w:val="0097673F"/>
    <w:rsid w:val="00980797"/>
    <w:rsid w:val="00987695"/>
    <w:rsid w:val="00991BBC"/>
    <w:rsid w:val="009A0C0A"/>
    <w:rsid w:val="009A1F30"/>
    <w:rsid w:val="009A78F9"/>
    <w:rsid w:val="009B3A80"/>
    <w:rsid w:val="009B733C"/>
    <w:rsid w:val="009B7F16"/>
    <w:rsid w:val="009C0E99"/>
    <w:rsid w:val="009C111B"/>
    <w:rsid w:val="009D374C"/>
    <w:rsid w:val="009D3F3A"/>
    <w:rsid w:val="009E3988"/>
    <w:rsid w:val="009E3EAF"/>
    <w:rsid w:val="009F2EFE"/>
    <w:rsid w:val="00A0128B"/>
    <w:rsid w:val="00A17A65"/>
    <w:rsid w:val="00A46364"/>
    <w:rsid w:val="00A60F4B"/>
    <w:rsid w:val="00A61033"/>
    <w:rsid w:val="00A70CC7"/>
    <w:rsid w:val="00A85268"/>
    <w:rsid w:val="00A90210"/>
    <w:rsid w:val="00A91871"/>
    <w:rsid w:val="00AC6A1B"/>
    <w:rsid w:val="00AE4600"/>
    <w:rsid w:val="00AE5DE9"/>
    <w:rsid w:val="00AE60EC"/>
    <w:rsid w:val="00B1537B"/>
    <w:rsid w:val="00B16412"/>
    <w:rsid w:val="00B36E36"/>
    <w:rsid w:val="00B42600"/>
    <w:rsid w:val="00B4705B"/>
    <w:rsid w:val="00B65FBB"/>
    <w:rsid w:val="00B80888"/>
    <w:rsid w:val="00B86786"/>
    <w:rsid w:val="00B900E7"/>
    <w:rsid w:val="00BB1A62"/>
    <w:rsid w:val="00BB2195"/>
    <w:rsid w:val="00BC19EF"/>
    <w:rsid w:val="00BC37C4"/>
    <w:rsid w:val="00BC4384"/>
    <w:rsid w:val="00BE1738"/>
    <w:rsid w:val="00BE2259"/>
    <w:rsid w:val="00C12B2A"/>
    <w:rsid w:val="00C2276E"/>
    <w:rsid w:val="00C266BA"/>
    <w:rsid w:val="00C35992"/>
    <w:rsid w:val="00C452E5"/>
    <w:rsid w:val="00C65830"/>
    <w:rsid w:val="00C728AE"/>
    <w:rsid w:val="00C73C06"/>
    <w:rsid w:val="00C75082"/>
    <w:rsid w:val="00C87DC2"/>
    <w:rsid w:val="00C90ED9"/>
    <w:rsid w:val="00C92965"/>
    <w:rsid w:val="00C97D72"/>
    <w:rsid w:val="00CB64A8"/>
    <w:rsid w:val="00CE74E5"/>
    <w:rsid w:val="00CF02B6"/>
    <w:rsid w:val="00CF6CB1"/>
    <w:rsid w:val="00D00FA5"/>
    <w:rsid w:val="00D03B3C"/>
    <w:rsid w:val="00D137E2"/>
    <w:rsid w:val="00D23DDA"/>
    <w:rsid w:val="00D24E20"/>
    <w:rsid w:val="00D253FB"/>
    <w:rsid w:val="00D4347E"/>
    <w:rsid w:val="00D44469"/>
    <w:rsid w:val="00D6069D"/>
    <w:rsid w:val="00D661FD"/>
    <w:rsid w:val="00D92399"/>
    <w:rsid w:val="00DA5645"/>
    <w:rsid w:val="00DC7B45"/>
    <w:rsid w:val="00DD0A47"/>
    <w:rsid w:val="00DE0C2E"/>
    <w:rsid w:val="00DF3E50"/>
    <w:rsid w:val="00E1453B"/>
    <w:rsid w:val="00E14FA5"/>
    <w:rsid w:val="00E214AD"/>
    <w:rsid w:val="00E3728B"/>
    <w:rsid w:val="00E51F25"/>
    <w:rsid w:val="00E6127C"/>
    <w:rsid w:val="00E64602"/>
    <w:rsid w:val="00E6484D"/>
    <w:rsid w:val="00E65040"/>
    <w:rsid w:val="00E67370"/>
    <w:rsid w:val="00E76622"/>
    <w:rsid w:val="00E90621"/>
    <w:rsid w:val="00EA7FDC"/>
    <w:rsid w:val="00EB1F9E"/>
    <w:rsid w:val="00EB20EE"/>
    <w:rsid w:val="00EC332C"/>
    <w:rsid w:val="00EC6590"/>
    <w:rsid w:val="00EC7EE4"/>
    <w:rsid w:val="00EE2C29"/>
    <w:rsid w:val="00EE4394"/>
    <w:rsid w:val="00F01D61"/>
    <w:rsid w:val="00F23116"/>
    <w:rsid w:val="00F24F38"/>
    <w:rsid w:val="00F25048"/>
    <w:rsid w:val="00F3705C"/>
    <w:rsid w:val="00F4173D"/>
    <w:rsid w:val="00F62941"/>
    <w:rsid w:val="00F6694C"/>
    <w:rsid w:val="00F82BD9"/>
    <w:rsid w:val="00F8536A"/>
    <w:rsid w:val="00F8653C"/>
    <w:rsid w:val="00FA1D83"/>
    <w:rsid w:val="00FA7F3B"/>
    <w:rsid w:val="00FB18F2"/>
    <w:rsid w:val="00FC392A"/>
    <w:rsid w:val="00FC42AC"/>
    <w:rsid w:val="00FE747A"/>
    <w:rsid w:val="00FF2B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FootnoteText">
    <w:name w:val="footnote text"/>
    <w:aliases w:val="Footnote Text Ch,Footnote Text Char Char,Footnote Text Char Char Char Char,Footnote Text Char Char Char Char Char Char,Footnote Text Char1 Char Char,Footnote Text Char1 Char Char Char Char,Footnote Text Char1 Char1 Char,Footnote Text Char2"/>
    <w:basedOn w:val="Normal"/>
    <w:link w:val="FootnoteTextChar"/>
    <w:rPr>
      <w:sz w:val="20"/>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TOC1">
    <w:name w:val="toc 1"/>
    <w:basedOn w:val="Normal"/>
    <w:next w:val="Normal"/>
    <w:semiHidden/>
    <w:rsid w:val="00CB64A8"/>
    <w:pPr>
      <w:widowControl w:val="0"/>
      <w:tabs>
        <w:tab w:val="right" w:leader="dot" w:pos="9360"/>
      </w:tabs>
      <w:suppressAutoHyphens/>
      <w:spacing w:after="240"/>
      <w:ind w:left="720" w:right="720" w:hanging="720"/>
      <w:jc w:val="both"/>
    </w:pPr>
    <w:rPr>
      <w:snapToGrid w:val="0"/>
      <w:kern w:val="28"/>
      <w:sz w:val="22"/>
    </w:rPr>
  </w:style>
  <w:style w:type="paragraph" w:styleId="TOAHeading">
    <w:name w:val="toa heading"/>
    <w:basedOn w:val="Normal"/>
    <w:next w:val="Normal"/>
    <w:semiHidden/>
    <w:rsid w:val="00CB64A8"/>
    <w:pPr>
      <w:widowControl w:val="0"/>
      <w:tabs>
        <w:tab w:val="right" w:pos="9360"/>
      </w:tabs>
      <w:suppressAutoHyphens/>
      <w:jc w:val="both"/>
    </w:pPr>
    <w:rPr>
      <w:snapToGrid w:val="0"/>
      <w:kern w:val="28"/>
      <w:sz w:val="22"/>
    </w:rPr>
  </w:style>
  <w:style w:type="character" w:styleId="CommentReference">
    <w:name w:val="annotation reference"/>
    <w:rsid w:val="001F77B1"/>
    <w:rPr>
      <w:sz w:val="16"/>
      <w:szCs w:val="16"/>
    </w:rPr>
  </w:style>
  <w:style w:type="paragraph" w:styleId="CommentText">
    <w:name w:val="annotation text"/>
    <w:basedOn w:val="Normal"/>
    <w:link w:val="CommentTextChar"/>
    <w:rsid w:val="001F77B1"/>
    <w:rPr>
      <w:sz w:val="20"/>
    </w:rPr>
  </w:style>
  <w:style w:type="character" w:customStyle="1" w:styleId="CommentTextChar">
    <w:name w:val="Comment Text Char"/>
    <w:basedOn w:val="DefaultParagraphFont"/>
    <w:link w:val="CommentText"/>
    <w:rsid w:val="001F77B1"/>
  </w:style>
  <w:style w:type="paragraph" w:styleId="CommentSubject">
    <w:name w:val="annotation subject"/>
    <w:basedOn w:val="CommentText"/>
    <w:next w:val="CommentText"/>
    <w:link w:val="CommentSubjectChar"/>
    <w:rsid w:val="001F77B1"/>
    <w:rPr>
      <w:b/>
      <w:bCs/>
    </w:rPr>
  </w:style>
  <w:style w:type="character" w:customStyle="1" w:styleId="CommentSubjectChar">
    <w:name w:val="Comment Subject Char"/>
    <w:link w:val="CommentSubject"/>
    <w:rsid w:val="001F77B1"/>
    <w:rPr>
      <w:b/>
      <w:bCs/>
    </w:rPr>
  </w:style>
  <w:style w:type="character" w:customStyle="1" w:styleId="FootnoteTextChar">
    <w:name w:val="Footnote Text Char"/>
    <w:aliases w:val="Footnote Text Ch Char,Footnote Text Char Char Char,Footnote Text Char Char Char Char Char,Footnote Text Char Char Char Char Char Char Char,Footnote Text Char1 Char Char Char,Footnote Text Char1 Char Char Char Char Char"/>
    <w:link w:val="FootnoteText"/>
    <w:rsid w:val="009D374C"/>
  </w:style>
  <w:style w:type="paragraph" w:customStyle="1" w:styleId="ParaNum">
    <w:name w:val="ParaNum"/>
    <w:basedOn w:val="Normal"/>
    <w:rsid w:val="00D4347E"/>
    <w:pPr>
      <w:widowControl w:val="0"/>
      <w:numPr>
        <w:numId w:val="1"/>
      </w:numPr>
      <w:tabs>
        <w:tab w:val="clear" w:pos="1080"/>
        <w:tab w:val="num" w:pos="1440"/>
      </w:tabs>
      <w:spacing w:after="12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