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D05920" w:rsidP="00D05920" w14:paraId="5383E7A4" w14:textId="77777777">
      <w:pPr>
        <w:jc w:val="center"/>
        <w:rPr>
          <w:b/>
          <w:bCs/>
        </w:rPr>
      </w:pPr>
      <w:r w:rsidRPr="00D05920">
        <w:rPr>
          <w:b/>
          <w:bCs/>
          <w:kern w:val="0"/>
        </w:rPr>
        <w:t>Before</w:t>
      </w:r>
      <w:r w:rsidRPr="00D05920">
        <w:rPr>
          <w:b/>
          <w:bCs/>
        </w:rPr>
        <w:t xml:space="preserve"> the</w:t>
      </w:r>
    </w:p>
    <w:p w:rsidR="00921803" w:rsidP="00921803" w14:paraId="065A5054" w14:textId="77777777">
      <w:pPr>
        <w:pStyle w:val="StyleBoldCentered"/>
      </w:pPr>
      <w:r>
        <w:t>F</w:t>
      </w:r>
      <w:r>
        <w:rPr>
          <w:caps w:val="0"/>
        </w:rPr>
        <w:t>ederal Communications Commission</w:t>
      </w:r>
    </w:p>
    <w:p w:rsidR="004C2EE3" w:rsidP="00096D8C" w14:paraId="51C86082" w14:textId="77777777">
      <w:pPr>
        <w:pStyle w:val="StyleBoldCentered"/>
      </w:pPr>
      <w:r>
        <w:rPr>
          <w:caps w:val="0"/>
        </w:rPr>
        <w:t>Washington, D.C. 20554</w:t>
      </w:r>
    </w:p>
    <w:p w:rsidR="004C2EE3" w:rsidP="0070224F" w14:paraId="0F2B4BB2" w14:textId="77777777"/>
    <w:p w:rsidR="004C2EE3" w:rsidP="0070224F" w14:paraId="0B03B7CB" w14:textId="77777777"/>
    <w:tbl>
      <w:tblPr>
        <w:tblW w:w="0" w:type="auto"/>
        <w:tblLayout w:type="fixed"/>
        <w:tblLook w:val="0000"/>
      </w:tblPr>
      <w:tblGrid>
        <w:gridCol w:w="4698"/>
        <w:gridCol w:w="630"/>
        <w:gridCol w:w="4248"/>
      </w:tblGrid>
      <w:tr w14:paraId="336FA0B5" w14:textId="77777777" w:rsidTr="001469C7">
        <w:tblPrEx>
          <w:tblW w:w="0" w:type="auto"/>
          <w:tblLayout w:type="fixed"/>
          <w:tblLook w:val="0000"/>
        </w:tblPrEx>
        <w:tc>
          <w:tcPr>
            <w:tcW w:w="4698" w:type="dxa"/>
          </w:tcPr>
          <w:p w:rsidR="004C2EE3" w14:paraId="28AEAF34" w14:textId="77777777">
            <w:pPr>
              <w:tabs>
                <w:tab w:val="center" w:pos="4680"/>
              </w:tabs>
              <w:suppressAutoHyphens/>
              <w:rPr>
                <w:spacing w:val="-2"/>
              </w:rPr>
            </w:pPr>
            <w:r>
              <w:rPr>
                <w:spacing w:val="-2"/>
              </w:rPr>
              <w:t>In the Matter of</w:t>
            </w:r>
          </w:p>
          <w:p w:rsidR="004C2EE3" w14:paraId="50842A2B" w14:textId="77777777">
            <w:pPr>
              <w:tabs>
                <w:tab w:val="center" w:pos="4680"/>
              </w:tabs>
              <w:suppressAutoHyphens/>
              <w:rPr>
                <w:spacing w:val="-2"/>
              </w:rPr>
            </w:pPr>
          </w:p>
          <w:p w:rsidR="004C2EE3" w:rsidRPr="007115F7" w:rsidP="007115F7" w14:paraId="79528A03" w14:textId="19D8F534">
            <w:pPr>
              <w:tabs>
                <w:tab w:val="center" w:pos="4680"/>
              </w:tabs>
              <w:suppressAutoHyphens/>
              <w:rPr>
                <w:spacing w:val="-2"/>
              </w:rPr>
            </w:pPr>
            <w:r>
              <w:rPr>
                <w:spacing w:val="-2"/>
              </w:rPr>
              <w:t xml:space="preserve">The </w:t>
            </w:r>
            <w:r w:rsidR="00A63C4D">
              <w:rPr>
                <w:spacing w:val="-2"/>
              </w:rPr>
              <w:t>Uniendo a Puerto Rico Fund and Connect USVI Fund</w:t>
            </w:r>
          </w:p>
        </w:tc>
        <w:tc>
          <w:tcPr>
            <w:tcW w:w="630" w:type="dxa"/>
          </w:tcPr>
          <w:p w:rsidR="004C2EE3" w14:paraId="6E857F7C" w14:textId="77777777">
            <w:pPr>
              <w:tabs>
                <w:tab w:val="center" w:pos="4680"/>
              </w:tabs>
              <w:suppressAutoHyphens/>
              <w:rPr>
                <w:b/>
                <w:spacing w:val="-2"/>
              </w:rPr>
            </w:pPr>
            <w:r>
              <w:rPr>
                <w:b/>
                <w:spacing w:val="-2"/>
              </w:rPr>
              <w:t>)</w:t>
            </w:r>
          </w:p>
          <w:p w:rsidR="004C2EE3" w14:paraId="1278B58E" w14:textId="77777777">
            <w:pPr>
              <w:tabs>
                <w:tab w:val="center" w:pos="4680"/>
              </w:tabs>
              <w:suppressAutoHyphens/>
              <w:rPr>
                <w:b/>
                <w:spacing w:val="-2"/>
              </w:rPr>
            </w:pPr>
            <w:r>
              <w:rPr>
                <w:b/>
                <w:spacing w:val="-2"/>
              </w:rPr>
              <w:t>)</w:t>
            </w:r>
          </w:p>
          <w:p w:rsidR="004C2EE3" w14:paraId="3BD9C5A7" w14:textId="77777777">
            <w:pPr>
              <w:tabs>
                <w:tab w:val="center" w:pos="4680"/>
              </w:tabs>
              <w:suppressAutoHyphens/>
              <w:rPr>
                <w:b/>
                <w:spacing w:val="-2"/>
              </w:rPr>
            </w:pPr>
            <w:r>
              <w:rPr>
                <w:b/>
                <w:spacing w:val="-2"/>
              </w:rPr>
              <w:t>)</w:t>
            </w:r>
          </w:p>
          <w:p w:rsidR="004C2EE3" w14:paraId="17110902" w14:textId="77777777">
            <w:pPr>
              <w:tabs>
                <w:tab w:val="center" w:pos="4680"/>
              </w:tabs>
              <w:suppressAutoHyphens/>
              <w:rPr>
                <w:b/>
                <w:spacing w:val="-2"/>
              </w:rPr>
            </w:pPr>
            <w:r>
              <w:rPr>
                <w:b/>
                <w:spacing w:val="-2"/>
              </w:rPr>
              <w:t>)</w:t>
            </w:r>
          </w:p>
          <w:p w:rsidR="00A61296" w:rsidRPr="00D05920" w14:paraId="6B9379BA" w14:textId="03934BE0">
            <w:pPr>
              <w:tabs>
                <w:tab w:val="center" w:pos="4680"/>
              </w:tabs>
              <w:suppressAutoHyphens/>
              <w:rPr>
                <w:b/>
                <w:spacing w:val="-2"/>
              </w:rPr>
            </w:pPr>
            <w:r>
              <w:rPr>
                <w:b/>
                <w:spacing w:val="-2"/>
              </w:rPr>
              <w:t>)</w:t>
            </w:r>
          </w:p>
        </w:tc>
        <w:tc>
          <w:tcPr>
            <w:tcW w:w="4248" w:type="dxa"/>
          </w:tcPr>
          <w:p w:rsidR="004C2EE3" w14:paraId="13B1C09F" w14:textId="77777777">
            <w:pPr>
              <w:tabs>
                <w:tab w:val="center" w:pos="4680"/>
              </w:tabs>
              <w:suppressAutoHyphens/>
              <w:rPr>
                <w:spacing w:val="-2"/>
              </w:rPr>
            </w:pPr>
          </w:p>
          <w:p w:rsidR="004C2EE3" w14:paraId="2537448B" w14:textId="77777777">
            <w:pPr>
              <w:pStyle w:val="TOAHeading"/>
              <w:tabs>
                <w:tab w:val="center" w:pos="4680"/>
                <w:tab w:val="clear" w:pos="9360"/>
              </w:tabs>
              <w:rPr>
                <w:spacing w:val="-2"/>
              </w:rPr>
            </w:pPr>
          </w:p>
          <w:p w:rsidR="004C2EE3" w14:paraId="544D457D" w14:textId="1E18A295">
            <w:pPr>
              <w:tabs>
                <w:tab w:val="center" w:pos="4680"/>
              </w:tabs>
              <w:suppressAutoHyphens/>
              <w:rPr>
                <w:spacing w:val="-2"/>
              </w:rPr>
            </w:pPr>
            <w:r>
              <w:rPr>
                <w:spacing w:val="-2"/>
              </w:rPr>
              <w:t>WC Docket No. 18-143</w:t>
            </w:r>
          </w:p>
        </w:tc>
      </w:tr>
    </w:tbl>
    <w:p w:rsidR="004C2EE3" w:rsidP="0070224F" w14:paraId="5C75007E" w14:textId="77777777"/>
    <w:p w:rsidR="00841AB1" w:rsidP="00F021FA" w14:paraId="0FA0B938" w14:textId="4CD9FD11">
      <w:pPr>
        <w:pStyle w:val="StyleBoldCentered"/>
      </w:pPr>
      <w:r>
        <w:t>Order</w:t>
      </w:r>
    </w:p>
    <w:p w:rsidR="004C2EE3" w14:paraId="23EE4BD9" w14:textId="77777777">
      <w:pPr>
        <w:tabs>
          <w:tab w:val="left" w:pos="-720"/>
        </w:tabs>
        <w:suppressAutoHyphens/>
        <w:spacing w:line="227" w:lineRule="auto"/>
        <w:rPr>
          <w:spacing w:val="-2"/>
        </w:rPr>
      </w:pPr>
    </w:p>
    <w:p w:rsidR="004C2EE3" w:rsidP="00133F79" w14:paraId="07E087A5" w14:textId="40725738">
      <w:pPr>
        <w:tabs>
          <w:tab w:val="left" w:pos="720"/>
          <w:tab w:val="right" w:pos="9360"/>
        </w:tabs>
        <w:suppressAutoHyphens/>
        <w:spacing w:line="227" w:lineRule="auto"/>
        <w:rPr>
          <w:spacing w:val="-2"/>
        </w:rPr>
      </w:pPr>
      <w:r>
        <w:rPr>
          <w:b/>
          <w:spacing w:val="-2"/>
        </w:rPr>
        <w:t xml:space="preserve">Adopted:  </w:t>
      </w:r>
      <w:r w:rsidR="00A61296">
        <w:rPr>
          <w:b/>
          <w:spacing w:val="-2"/>
        </w:rPr>
        <w:t>August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61296">
        <w:rPr>
          <w:b/>
          <w:spacing w:val="-2"/>
        </w:rPr>
        <w:t>August 24, 2020</w:t>
      </w:r>
    </w:p>
    <w:p w:rsidR="00822CE0" w14:paraId="4BC0872D" w14:textId="77777777"/>
    <w:p w:rsidR="004C2EE3" w14:paraId="340EB911" w14:textId="5DAAE404">
      <w:pPr>
        <w:rPr>
          <w:spacing w:val="-2"/>
        </w:rPr>
      </w:pPr>
      <w:r>
        <w:t xml:space="preserve">By </w:t>
      </w:r>
      <w:r w:rsidR="004E4A22">
        <w:t>the</w:t>
      </w:r>
      <w:r w:rsidR="002A2D2E">
        <w:t xml:space="preserve"> </w:t>
      </w:r>
      <w:r w:rsidR="00A63C4D">
        <w:rPr>
          <w:spacing w:val="-2"/>
        </w:rPr>
        <w:t>Wireline Competition Bureau</w:t>
      </w:r>
      <w:r>
        <w:rPr>
          <w:spacing w:val="-2"/>
        </w:rPr>
        <w:t>:</w:t>
      </w:r>
    </w:p>
    <w:p w:rsidR="00822CE0" w14:paraId="33DE9459" w14:textId="77777777">
      <w:pPr>
        <w:rPr>
          <w:spacing w:val="-2"/>
        </w:rPr>
      </w:pPr>
    </w:p>
    <w:p w:rsidR="00412FC5" w:rsidP="00C36B4C" w14:paraId="7CEDE5A2" w14:textId="1FD4F896">
      <w:pPr>
        <w:pStyle w:val="Heading1"/>
      </w:pPr>
      <w:r>
        <w:t>introduction</w:t>
      </w:r>
    </w:p>
    <w:p w:rsidR="00282C84" w:rsidP="00295D66" w14:paraId="6E29F213" w14:textId="551931CB">
      <w:pPr>
        <w:pStyle w:val="ParaNum"/>
      </w:pPr>
      <w:r>
        <w:t xml:space="preserve">In September 2017, </w:t>
      </w:r>
      <w:r w:rsidR="00BC5DBE">
        <w:t xml:space="preserve">Hurricanes Irma and Maria struck </w:t>
      </w:r>
      <w:r w:rsidR="00CB71D6">
        <w:t xml:space="preserve">Puerto Rico and the U.S. Virgin Islands </w:t>
      </w:r>
      <w:r w:rsidR="00EC2B45">
        <w:t xml:space="preserve">within weeks of each other, damaging and destroying </w:t>
      </w:r>
      <w:r w:rsidR="0016039D">
        <w:t>communications</w:t>
      </w:r>
      <w:r w:rsidR="00431631">
        <w:t xml:space="preserve"> networks</w:t>
      </w:r>
      <w:r w:rsidR="0016039D">
        <w:t xml:space="preserve"> </w:t>
      </w:r>
      <w:r w:rsidR="00761E75">
        <w:t xml:space="preserve">across the Territories </w:t>
      </w:r>
      <w:r w:rsidR="00AC7B8E">
        <w:t xml:space="preserve">and leaving Americans living there without voice and broadband connections.  The Commission </w:t>
      </w:r>
      <w:r>
        <w:t xml:space="preserve">took immediate steps to enable service providers receiving </w:t>
      </w:r>
      <w:r w:rsidR="005456F1">
        <w:t xml:space="preserve">support through the Universal Service Fund’s high-cost mechanism </w:t>
      </w:r>
      <w:r w:rsidR="005565A8">
        <w:t xml:space="preserve">to quickly restore service.  Last year, the Commission </w:t>
      </w:r>
      <w:r w:rsidR="00E449A7">
        <w:t xml:space="preserve">adopted </w:t>
      </w:r>
      <w:r w:rsidR="00222A8E">
        <w:t>stage 2 of the Uniendo a Puerto Rico Fund</w:t>
      </w:r>
      <w:r w:rsidR="00CA3604">
        <w:t xml:space="preserve"> and Connect USVI Fund</w:t>
      </w:r>
      <w:r w:rsidR="009C3572">
        <w:t xml:space="preserve">, which is making available </w:t>
      </w:r>
      <w:r w:rsidR="00CA3604">
        <w:t xml:space="preserve">nearly </w:t>
      </w:r>
      <w:r w:rsidR="003312B8">
        <w:t xml:space="preserve">$1 billion dollars in universal service support for fixed and mobile services in the Territories, including </w:t>
      </w:r>
      <w:r w:rsidR="009C3572">
        <w:t xml:space="preserve">more than $500 million </w:t>
      </w:r>
      <w:r w:rsidR="003312B8">
        <w:t xml:space="preserve">to </w:t>
      </w:r>
      <w:r w:rsidR="0084051A">
        <w:t xml:space="preserve">expand and </w:t>
      </w:r>
      <w:r w:rsidR="003312B8">
        <w:t xml:space="preserve">deploy fixed </w:t>
      </w:r>
      <w:r w:rsidR="00B71011">
        <w:t xml:space="preserve">networks </w:t>
      </w:r>
      <w:r w:rsidR="006365FA">
        <w:t xml:space="preserve">in order to </w:t>
      </w:r>
      <w:r w:rsidR="00B71011">
        <w:t xml:space="preserve">give </w:t>
      </w:r>
      <w:r w:rsidR="00C0204B">
        <w:t xml:space="preserve">every American in Puerto Rico </w:t>
      </w:r>
      <w:r w:rsidR="009846CB">
        <w:t xml:space="preserve">access </w:t>
      </w:r>
      <w:r w:rsidR="00926C04">
        <w:t xml:space="preserve">to the </w:t>
      </w:r>
      <w:r w:rsidR="00C466F6">
        <w:t xml:space="preserve">same high-speed broadband service as those living on the mainland.  </w:t>
      </w:r>
      <w:r w:rsidR="002A3F11">
        <w:t xml:space="preserve">To </w:t>
      </w:r>
      <w:r w:rsidR="00214917">
        <w:t xml:space="preserve">preserve limited Universal Service Fund resources and </w:t>
      </w:r>
      <w:r w:rsidR="002A3F11">
        <w:t xml:space="preserve">ensure that Puerto Ricans </w:t>
      </w:r>
      <w:r w:rsidR="006E2AAD">
        <w:t xml:space="preserve">get the maximum benefit </w:t>
      </w:r>
      <w:r w:rsidR="007E059C">
        <w:t xml:space="preserve">from </w:t>
      </w:r>
      <w:r w:rsidR="006E2AAD">
        <w:t xml:space="preserve">this funding, the </w:t>
      </w:r>
      <w:r w:rsidR="007E059C">
        <w:t xml:space="preserve">Commission limited eligibility to those </w:t>
      </w:r>
      <w:r w:rsidR="00EE393A">
        <w:t>providers that already have experience providing broadband to end users over their own networks</w:t>
      </w:r>
      <w:r w:rsidR="00214917">
        <w:t>.</w:t>
      </w:r>
    </w:p>
    <w:p w:rsidR="00CC4BE7" w:rsidP="00295D66" w14:paraId="78193C13" w14:textId="78B3E24A">
      <w:pPr>
        <w:pStyle w:val="ParaNum"/>
      </w:pPr>
      <w:r>
        <w:t>Blackburn Technologies II, LLC</w:t>
      </w:r>
      <w:r w:rsidR="00234C77">
        <w:t xml:space="preserve">, a </w:t>
      </w:r>
      <w:r w:rsidR="009F4F6E">
        <w:t xml:space="preserve">wholesale provider operating in Puerto Rico, </w:t>
      </w:r>
      <w:r>
        <w:t>seek</w:t>
      </w:r>
      <w:r w:rsidR="009F4F6E">
        <w:t>s</w:t>
      </w:r>
      <w:r>
        <w:t xml:space="preserve"> waiver of the</w:t>
      </w:r>
      <w:r w:rsidRPr="00BB1BAA" w:rsidR="00BB1BAA">
        <w:t xml:space="preserve"> </w:t>
      </w:r>
      <w:r w:rsidR="00BB1BAA">
        <w:t>requirement that only facilities-based providers offering voice and broadband service to end users in Puerto Rico are eligible for program support</w:t>
      </w:r>
      <w:r>
        <w:t>.</w:t>
      </w:r>
      <w:r>
        <w:rPr>
          <w:rStyle w:val="FootnoteReference"/>
        </w:rPr>
        <w:footnoteReference w:id="3"/>
      </w:r>
      <w:r>
        <w:t xml:space="preserve">  </w:t>
      </w:r>
      <w:r w:rsidR="00027669">
        <w:t>Blackburn wishes to use Stage 2 support to further expand its wholesale network</w:t>
      </w:r>
      <w:r w:rsidR="0035625F">
        <w:t xml:space="preserve">, rather than to serve </w:t>
      </w:r>
      <w:r w:rsidR="00E07314">
        <w:t>Puerto Rican consumers that need broadband connections.</w:t>
      </w:r>
      <w:r>
        <w:rPr>
          <w:rStyle w:val="FootnoteReference"/>
        </w:rPr>
        <w:footnoteReference w:id="4"/>
      </w:r>
      <w:r w:rsidR="00D86F0B">
        <w:t xml:space="preserve">  Based on the record before us, we find that the petitioner </w:t>
      </w:r>
      <w:r>
        <w:t>has not established good cause</w:t>
      </w:r>
      <w:r w:rsidR="00805CEC">
        <w:t xml:space="preserve"> for us</w:t>
      </w:r>
      <w:r w:rsidR="00153163">
        <w:t xml:space="preserve"> to deviate from the rule</w:t>
      </w:r>
      <w:r>
        <w:t xml:space="preserve"> and, therefore, deny the requested relief.</w:t>
      </w:r>
    </w:p>
    <w:p w:rsidR="00295D66" w:rsidP="00295D66" w14:paraId="23ACECBC" w14:textId="24FB03CA">
      <w:pPr>
        <w:pStyle w:val="Heading1"/>
      </w:pPr>
      <w:r>
        <w:t>background</w:t>
      </w:r>
    </w:p>
    <w:p w:rsidR="00295D66" w:rsidP="00295D66" w14:paraId="4CCD1E2B" w14:textId="09C1A819">
      <w:pPr>
        <w:pStyle w:val="ParaNum"/>
      </w:pPr>
      <w:r w:rsidRPr="007B3A50">
        <w:t xml:space="preserve">In the </w:t>
      </w:r>
      <w:r w:rsidRPr="008632F1" w:rsidR="0057533A">
        <w:rPr>
          <w:i/>
          <w:iCs/>
        </w:rPr>
        <w:t>PR-USVI Stage 2 Order</w:t>
      </w:r>
      <w:r w:rsidR="0057533A">
        <w:t xml:space="preserve">, the Commission adopted </w:t>
      </w:r>
      <w:r w:rsidR="00175ADC">
        <w:t xml:space="preserve">the Uniendo a Puerto Rico Fund, </w:t>
      </w:r>
      <w:r w:rsidR="00E75483">
        <w:t xml:space="preserve">which will distribute </w:t>
      </w:r>
      <w:r w:rsidR="00175ADC">
        <w:t>up to $504.7 million of high cost support over 10 years</w:t>
      </w:r>
      <w:r w:rsidR="00031782">
        <w:t xml:space="preserve"> to providers of fixed voice and broadband services</w:t>
      </w:r>
      <w:r w:rsidR="00175ADC">
        <w:t>.</w:t>
      </w:r>
      <w:r>
        <w:rPr>
          <w:rStyle w:val="FootnoteReference"/>
        </w:rPr>
        <w:footnoteReference w:id="5"/>
      </w:r>
      <w:r w:rsidR="00175ADC">
        <w:t xml:space="preserve">  </w:t>
      </w:r>
      <w:r w:rsidR="00561D3A">
        <w:t>S</w:t>
      </w:r>
      <w:r w:rsidR="0057533A">
        <w:t>ection 54.1505(a)</w:t>
      </w:r>
      <w:r w:rsidR="00094741">
        <w:t xml:space="preserve"> </w:t>
      </w:r>
      <w:r w:rsidR="00561D3A">
        <w:t xml:space="preserve">of the Commission’s rules </w:t>
      </w:r>
      <w:r w:rsidR="00EE5E0C">
        <w:t xml:space="preserve">establishes the eligibility </w:t>
      </w:r>
      <w:r w:rsidR="00A058B0">
        <w:t xml:space="preserve">requirements for </w:t>
      </w:r>
      <w:r w:rsidR="00561D3A">
        <w:t xml:space="preserve">the program and states </w:t>
      </w:r>
      <w:r w:rsidR="00A2259F">
        <w:t xml:space="preserve">that a provider is eligible to submit an application </w:t>
      </w:r>
      <w:r w:rsidR="00561D3A">
        <w:t xml:space="preserve">in </w:t>
      </w:r>
      <w:r w:rsidR="00E913C0">
        <w:t xml:space="preserve">the Stage 2 competitive process if </w:t>
      </w:r>
      <w:r w:rsidR="008751C2">
        <w:t>it</w:t>
      </w:r>
      <w:r w:rsidR="00644C46">
        <w:t xml:space="preserve"> had existing</w:t>
      </w:r>
      <w:r w:rsidR="008751C2">
        <w:t xml:space="preserve"> fixed facilities</w:t>
      </w:r>
      <w:r w:rsidR="00881634">
        <w:t xml:space="preserve"> </w:t>
      </w:r>
      <w:r w:rsidR="00216929">
        <w:t xml:space="preserve">and made broadband service available </w:t>
      </w:r>
      <w:r w:rsidR="008751C2">
        <w:t xml:space="preserve">in Puerto Rico </w:t>
      </w:r>
      <w:r w:rsidR="008751C2">
        <w:t xml:space="preserve">or the U.S. Virgin Islands </w:t>
      </w:r>
      <w:r w:rsidR="005B7205">
        <w:t xml:space="preserve">according to its </w:t>
      </w:r>
      <w:r w:rsidR="009A453A">
        <w:t>June 30, 2018 FCC Form 477.</w:t>
      </w:r>
      <w:r>
        <w:rPr>
          <w:rStyle w:val="FootnoteReference"/>
        </w:rPr>
        <w:footnoteReference w:id="6"/>
      </w:r>
      <w:r w:rsidR="000D7C09">
        <w:t xml:space="preserve">  </w:t>
      </w:r>
      <w:r w:rsidR="00455E9F">
        <w:t xml:space="preserve">Section 54.1505(a) further </w:t>
      </w:r>
      <w:r w:rsidR="00561D3A">
        <w:t xml:space="preserve">requires </w:t>
      </w:r>
      <w:r w:rsidR="00455E9F">
        <w:t xml:space="preserve">a provider </w:t>
      </w:r>
      <w:r w:rsidR="00561D3A">
        <w:t xml:space="preserve">to </w:t>
      </w:r>
      <w:r w:rsidR="00455E9F">
        <w:t>obtain an el</w:t>
      </w:r>
      <w:r w:rsidR="003F7811">
        <w:t>igible telecommunications carrier (ETC) designation within 6</w:t>
      </w:r>
      <w:r w:rsidR="00491097">
        <w:t xml:space="preserve">0 days after the Bureau </w:t>
      </w:r>
      <w:r w:rsidR="00561D3A">
        <w:t xml:space="preserve">announces </w:t>
      </w:r>
      <w:r w:rsidR="00491097">
        <w:t xml:space="preserve">the </w:t>
      </w:r>
      <w:r w:rsidR="0031325C">
        <w:t xml:space="preserve">providers </w:t>
      </w:r>
      <w:r w:rsidR="001838FB">
        <w:t>selected to receive support</w:t>
      </w:r>
      <w:r w:rsidR="0031325C">
        <w:t>.</w:t>
      </w:r>
      <w:r>
        <w:rPr>
          <w:rStyle w:val="FootnoteReference"/>
        </w:rPr>
        <w:footnoteReference w:id="7"/>
      </w:r>
    </w:p>
    <w:p w:rsidR="00B50209" w:rsidP="00295D66" w14:paraId="652CFCA7" w14:textId="4B1CAD46">
      <w:pPr>
        <w:pStyle w:val="ParaNum"/>
      </w:pPr>
      <w:r>
        <w:t>During the rulemaking, t</w:t>
      </w:r>
      <w:r w:rsidR="00CF598C">
        <w:t xml:space="preserve">he Commission </w:t>
      </w:r>
      <w:r>
        <w:t>propos</w:t>
      </w:r>
      <w:r w:rsidR="00FC0459">
        <w:t>ed</w:t>
      </w:r>
      <w:r>
        <w:t xml:space="preserve"> </w:t>
      </w:r>
      <w:r w:rsidR="00203330">
        <w:t xml:space="preserve">to </w:t>
      </w:r>
      <w:r w:rsidR="007724FB">
        <w:t xml:space="preserve">limit </w:t>
      </w:r>
      <w:r w:rsidR="00694644">
        <w:t xml:space="preserve">Stage 2 </w:t>
      </w:r>
      <w:r w:rsidR="00666722">
        <w:t xml:space="preserve">eligibility </w:t>
      </w:r>
      <w:r w:rsidR="00FC0459">
        <w:t xml:space="preserve">to applicants who reported service on the </w:t>
      </w:r>
      <w:r w:rsidR="00FD1418">
        <w:t>June 30, 2017 FCC Form 477</w:t>
      </w:r>
      <w:r w:rsidR="00DF3017">
        <w:t xml:space="preserve"> </w:t>
      </w:r>
      <w:r w:rsidR="007A4CC0">
        <w:t xml:space="preserve">to </w:t>
      </w:r>
      <w:r w:rsidR="00A269DE">
        <w:t xml:space="preserve">encourage </w:t>
      </w:r>
      <w:r w:rsidR="007A4CC0">
        <w:t xml:space="preserve">participation </w:t>
      </w:r>
      <w:r w:rsidR="00B74BBB">
        <w:t>from experienced providers</w:t>
      </w:r>
      <w:r w:rsidR="002C54C2">
        <w:t xml:space="preserve"> an</w:t>
      </w:r>
      <w:r w:rsidR="00A269DE">
        <w:t>d</w:t>
      </w:r>
      <w:r w:rsidR="002C54C2">
        <w:t xml:space="preserve"> minimize the risk that recipients will default on service obligations.</w:t>
      </w:r>
      <w:r>
        <w:rPr>
          <w:rStyle w:val="FootnoteReference"/>
        </w:rPr>
        <w:footnoteReference w:id="8"/>
      </w:r>
      <w:r w:rsidR="00B268F4">
        <w:t xml:space="preserve">  </w:t>
      </w:r>
      <w:r w:rsidR="006F58C2">
        <w:t>Based on comments</w:t>
      </w:r>
      <w:r w:rsidR="00465600">
        <w:t xml:space="preserve"> received</w:t>
      </w:r>
      <w:r w:rsidR="006F58C2">
        <w:t xml:space="preserve">, </w:t>
      </w:r>
      <w:r w:rsidR="00A269DE">
        <w:t xml:space="preserve">however, </w:t>
      </w:r>
      <w:r w:rsidR="006F58C2">
        <w:t>the</w:t>
      </w:r>
      <w:r w:rsidR="00346133">
        <w:t xml:space="preserve"> Commission </w:t>
      </w:r>
      <w:r w:rsidR="00597002">
        <w:t xml:space="preserve">modified its original proposal to </w:t>
      </w:r>
      <w:r w:rsidR="006B45C6">
        <w:t xml:space="preserve">limit </w:t>
      </w:r>
      <w:r w:rsidR="001838FB">
        <w:t xml:space="preserve">eligibility </w:t>
      </w:r>
      <w:r w:rsidR="00FC0459">
        <w:t xml:space="preserve">to </w:t>
      </w:r>
      <w:r w:rsidR="006B45C6">
        <w:t xml:space="preserve">providers that reported service </w:t>
      </w:r>
      <w:r w:rsidR="00FC0459">
        <w:t xml:space="preserve">on the </w:t>
      </w:r>
      <w:r w:rsidR="006B45C6">
        <w:t xml:space="preserve">June 30, 2018 FCC Form 477 </w:t>
      </w:r>
      <w:r w:rsidR="00A269DE">
        <w:t xml:space="preserve">to encourage participation by </w:t>
      </w:r>
      <w:r w:rsidR="006B45C6">
        <w:t xml:space="preserve">satellite and other providers </w:t>
      </w:r>
      <w:r w:rsidR="004219B4">
        <w:t>that served the islands immediately after Hurricanes Irma and Maria</w:t>
      </w:r>
      <w:r w:rsidR="00956F71">
        <w:t>.</w:t>
      </w:r>
      <w:r>
        <w:rPr>
          <w:rStyle w:val="FootnoteReference"/>
        </w:rPr>
        <w:footnoteReference w:id="9"/>
      </w:r>
      <w:r w:rsidR="00F81364">
        <w:t xml:space="preserve">  Similarly, to cast a</w:t>
      </w:r>
      <w:r w:rsidR="00BF6E66">
        <w:t xml:space="preserve"> wide</w:t>
      </w:r>
      <w:r w:rsidR="002F1948">
        <w:t>r</w:t>
      </w:r>
      <w:r w:rsidR="00BF6E66">
        <w:t xml:space="preserve"> net, the Commission </w:t>
      </w:r>
      <w:r w:rsidR="00FC0459">
        <w:t xml:space="preserve">allowed </w:t>
      </w:r>
      <w:r w:rsidR="00E82E69">
        <w:t>broadband providers that serve only business locations</w:t>
      </w:r>
      <w:r w:rsidR="00187837">
        <w:t xml:space="preserve"> to participate</w:t>
      </w:r>
      <w:r w:rsidR="001838FB">
        <w:t xml:space="preserve">, but noted that it would require </w:t>
      </w:r>
      <w:r w:rsidR="000109BB">
        <w:t xml:space="preserve">“any provider that receives support to serve all </w:t>
      </w:r>
      <w:r w:rsidR="005358DF">
        <w:t>l</w:t>
      </w:r>
      <w:r w:rsidR="000109BB">
        <w:t>ocations within the specifi</w:t>
      </w:r>
      <w:r w:rsidR="005358DF">
        <w:t>ed geographic area[.]”</w:t>
      </w:r>
      <w:r>
        <w:rPr>
          <w:rStyle w:val="FootnoteReference"/>
        </w:rPr>
        <w:footnoteReference w:id="10"/>
      </w:r>
    </w:p>
    <w:p w:rsidR="00345DE4" w:rsidP="0070427F" w14:paraId="47A6EDF5" w14:textId="33B0F216">
      <w:pPr>
        <w:pStyle w:val="ParaNum"/>
      </w:pPr>
      <w:r w:rsidRPr="00281D9A">
        <w:rPr>
          <w:i/>
          <w:iCs/>
        </w:rPr>
        <w:t>Blackburn</w:t>
      </w:r>
      <w:r w:rsidR="00AB1F13">
        <w:rPr>
          <w:i/>
          <w:iCs/>
        </w:rPr>
        <w:t>’s Petition</w:t>
      </w:r>
      <w:r>
        <w:t>.</w:t>
      </w:r>
      <w:r w:rsidR="00281D9A">
        <w:t xml:space="preserve">  </w:t>
      </w:r>
      <w:r w:rsidR="00532DDD">
        <w:t xml:space="preserve">Blackburn </w:t>
      </w:r>
      <w:r w:rsidR="001838FB">
        <w:t>describes itself a</w:t>
      </w:r>
      <w:r w:rsidR="004E7B7C">
        <w:t>s a wholesale provider of broadband services to Puerto Rico and Latin America</w:t>
      </w:r>
      <w:r w:rsidR="00532B93">
        <w:t>.</w:t>
      </w:r>
      <w:r w:rsidR="009E3069">
        <w:t xml:space="preserve">  </w:t>
      </w:r>
      <w:r w:rsidR="00295C0D">
        <w:t xml:space="preserve">Blackburn </w:t>
      </w:r>
      <w:r w:rsidR="001838FB">
        <w:t xml:space="preserve">states that it </w:t>
      </w:r>
      <w:r w:rsidR="00295C0D">
        <w:t xml:space="preserve">provides </w:t>
      </w:r>
      <w:r w:rsidR="00125F22">
        <w:t>broadband and internet access to Internet service providers (ISP</w:t>
      </w:r>
      <w:r w:rsidR="00B428EF">
        <w:t>s</w:t>
      </w:r>
      <w:r w:rsidR="00125F22">
        <w:t>), retailers, over-the</w:t>
      </w:r>
      <w:r w:rsidR="003D60F8">
        <w:t>-top providers, and other service providers.</w:t>
      </w:r>
      <w:r>
        <w:rPr>
          <w:rStyle w:val="FootnoteReference"/>
        </w:rPr>
        <w:footnoteReference w:id="11"/>
      </w:r>
      <w:r w:rsidR="003D60F8">
        <w:t xml:space="preserve">  According to Blackburn, </w:t>
      </w:r>
      <w:r w:rsidR="00CF2CCC">
        <w:t xml:space="preserve">it provides </w:t>
      </w:r>
      <w:r w:rsidR="00EA6CC8">
        <w:t xml:space="preserve">ISPs </w:t>
      </w:r>
      <w:r w:rsidR="00CF2CCC">
        <w:t>access to</w:t>
      </w:r>
      <w:r w:rsidR="00EA6CC8">
        <w:t xml:space="preserve"> its</w:t>
      </w:r>
      <w:r w:rsidR="00CF2CCC">
        <w:t xml:space="preserve"> infrastructure</w:t>
      </w:r>
      <w:r w:rsidR="00E706A0">
        <w:t>, which “enables these ISPs to provide high-speed, quality broadband service to their retail customers</w:t>
      </w:r>
      <w:r w:rsidR="001F01A2">
        <w:t>.”</w:t>
      </w:r>
      <w:r>
        <w:rPr>
          <w:rStyle w:val="FootnoteReference"/>
        </w:rPr>
        <w:footnoteReference w:id="12"/>
      </w:r>
      <w:r w:rsidR="001F01A2">
        <w:t xml:space="preserve">  </w:t>
      </w:r>
      <w:r w:rsidR="007535FF">
        <w:t>Blackburn states it is “purely [a] wholesale provider</w:t>
      </w:r>
      <w:r w:rsidR="007A60C1">
        <w:t xml:space="preserve"> and does not provide retail services.”</w:t>
      </w:r>
      <w:r>
        <w:rPr>
          <w:rStyle w:val="FootnoteReference"/>
        </w:rPr>
        <w:footnoteReference w:id="13"/>
      </w:r>
      <w:r w:rsidR="00627901">
        <w:t xml:space="preserve">  In </w:t>
      </w:r>
      <w:r w:rsidR="00E81B94">
        <w:t xml:space="preserve">Blackburn’s view, its wholesale model </w:t>
      </w:r>
      <w:r w:rsidR="00F67A08">
        <w:t xml:space="preserve">advances competition by enabling </w:t>
      </w:r>
      <w:r w:rsidR="00E81B94">
        <w:t>new entrants</w:t>
      </w:r>
      <w:r w:rsidR="001B2D46">
        <w:t xml:space="preserve"> and </w:t>
      </w:r>
      <w:r w:rsidR="002F1948">
        <w:t xml:space="preserve">retail </w:t>
      </w:r>
      <w:r w:rsidR="00F67A08">
        <w:t xml:space="preserve">operators </w:t>
      </w:r>
      <w:r w:rsidR="001B2D46">
        <w:t xml:space="preserve">to purchase </w:t>
      </w:r>
      <w:r w:rsidR="00F67A08">
        <w:t xml:space="preserve">network </w:t>
      </w:r>
      <w:r w:rsidR="001B2D46">
        <w:t>capacity needed to offer broadband services to their end</w:t>
      </w:r>
      <w:r w:rsidR="00E67C35">
        <w:t xml:space="preserve"> </w:t>
      </w:r>
      <w:r w:rsidR="001B2D46">
        <w:t>user customers</w:t>
      </w:r>
      <w:r w:rsidR="00F67A08">
        <w:t>.</w:t>
      </w:r>
      <w:r>
        <w:rPr>
          <w:rStyle w:val="FootnoteReference"/>
        </w:rPr>
        <w:footnoteReference w:id="14"/>
      </w:r>
      <w:r w:rsidR="00C3040E">
        <w:t xml:space="preserve"> </w:t>
      </w:r>
      <w:r w:rsidR="00607CE2">
        <w:t xml:space="preserve"> </w:t>
      </w:r>
      <w:r w:rsidR="00B4279B">
        <w:t>Blackburn</w:t>
      </w:r>
      <w:r w:rsidR="001A3043">
        <w:t>, however, has never filed an FCC Form 477 because</w:t>
      </w:r>
      <w:r w:rsidR="00381FE7">
        <w:t>, Blackburn asserts,</w:t>
      </w:r>
      <w:r w:rsidR="001A3043">
        <w:t xml:space="preserve"> companies that do not provide service directly to end</w:t>
      </w:r>
      <w:r w:rsidR="00607CE2">
        <w:t xml:space="preserve"> </w:t>
      </w:r>
      <w:r w:rsidR="001A3043">
        <w:t>users, like Blackburn, are not required by the Commission’s rules to submit a</w:t>
      </w:r>
      <w:r w:rsidR="003A4153">
        <w:t>n</w:t>
      </w:r>
      <w:r w:rsidR="001A3043">
        <w:t xml:space="preserve"> FCC Form 477.  Blackburn therefore </w:t>
      </w:r>
      <w:r w:rsidR="00B4279B">
        <w:t xml:space="preserve">seeks waiver of </w:t>
      </w:r>
      <w:r w:rsidR="001A3043">
        <w:t>the</w:t>
      </w:r>
      <w:r w:rsidR="00B4279B">
        <w:t xml:space="preserve"> requirement that </w:t>
      </w:r>
      <w:r w:rsidR="00FA5233">
        <w:t>it</w:t>
      </w:r>
      <w:r w:rsidR="001A3043">
        <w:t xml:space="preserve"> </w:t>
      </w:r>
      <w:r w:rsidR="00253B55">
        <w:t xml:space="preserve">must have filed </w:t>
      </w:r>
      <w:r w:rsidR="00B4279B">
        <w:t>an FCC Form 477 due in June 2018</w:t>
      </w:r>
      <w:r w:rsidR="00891A0F">
        <w:t xml:space="preserve"> to participate in the Stage 2 competitive process</w:t>
      </w:r>
      <w:r w:rsidR="001A3043">
        <w:t>.</w:t>
      </w:r>
    </w:p>
    <w:p w:rsidR="00F55801" w:rsidP="00295D66" w14:paraId="73845002" w14:textId="5DD4538D">
      <w:pPr>
        <w:pStyle w:val="ParaNum"/>
      </w:pPr>
      <w:r>
        <w:t>Commenters submitted comments in support and op</w:t>
      </w:r>
      <w:r w:rsidR="00821B5C">
        <w:t xml:space="preserve">position to </w:t>
      </w:r>
      <w:r w:rsidR="00D80B6D">
        <w:t xml:space="preserve">Blackburn’s waiver petition.  </w:t>
      </w:r>
      <w:r w:rsidR="00821B5C">
        <w:t xml:space="preserve">In </w:t>
      </w:r>
      <w:r w:rsidR="009C73F4">
        <w:t>general, c</w:t>
      </w:r>
      <w:r w:rsidR="00821B5C">
        <w:t xml:space="preserve">ommenters </w:t>
      </w:r>
      <w:r w:rsidR="001838FB">
        <w:t xml:space="preserve">in support of Blackburn’s waiver petition </w:t>
      </w:r>
      <w:r w:rsidR="00A53606">
        <w:t>noted the lack of competition</w:t>
      </w:r>
      <w:r w:rsidR="00975431">
        <w:t xml:space="preserve"> and deficiencies</w:t>
      </w:r>
      <w:r w:rsidR="00A53606">
        <w:t xml:space="preserve"> </w:t>
      </w:r>
      <w:r w:rsidR="00245E9B">
        <w:t>of</w:t>
      </w:r>
      <w:r w:rsidR="00975431">
        <w:t xml:space="preserve"> the local telecommunications market</w:t>
      </w:r>
      <w:r w:rsidR="009C73F4">
        <w:t>.</w:t>
      </w:r>
      <w:r>
        <w:rPr>
          <w:rStyle w:val="FootnoteReference"/>
        </w:rPr>
        <w:footnoteReference w:id="15"/>
      </w:r>
      <w:r w:rsidR="009C73F4">
        <w:t xml:space="preserve">  </w:t>
      </w:r>
      <w:r w:rsidR="00054342">
        <w:t xml:space="preserve">Commenters opposing the waiver petition </w:t>
      </w:r>
      <w:r w:rsidR="00054342">
        <w:t>argue</w:t>
      </w:r>
      <w:r w:rsidR="00D65904">
        <w:t>, among other things,</w:t>
      </w:r>
      <w:r w:rsidR="00054342">
        <w:t xml:space="preserve"> that </w:t>
      </w:r>
      <w:r w:rsidR="00DF0A0A">
        <w:t>Blackburn is ine</w:t>
      </w:r>
      <w:r w:rsidR="008D004F">
        <w:t xml:space="preserve">ligible to participate in the Stage 2 competitive process because it </w:t>
      </w:r>
      <w:r w:rsidR="003E1EC0">
        <w:t xml:space="preserve">will not fulfill the public interest obligations </w:t>
      </w:r>
      <w:r w:rsidR="00974CB7">
        <w:t>to provide voice and broadband services to end</w:t>
      </w:r>
      <w:r w:rsidR="00554C50">
        <w:t xml:space="preserve"> </w:t>
      </w:r>
      <w:r w:rsidR="00974CB7">
        <w:t>users.</w:t>
      </w:r>
      <w:r>
        <w:rPr>
          <w:rStyle w:val="FootnoteReference"/>
        </w:rPr>
        <w:footnoteReference w:id="16"/>
      </w:r>
      <w:r w:rsidR="00A8474C">
        <w:t xml:space="preserve"> </w:t>
      </w:r>
    </w:p>
    <w:p w:rsidR="006C3CCD" w:rsidP="006C3CCD" w14:paraId="6CC12A03" w14:textId="400D1C83">
      <w:pPr>
        <w:pStyle w:val="Heading1"/>
      </w:pPr>
      <w:r>
        <w:t>discussion</w:t>
      </w:r>
    </w:p>
    <w:p w:rsidR="008859C9" w:rsidP="008859C9" w14:paraId="1E2D38B3" w14:textId="01A634AA">
      <w:pPr>
        <w:pStyle w:val="ParaNum"/>
      </w:pPr>
      <w:r>
        <w:t>Generally, the Commission</w:t>
      </w:r>
      <w:r w:rsidR="0028304C">
        <w:t xml:space="preserve"> may exercise its discretion to waive </w:t>
      </w:r>
      <w:r w:rsidR="00412847">
        <w:t xml:space="preserve">its rules </w:t>
      </w:r>
      <w:r w:rsidR="007B6DE4">
        <w:t>for</w:t>
      </w:r>
      <w:r w:rsidR="00412847">
        <w:t xml:space="preserve"> good cause.</w:t>
      </w:r>
      <w:r>
        <w:rPr>
          <w:rStyle w:val="FootnoteReference"/>
        </w:rPr>
        <w:footnoteReference w:id="17"/>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8"/>
      </w:r>
      <w:r w:rsidRPr="00F6751B">
        <w:t xml:space="preserve">  </w:t>
      </w:r>
    </w:p>
    <w:p w:rsidR="009530F8" w:rsidP="00BF41AC" w14:paraId="3E285644" w14:textId="286D25C0">
      <w:pPr>
        <w:pStyle w:val="ParaNum"/>
      </w:pPr>
      <w:r>
        <w:t>Based on the record, w</w:t>
      </w:r>
      <w:r w:rsidR="008859C9">
        <w:t>e d</w:t>
      </w:r>
      <w:r w:rsidR="00B36027">
        <w:t xml:space="preserve">eny </w:t>
      </w:r>
      <w:r w:rsidR="008859C9">
        <w:t xml:space="preserve">the </w:t>
      </w:r>
      <w:r w:rsidR="00D058F3">
        <w:t xml:space="preserve">waiver </w:t>
      </w:r>
      <w:r w:rsidR="008859C9">
        <w:t>petition filed by Blackburn</w:t>
      </w:r>
      <w:r w:rsidR="00E14B23">
        <w:t>, finding</w:t>
      </w:r>
      <w:r w:rsidR="00882891">
        <w:t xml:space="preserve"> no</w:t>
      </w:r>
      <w:r w:rsidR="003C45D3">
        <w:t xml:space="preserve"> good cause justify</w:t>
      </w:r>
      <w:r w:rsidR="00882891">
        <w:t>ing</w:t>
      </w:r>
      <w:r w:rsidR="003C45D3">
        <w:t xml:space="preserve"> deviation from section </w:t>
      </w:r>
      <w:r w:rsidR="0003070E">
        <w:t xml:space="preserve">54.1505(a) of the Commission’s rules, </w:t>
      </w:r>
      <w:r w:rsidR="007F3F86">
        <w:t>and</w:t>
      </w:r>
      <w:r w:rsidR="0003070E">
        <w:t xml:space="preserve"> </w:t>
      </w:r>
      <w:r w:rsidR="00E57BEA">
        <w:t xml:space="preserve">that </w:t>
      </w:r>
      <w:r w:rsidR="005908F8">
        <w:t xml:space="preserve">waiving </w:t>
      </w:r>
      <w:r w:rsidR="0026585C">
        <w:t xml:space="preserve">the </w:t>
      </w:r>
      <w:r w:rsidR="008C215E">
        <w:t>Form 477 filing requirement</w:t>
      </w:r>
      <w:r w:rsidR="003204BD">
        <w:t xml:space="preserve"> for participating </w:t>
      </w:r>
      <w:r w:rsidR="00563EF3">
        <w:t xml:space="preserve">in </w:t>
      </w:r>
      <w:r w:rsidR="003204BD">
        <w:t xml:space="preserve">the </w:t>
      </w:r>
      <w:r w:rsidR="003204BD">
        <w:t>Uniend</w:t>
      </w:r>
      <w:r w:rsidR="005C620E">
        <w:t>o</w:t>
      </w:r>
      <w:r w:rsidR="003204BD">
        <w:t xml:space="preserve"> a Puerto Rico </w:t>
      </w:r>
      <w:r w:rsidR="00E64826">
        <w:t>Stage 2 program</w:t>
      </w:r>
      <w:r w:rsidR="00D23E20">
        <w:t xml:space="preserve"> does not serve the public interest</w:t>
      </w:r>
      <w:r w:rsidR="00E873F4">
        <w:t xml:space="preserve">. </w:t>
      </w:r>
      <w:r w:rsidR="006E6E17">
        <w:t xml:space="preserve"> </w:t>
      </w:r>
      <w:r w:rsidR="001633B5">
        <w:t>Notwithstanding the compelling reasons justifying the Commission’s de</w:t>
      </w:r>
      <w:r w:rsidR="00C63A8C">
        <w:t xml:space="preserve">cision </w:t>
      </w:r>
      <w:r w:rsidR="00CC4090">
        <w:t>to limit participat</w:t>
      </w:r>
      <w:r w:rsidR="00CB352F">
        <w:t>ion</w:t>
      </w:r>
      <w:r w:rsidR="00CC4090">
        <w:t xml:space="preserve"> i</w:t>
      </w:r>
      <w:r w:rsidR="004548A6">
        <w:t>n</w:t>
      </w:r>
      <w:r w:rsidR="00CC4090">
        <w:t xml:space="preserve"> the Uniendo a Puerto Rico and Connect USVI Funds </w:t>
      </w:r>
      <w:r w:rsidR="00D06AB9">
        <w:t xml:space="preserve">to providers with experience serving </w:t>
      </w:r>
      <w:r w:rsidR="00A3515B">
        <w:t>end</w:t>
      </w:r>
      <w:r w:rsidR="00447959">
        <w:t xml:space="preserve"> </w:t>
      </w:r>
      <w:r w:rsidR="00A3515B">
        <w:t>users in</w:t>
      </w:r>
      <w:r w:rsidR="00D06AB9">
        <w:t xml:space="preserve"> the </w:t>
      </w:r>
      <w:r w:rsidR="00654E76">
        <w:t>Territories</w:t>
      </w:r>
      <w:r w:rsidR="00337181">
        <w:t xml:space="preserve">, </w:t>
      </w:r>
      <w:r w:rsidR="007F1F98">
        <w:t xml:space="preserve">we must </w:t>
      </w:r>
      <w:r w:rsidR="00954D89">
        <w:t xml:space="preserve">reject Blackburn’s petition because Blackburn is unwilling to meet the public interest obligations </w:t>
      </w:r>
      <w:r w:rsidR="008772C3">
        <w:t>that apply to all recipients of high</w:t>
      </w:r>
      <w:r w:rsidR="002269ED">
        <w:t>-cost universal service support</w:t>
      </w:r>
      <w:r w:rsidR="0036008D">
        <w:t>.</w:t>
      </w:r>
      <w:r>
        <w:rPr>
          <w:rStyle w:val="FootnoteReference"/>
        </w:rPr>
        <w:footnoteReference w:id="19"/>
      </w:r>
    </w:p>
    <w:p w:rsidR="00FE351C" w:rsidP="00BF41AC" w14:paraId="071EB868" w14:textId="77777777">
      <w:pPr>
        <w:pStyle w:val="ParaNum"/>
      </w:pPr>
      <w:r>
        <w:t xml:space="preserve">For the Uniendo a Puerto Rico Fund and Connect USVI Fund, the Commission limited the eligibility to participate in the Stage 2 competitive process to providers with existing network facilities and </w:t>
      </w:r>
      <w:r w:rsidR="00E632BA">
        <w:t>that</w:t>
      </w:r>
      <w:r>
        <w:t xml:space="preserve"> reported making broadband service available</w:t>
      </w:r>
      <w:r w:rsidR="00826F27">
        <w:t xml:space="preserve"> to end</w:t>
      </w:r>
      <w:r w:rsidR="008550E4">
        <w:t xml:space="preserve"> </w:t>
      </w:r>
      <w:r w:rsidR="00826F27">
        <w:t>user customers</w:t>
      </w:r>
      <w:r>
        <w:t xml:space="preserve"> </w:t>
      </w:r>
      <w:r w:rsidR="00514795">
        <w:t>according to</w:t>
      </w:r>
      <w:r>
        <w:t xml:space="preserve"> the June 30, 2018 FCC Form 477.</w:t>
      </w:r>
      <w:r>
        <w:rPr>
          <w:rStyle w:val="FootnoteReference"/>
        </w:rPr>
        <w:footnoteReference w:id="20"/>
      </w:r>
      <w:r w:rsidR="004C6588">
        <w:t xml:space="preserve"> </w:t>
      </w:r>
      <w:r w:rsidR="00601813">
        <w:t xml:space="preserve"> </w:t>
      </w:r>
      <w:r w:rsidR="00E83117">
        <w:t>Blackburn contends that</w:t>
      </w:r>
      <w:r>
        <w:t xml:space="preserve"> a</w:t>
      </w:r>
      <w:r w:rsidR="00AC3841">
        <w:t xml:space="preserve"> waiver </w:t>
      </w:r>
      <w:r>
        <w:t xml:space="preserve">is warranted </w:t>
      </w:r>
      <w:r w:rsidR="00AC3841">
        <w:t>because i</w:t>
      </w:r>
      <w:r w:rsidR="00C3040E">
        <w:t>t</w:t>
      </w:r>
      <w:r w:rsidR="00AC3841">
        <w:t xml:space="preserve"> is an experienced “neutral wholesale broadband provider”</w:t>
      </w:r>
      <w:r>
        <w:rPr>
          <w:rStyle w:val="FootnoteReference"/>
        </w:rPr>
        <w:footnoteReference w:id="21"/>
      </w:r>
      <w:r w:rsidR="00A93E72">
        <w:t xml:space="preserve"> and capable of expanding its existing network </w:t>
      </w:r>
      <w:r w:rsidR="002B6F65">
        <w:t xml:space="preserve">without a “significant risk of default” of the Commission’s </w:t>
      </w:r>
      <w:r w:rsidR="00400675">
        <w:t>deployment obligations.</w:t>
      </w:r>
      <w:r>
        <w:rPr>
          <w:rStyle w:val="FootnoteReference"/>
        </w:rPr>
        <w:footnoteReference w:id="22"/>
      </w:r>
      <w:r w:rsidR="00A15281">
        <w:t xml:space="preserve"> </w:t>
      </w:r>
      <w:r w:rsidR="00826F27">
        <w:t xml:space="preserve"> </w:t>
      </w:r>
    </w:p>
    <w:p w:rsidR="00F63239" w:rsidP="00BF41AC" w14:paraId="47742E61" w14:textId="47281528">
      <w:pPr>
        <w:pStyle w:val="ParaNum"/>
      </w:pPr>
      <w:r>
        <w:t xml:space="preserve">However, Blackburn </w:t>
      </w:r>
      <w:r w:rsidR="00246BE7">
        <w:t>does not simply wish to compete on even footing with other service providers in the Unie</w:t>
      </w:r>
      <w:r w:rsidR="00062941">
        <w:t xml:space="preserve">ndo a Puerto Rico Fund, but </w:t>
      </w:r>
      <w:r w:rsidR="005C0FEC">
        <w:t xml:space="preserve">instead proposes </w:t>
      </w:r>
      <w:r w:rsidR="00713677">
        <w:t xml:space="preserve">using any universal service support it </w:t>
      </w:r>
      <w:r w:rsidR="00713677">
        <w:t xml:space="preserve">may win through the competitive process to </w:t>
      </w:r>
      <w:r w:rsidR="00EF3A43">
        <w:t>expand its wholesale network</w:t>
      </w:r>
      <w:r w:rsidR="00A23EDB">
        <w:t xml:space="preserve"> </w:t>
      </w:r>
      <w:r w:rsidR="00EF3A43">
        <w:t xml:space="preserve">in hopes that other service providers will eventually come along and agree to serve </w:t>
      </w:r>
      <w:r w:rsidR="00B33A55">
        <w:t>the homes and businesses in its service area</w:t>
      </w:r>
      <w:r w:rsidR="00A23EDB">
        <w:t xml:space="preserve"> rather than providing service to those consumers itself</w:t>
      </w:r>
      <w:r w:rsidR="00B33A55">
        <w:t>.</w:t>
      </w:r>
      <w:r>
        <w:rPr>
          <w:rStyle w:val="FootnoteReference"/>
        </w:rPr>
        <w:footnoteReference w:id="23"/>
      </w:r>
      <w:r w:rsidR="00AE2742">
        <w:t xml:space="preserve">  </w:t>
      </w:r>
      <w:r w:rsidR="00EE05E8">
        <w:t xml:space="preserve">Blackburn argues that granting its waiver petition will advance the Commission’s goal </w:t>
      </w:r>
      <w:r w:rsidR="00B540A7">
        <w:t>to improve and expand</w:t>
      </w:r>
      <w:r w:rsidR="00EE05E8">
        <w:t xml:space="preserve"> broadband networks in Puerto Rico as a result of its wholesale model.</w:t>
      </w:r>
      <w:r>
        <w:rPr>
          <w:rStyle w:val="FootnoteReference"/>
        </w:rPr>
        <w:footnoteReference w:id="24"/>
      </w:r>
      <w:r w:rsidR="00AE2742">
        <w:t xml:space="preserve">  We disagree.</w:t>
      </w:r>
    </w:p>
    <w:p w:rsidR="0026585C" w:rsidP="008859C9" w14:paraId="567C4A7C" w14:textId="1B541189">
      <w:pPr>
        <w:pStyle w:val="ParaNum"/>
      </w:pPr>
      <w:r>
        <w:t>For Puerto Ric</w:t>
      </w:r>
      <w:r w:rsidR="005A68AD">
        <w:t>o</w:t>
      </w:r>
      <w:r>
        <w:t xml:space="preserve">, as well as the </w:t>
      </w:r>
      <w:r w:rsidR="005A68AD">
        <w:t>U.S. Virgin Islands</w:t>
      </w:r>
      <w:r>
        <w:t xml:space="preserve">, the Commission concluded that the provision of resilient service to all </w:t>
      </w:r>
      <w:r w:rsidR="004061BB">
        <w:t xml:space="preserve">locations </w:t>
      </w:r>
      <w:r>
        <w:t xml:space="preserve">in the Territories was of significant public interest following </w:t>
      </w:r>
      <w:r w:rsidR="00E14847">
        <w:t xml:space="preserve">the devastation of </w:t>
      </w:r>
      <w:r>
        <w:t>Hurricanes Irma and Maria</w:t>
      </w:r>
      <w:r w:rsidR="00427707">
        <w:t>.</w:t>
      </w:r>
      <w:r>
        <w:rPr>
          <w:rStyle w:val="FootnoteReference"/>
        </w:rPr>
        <w:footnoteReference w:id="25"/>
      </w:r>
      <w:r w:rsidR="00E14847">
        <w:t xml:space="preserve">  </w:t>
      </w:r>
      <w:r w:rsidR="00BD7B47">
        <w:t>T</w:t>
      </w:r>
      <w:r w:rsidR="001F3E37">
        <w:t xml:space="preserve">o this end, the Commission </w:t>
      </w:r>
      <w:r w:rsidR="00F04C3C">
        <w:t>designed the competitive process to ensure that end users will receive quality servi</w:t>
      </w:r>
      <w:r w:rsidR="00A00DB9">
        <w:t>ce</w:t>
      </w:r>
      <w:r w:rsidR="00263598">
        <w:t xml:space="preserve"> </w:t>
      </w:r>
      <w:r w:rsidR="00253B55">
        <w:t>supported by program funding</w:t>
      </w:r>
      <w:r w:rsidR="00FA2987">
        <w:t xml:space="preserve">.  </w:t>
      </w:r>
      <w:r w:rsidR="00445D57">
        <w:t xml:space="preserve">Like the Commission’s other high-cost universal service programs, the Commission accomplishes </w:t>
      </w:r>
      <w:r w:rsidR="00DF6754">
        <w:t>its universal service</w:t>
      </w:r>
      <w:r w:rsidR="00445D57">
        <w:t xml:space="preserve"> goal</w:t>
      </w:r>
      <w:r w:rsidR="00DF6754">
        <w:t>s</w:t>
      </w:r>
      <w:r w:rsidR="00445D57">
        <w:t xml:space="preserve"> by requir</w:t>
      </w:r>
      <w:r w:rsidR="00DF6754">
        <w:t>ing</w:t>
      </w:r>
      <w:r w:rsidR="00445D57">
        <w:t xml:space="preserve"> recipients of Uniendo a Puerto Rico Fund and Connect USVI Fund support to offer voice and broadband service to the homes and businesses in the recipients’ supported service areas.</w:t>
      </w:r>
      <w:r>
        <w:rPr>
          <w:rStyle w:val="FootnoteReference"/>
        </w:rPr>
        <w:footnoteReference w:id="26"/>
      </w:r>
      <w:r w:rsidR="00445D57">
        <w:t xml:space="preserve">  </w:t>
      </w:r>
      <w:r w:rsidR="007E2190">
        <w:t xml:space="preserve">This requirement is </w:t>
      </w:r>
      <w:r w:rsidR="005220AD">
        <w:t>fundamental</w:t>
      </w:r>
      <w:r w:rsidR="007E2190">
        <w:t xml:space="preserve"> to</w:t>
      </w:r>
      <w:r w:rsidR="00DB08E6">
        <w:t xml:space="preserve"> realizing Congress’s direction to the</w:t>
      </w:r>
      <w:r w:rsidR="005220AD">
        <w:t xml:space="preserve"> Commission to ensure </w:t>
      </w:r>
      <w:r w:rsidR="00A56ADE">
        <w:t>the availability to all consumers of services that</w:t>
      </w:r>
      <w:r w:rsidR="00DB08E6">
        <w:t xml:space="preserve"> </w:t>
      </w:r>
      <w:r w:rsidR="001B282F">
        <w:t>“</w:t>
      </w:r>
      <w:r w:rsidRPr="00DB08E6" w:rsidR="00DB08E6">
        <w:t xml:space="preserve">are reasonably comparable to those services provided in urban areas and </w:t>
      </w:r>
      <w:r w:rsidRPr="001B282F" w:rsidR="00DB08E6">
        <w:t>that are available at rates that are reasonably comparable to rates charged for similar services in urban areas</w:t>
      </w:r>
      <w:r w:rsidR="00A56ADE">
        <w:t>.</w:t>
      </w:r>
      <w:r w:rsidR="001B282F">
        <w:t>”</w:t>
      </w:r>
      <w:r>
        <w:rPr>
          <w:rStyle w:val="FootnoteReference"/>
        </w:rPr>
        <w:footnoteReference w:id="27"/>
      </w:r>
      <w:r w:rsidR="00445D57">
        <w:t xml:space="preserve">  </w:t>
      </w:r>
    </w:p>
    <w:p w:rsidR="00356EEF" w:rsidP="00DC0AB5" w14:paraId="61A2ADF0" w14:textId="3E3860B9">
      <w:pPr>
        <w:pStyle w:val="ParaNum"/>
      </w:pPr>
      <w:r>
        <w:t xml:space="preserve">The Commission’s </w:t>
      </w:r>
      <w:r w:rsidR="00EC3C47">
        <w:t xml:space="preserve">goal to bring telecommunications service </w:t>
      </w:r>
      <w:r w:rsidR="00FA2987">
        <w:t xml:space="preserve">directly </w:t>
      </w:r>
      <w:r w:rsidR="00EC3C47">
        <w:t xml:space="preserve">to all </w:t>
      </w:r>
      <w:r w:rsidR="00DC1CAF">
        <w:t xml:space="preserve">consumers </w:t>
      </w:r>
      <w:r w:rsidR="001C0731">
        <w:t xml:space="preserve">in Puerto Rico </w:t>
      </w:r>
      <w:r w:rsidR="00221AAF">
        <w:t>cannot</w:t>
      </w:r>
      <w:r w:rsidR="003F28AC">
        <w:t xml:space="preserve"> be achieved </w:t>
      </w:r>
      <w:r w:rsidR="005D2F32">
        <w:t xml:space="preserve">by </w:t>
      </w:r>
      <w:r w:rsidR="00FA2987">
        <w:t xml:space="preserve">funding </w:t>
      </w:r>
      <w:r w:rsidR="005D2F32">
        <w:t xml:space="preserve">Blackburn’s wholesale broadband </w:t>
      </w:r>
      <w:r w:rsidR="00AE4D22">
        <w:t>network</w:t>
      </w:r>
      <w:r w:rsidR="0031694D">
        <w:t>,</w:t>
      </w:r>
      <w:r w:rsidR="006F5F30">
        <w:t xml:space="preserve"> based on the record</w:t>
      </w:r>
      <w:r w:rsidR="0031694D">
        <w:t xml:space="preserve"> before us</w:t>
      </w:r>
      <w:r w:rsidR="00AE4D22">
        <w:t xml:space="preserve">.  </w:t>
      </w:r>
      <w:r w:rsidR="00E54693">
        <w:t xml:space="preserve">In </w:t>
      </w:r>
      <w:r w:rsidR="007A7F2C">
        <w:t>particular</w:t>
      </w:r>
      <w:r w:rsidR="00E54693">
        <w:t>, Blackburn states that it is purely a wholesale provider and does not provide retail services to end users.</w:t>
      </w:r>
      <w:r>
        <w:rPr>
          <w:rStyle w:val="FootnoteReference"/>
        </w:rPr>
        <w:footnoteReference w:id="28"/>
      </w:r>
      <w:r w:rsidR="00E54693">
        <w:t xml:space="preserve">  Nor does Blackburn commit</w:t>
      </w:r>
      <w:r w:rsidR="00FA2987">
        <w:t xml:space="preserve"> </w:t>
      </w:r>
      <w:r w:rsidR="00E54693">
        <w:t xml:space="preserve">to </w:t>
      </w:r>
      <w:r w:rsidR="00FA2987">
        <w:t xml:space="preserve">the Commission or the Puerto Rico </w:t>
      </w:r>
      <w:r w:rsidR="00952078">
        <w:t xml:space="preserve">Telecommunications Regulatory Board that it will </w:t>
      </w:r>
      <w:r w:rsidR="00E54693">
        <w:t>mak</w:t>
      </w:r>
      <w:r w:rsidR="00952078">
        <w:t>e</w:t>
      </w:r>
      <w:r w:rsidR="00E54693">
        <w:t xml:space="preserve"> voice and broadband services directly available to residents should its waiver be granted</w:t>
      </w:r>
      <w:r w:rsidR="00952078">
        <w:t>.  In fact, Blackburn</w:t>
      </w:r>
      <w:r w:rsidR="00E54693">
        <w:t xml:space="preserve"> </w:t>
      </w:r>
      <w:r w:rsidR="00952078">
        <w:t xml:space="preserve">states that it </w:t>
      </w:r>
      <w:r w:rsidR="00E54693">
        <w:t>remains committed to serving its wholesale customers.</w:t>
      </w:r>
      <w:r>
        <w:rPr>
          <w:rStyle w:val="FootnoteReference"/>
        </w:rPr>
        <w:footnoteReference w:id="29"/>
      </w:r>
      <w:r w:rsidR="00E54693">
        <w:t xml:space="preserve">  </w:t>
      </w:r>
      <w:r w:rsidR="00A547EF">
        <w:t xml:space="preserve">We disagree that </w:t>
      </w:r>
      <w:r w:rsidR="005D0E41">
        <w:t>Blackburn</w:t>
      </w:r>
      <w:r w:rsidR="002A49BE">
        <w:t xml:space="preserve">’s “end-to-end” </w:t>
      </w:r>
      <w:r w:rsidR="005F00E5">
        <w:t xml:space="preserve">wholesale </w:t>
      </w:r>
      <w:r w:rsidR="002A49BE">
        <w:t xml:space="preserve">network </w:t>
      </w:r>
      <w:r w:rsidR="001C4E99">
        <w:t xml:space="preserve">meets </w:t>
      </w:r>
      <w:r w:rsidR="001B6D10">
        <w:t xml:space="preserve">the </w:t>
      </w:r>
      <w:r w:rsidR="001B6D10">
        <w:t>requirement to provide service to all end users</w:t>
      </w:r>
      <w:r w:rsidR="00C851F2">
        <w:t>.</w:t>
      </w:r>
      <w:r>
        <w:rPr>
          <w:rStyle w:val="FootnoteReference"/>
        </w:rPr>
        <w:footnoteReference w:id="30"/>
      </w:r>
      <w:r w:rsidR="00C851F2">
        <w:t xml:space="preserve">  </w:t>
      </w:r>
      <w:r w:rsidR="005E3495">
        <w:t xml:space="preserve">Rather than making service available to </w:t>
      </w:r>
      <w:r w:rsidR="00F96C6D">
        <w:t xml:space="preserve">all </w:t>
      </w:r>
      <w:r w:rsidR="005E3495">
        <w:t>consumers as req</w:t>
      </w:r>
      <w:r w:rsidR="00F97CC1">
        <w:t xml:space="preserve">uired, Blackburn </w:t>
      </w:r>
      <w:r w:rsidR="005D0E41">
        <w:t xml:space="preserve">deflects </w:t>
      </w:r>
      <w:r w:rsidR="004205DE">
        <w:t>fulfilling</w:t>
      </w:r>
      <w:r w:rsidR="005D0E41">
        <w:t xml:space="preserve"> the requisite </w:t>
      </w:r>
      <w:r w:rsidR="00F97CC1">
        <w:t>end</w:t>
      </w:r>
      <w:r w:rsidR="00BA5C39">
        <w:t xml:space="preserve"> </w:t>
      </w:r>
      <w:r w:rsidR="00F97CC1">
        <w:t xml:space="preserve">user </w:t>
      </w:r>
      <w:r w:rsidR="005D0E41">
        <w:t>service onto the company’s wholesale customers</w:t>
      </w:r>
      <w:r w:rsidR="0048068D">
        <w:t xml:space="preserve"> to provide retail services to consumers</w:t>
      </w:r>
      <w:r w:rsidR="00233983">
        <w:t xml:space="preserve">.  Blackburn presents </w:t>
      </w:r>
      <w:r w:rsidR="001B0D80">
        <w:t xml:space="preserve">only </w:t>
      </w:r>
      <w:r w:rsidR="00233983">
        <w:t xml:space="preserve">a </w:t>
      </w:r>
      <w:r w:rsidR="00D326E4">
        <w:t xml:space="preserve">best-case </w:t>
      </w:r>
      <w:r w:rsidR="00233983">
        <w:t xml:space="preserve">hypothetical </w:t>
      </w:r>
      <w:r w:rsidR="00D326E4">
        <w:t xml:space="preserve">in </w:t>
      </w:r>
      <w:r w:rsidR="005D0E41">
        <w:t>which</w:t>
      </w:r>
      <w:r w:rsidR="00D326E4">
        <w:t xml:space="preserve"> it</w:t>
      </w:r>
      <w:r w:rsidR="009C7040">
        <w:t xml:space="preserve"> is able to secure</w:t>
      </w:r>
      <w:r w:rsidR="00D326E4">
        <w:t xml:space="preserve"> whole</w:t>
      </w:r>
      <w:r w:rsidR="00F46DCC">
        <w:t>sale customer</w:t>
      </w:r>
      <w:r w:rsidR="00043E20">
        <w:t>s</w:t>
      </w:r>
      <w:r w:rsidR="005D0E41">
        <w:t xml:space="preserve"> </w:t>
      </w:r>
      <w:r w:rsidR="00441D39">
        <w:t>to serve</w:t>
      </w:r>
      <w:r w:rsidR="005D0E41">
        <w:t xml:space="preserve"> all locations in </w:t>
      </w:r>
      <w:r w:rsidR="000D3683">
        <w:t xml:space="preserve">the geographic areas </w:t>
      </w:r>
      <w:r w:rsidR="00CA0020">
        <w:t>for</w:t>
      </w:r>
      <w:r w:rsidR="00A11D9D">
        <w:t xml:space="preserve"> which </w:t>
      </w:r>
      <w:r w:rsidR="001B78B0">
        <w:t xml:space="preserve">Blackburn </w:t>
      </w:r>
      <w:r w:rsidR="00A11D9D">
        <w:t>may receive support</w:t>
      </w:r>
      <w:r w:rsidR="00441D39">
        <w:t xml:space="preserve"> and that those </w:t>
      </w:r>
      <w:r w:rsidR="002C4C5B">
        <w:t xml:space="preserve">wholesale </w:t>
      </w:r>
      <w:r w:rsidR="00441D39">
        <w:t>customers</w:t>
      </w:r>
      <w:r w:rsidR="00B04EC0">
        <w:t xml:space="preserve"> will provide the supported services</w:t>
      </w:r>
      <w:r w:rsidR="00073E8C">
        <w:t xml:space="preserve"> at authorized rates</w:t>
      </w:r>
      <w:r w:rsidR="00FC3DE7">
        <w:t xml:space="preserve">.  </w:t>
      </w:r>
      <w:r w:rsidR="004718C4">
        <w:t>Blackburn can make no such guarantees</w:t>
      </w:r>
      <w:r w:rsidR="00F27BA3">
        <w:t>.</w:t>
      </w:r>
      <w:r>
        <w:rPr>
          <w:rStyle w:val="FootnoteReference"/>
        </w:rPr>
        <w:footnoteReference w:id="31"/>
      </w:r>
      <w:r w:rsidR="006A1C40">
        <w:t xml:space="preserve">  M</w:t>
      </w:r>
      <w:r w:rsidR="00D147AB">
        <w:t>oreover, directly funding Blackburn’s wholesale model would undermine the Commission’s ability to ensure that any services o</w:t>
      </w:r>
      <w:r w:rsidR="00C675AE">
        <w:t>ffered over its universal service-funded network met the performance and price requirements of our rules.</w:t>
      </w:r>
      <w:r w:rsidR="00EA56D6">
        <w:t xml:space="preserve">  We </w:t>
      </w:r>
      <w:r w:rsidR="009A7E55">
        <w:t>therefore</w:t>
      </w:r>
      <w:r w:rsidR="00C675AE">
        <w:t xml:space="preserve"> must</w:t>
      </w:r>
      <w:r w:rsidR="009A7E55">
        <w:t xml:space="preserve"> </w:t>
      </w:r>
      <w:r w:rsidR="00EA56D6">
        <w:t>concl</w:t>
      </w:r>
      <w:r w:rsidR="002421EE">
        <w:t>ude</w:t>
      </w:r>
      <w:r w:rsidR="00C675AE">
        <w:t xml:space="preserve"> that</w:t>
      </w:r>
      <w:r w:rsidR="002421EE">
        <w:t xml:space="preserve"> Blackburn </w:t>
      </w:r>
      <w:r w:rsidR="00C23C05">
        <w:t>can</w:t>
      </w:r>
      <w:r w:rsidR="000D2A03">
        <w:t xml:space="preserve">not </w:t>
      </w:r>
      <w:r w:rsidR="002421EE">
        <w:t xml:space="preserve">meet </w:t>
      </w:r>
      <w:r w:rsidR="00D21989">
        <w:t>the required service requirements by</w:t>
      </w:r>
      <w:r w:rsidR="00EA56D6">
        <w:t xml:space="preserve"> merely mak</w:t>
      </w:r>
      <w:r w:rsidR="00D21989">
        <w:t>ing</w:t>
      </w:r>
      <w:r w:rsidR="00EA56D6">
        <w:t xml:space="preserve"> its network available to third-party </w:t>
      </w:r>
      <w:r w:rsidR="00C31078">
        <w:t xml:space="preserve">customers who </w:t>
      </w:r>
      <w:r w:rsidR="00EA56D6">
        <w:t xml:space="preserve">provide </w:t>
      </w:r>
      <w:r w:rsidR="00C31078">
        <w:t xml:space="preserve">retail </w:t>
      </w:r>
      <w:r w:rsidR="00EA56D6">
        <w:t xml:space="preserve">services to </w:t>
      </w:r>
      <w:r w:rsidR="00C31078">
        <w:t xml:space="preserve">some </w:t>
      </w:r>
      <w:r w:rsidR="00EA56D6">
        <w:t>end</w:t>
      </w:r>
      <w:r w:rsidR="00C31078">
        <w:t xml:space="preserve"> </w:t>
      </w:r>
      <w:r w:rsidR="00EA56D6">
        <w:t>users.</w:t>
      </w:r>
      <w:r>
        <w:rPr>
          <w:rStyle w:val="FootnoteReference"/>
        </w:rPr>
        <w:footnoteReference w:id="32"/>
      </w:r>
    </w:p>
    <w:p w:rsidR="000E38A9" w:rsidP="00BD29B9" w14:paraId="7C4B59B7" w14:textId="7FEC9B73">
      <w:pPr>
        <w:pStyle w:val="ParaNum"/>
      </w:pPr>
      <w:r>
        <w:t xml:space="preserve">This likewise </w:t>
      </w:r>
      <w:r w:rsidR="00334878">
        <w:t xml:space="preserve">necessitates our </w:t>
      </w:r>
      <w:r w:rsidR="00EE05E8">
        <w:t>conclu</w:t>
      </w:r>
      <w:r w:rsidR="00334878">
        <w:t>sion</w:t>
      </w:r>
      <w:r w:rsidR="00EE05E8">
        <w:t xml:space="preserve"> that </w:t>
      </w:r>
      <w:r w:rsidR="00334878">
        <w:t xml:space="preserve">we should deny </w:t>
      </w:r>
      <w:r w:rsidR="00826F27">
        <w:t>Blackburn</w:t>
      </w:r>
      <w:r w:rsidR="00334878">
        <w:t xml:space="preserve">’s </w:t>
      </w:r>
      <w:r w:rsidR="00A576C2">
        <w:t>request to waive the requirement of</w:t>
      </w:r>
      <w:r w:rsidR="00826F27">
        <w:t xml:space="preserve"> the Stage 2 competitive process </w:t>
      </w:r>
      <w:r w:rsidR="00A576C2">
        <w:t>that</w:t>
      </w:r>
      <w:r w:rsidR="00EE05E8">
        <w:t xml:space="preserve"> it </w:t>
      </w:r>
      <w:r w:rsidR="00A576C2">
        <w:t xml:space="preserve">have </w:t>
      </w:r>
      <w:r w:rsidR="00EE05E8">
        <w:t>file</w:t>
      </w:r>
      <w:r w:rsidR="00A576C2">
        <w:t>d</w:t>
      </w:r>
      <w:r w:rsidR="00EE05E8">
        <w:t xml:space="preserve"> a </w:t>
      </w:r>
      <w:r w:rsidR="00826F27">
        <w:t>June 2018 FCC Form 477.</w:t>
      </w:r>
      <w:r>
        <w:rPr>
          <w:rStyle w:val="FootnoteReference"/>
        </w:rPr>
        <w:footnoteReference w:id="33"/>
      </w:r>
      <w:r w:rsidR="00826F27">
        <w:t xml:space="preserve"> </w:t>
      </w:r>
      <w:r w:rsidR="00805DB2">
        <w:t xml:space="preserve"> Blackburn contends that there is good cause to grant a waiver of the FCC Form 477-based eligibility requirement because</w:t>
      </w:r>
      <w:r w:rsidR="00864EC3">
        <w:t xml:space="preserve"> the requirement is an arbitrary </w:t>
      </w:r>
      <w:r w:rsidR="00104360">
        <w:t>“</w:t>
      </w:r>
      <w:r w:rsidR="00864EC3">
        <w:t>proxy</w:t>
      </w:r>
      <w:r w:rsidR="00104360">
        <w:t xml:space="preserve"> for determining eligibility” for experienced providers</w:t>
      </w:r>
      <w:r w:rsidR="00416FE8">
        <w:t xml:space="preserve"> that may successfully meet the </w:t>
      </w:r>
      <w:r w:rsidR="000E4A04">
        <w:t>service obligations.</w:t>
      </w:r>
      <w:r w:rsidRPr="00F4319D" w:rsidR="00F4319D">
        <w:rPr>
          <w:rStyle w:val="FootnoteReference"/>
        </w:rPr>
        <w:t xml:space="preserve"> </w:t>
      </w:r>
      <w:r>
        <w:rPr>
          <w:rStyle w:val="FootnoteReference"/>
        </w:rPr>
        <w:footnoteReference w:id="34"/>
      </w:r>
      <w:r w:rsidR="000E4A04">
        <w:t xml:space="preserve">  Blackburn </w:t>
      </w:r>
      <w:r w:rsidR="00FD19F1">
        <w:t>ar</w:t>
      </w:r>
      <w:r w:rsidR="00C8263C">
        <w:t xml:space="preserve">gues </w:t>
      </w:r>
      <w:r w:rsidR="000E4A04">
        <w:t>that</w:t>
      </w:r>
      <w:r w:rsidR="00805DB2">
        <w:t>, as a wholesale provider that does not serve end</w:t>
      </w:r>
      <w:r w:rsidR="00A25146">
        <w:t xml:space="preserve"> </w:t>
      </w:r>
      <w:r w:rsidR="00805DB2">
        <w:t>users, it is not required to file a FCC Form 477</w:t>
      </w:r>
      <w:r w:rsidR="008E5E33">
        <w:t>, but that it nevertheless has sufficient experience to justify participating in the program</w:t>
      </w:r>
      <w:r w:rsidR="00805DB2">
        <w:t>.</w:t>
      </w:r>
      <w:r>
        <w:rPr>
          <w:rStyle w:val="FootnoteReference"/>
        </w:rPr>
        <w:footnoteReference w:id="35"/>
      </w:r>
      <w:r w:rsidR="00943BE2">
        <w:t xml:space="preserve"> </w:t>
      </w:r>
      <w:r w:rsidR="003941D9">
        <w:t xml:space="preserve"> </w:t>
      </w:r>
      <w:r w:rsidRPr="00236BBC" w:rsidR="00805DB2">
        <w:t xml:space="preserve"> </w:t>
      </w:r>
      <w:r w:rsidR="00805DB2">
        <w:t xml:space="preserve">  </w:t>
      </w:r>
      <w:r w:rsidR="00CD5733">
        <w:t xml:space="preserve"> </w:t>
      </w:r>
      <w:r w:rsidR="00494E87">
        <w:t xml:space="preserve"> </w:t>
      </w:r>
    </w:p>
    <w:p w:rsidR="00D260D1" w:rsidP="00D260D1" w14:paraId="26076C96" w14:textId="3A4C735E">
      <w:pPr>
        <w:pStyle w:val="ParaNum"/>
      </w:pPr>
      <w:r>
        <w:t xml:space="preserve">The Commission </w:t>
      </w:r>
      <w:r w:rsidR="00741B62">
        <w:t xml:space="preserve">expressly </w:t>
      </w:r>
      <w:r>
        <w:t>limit</w:t>
      </w:r>
      <w:r w:rsidR="00741B62">
        <w:t>ed</w:t>
      </w:r>
      <w:r>
        <w:t xml:space="preserve"> program participation to providers that can establish to the Commission’s satisfaction they have experience serving retail customers in Puerto Rico and can meet the program’s service requirements</w:t>
      </w:r>
      <w:r w:rsidR="008626FA">
        <w:t xml:space="preserve"> in order to ensure that finite universal service support is spent wisely and will advance the Commission’s goals of closing the digital divide</w:t>
      </w:r>
      <w:r>
        <w:t>.</w:t>
      </w:r>
      <w:r>
        <w:rPr>
          <w:rStyle w:val="FootnoteReference"/>
        </w:rPr>
        <w:footnoteReference w:id="36"/>
      </w:r>
      <w:r>
        <w:t xml:space="preserve">  </w:t>
      </w:r>
      <w:r w:rsidR="00DE162A">
        <w:t xml:space="preserve">The Commission concluded that those providers with experience providing </w:t>
      </w:r>
      <w:r w:rsidR="003D4765">
        <w:t>service to end users</w:t>
      </w:r>
      <w:r w:rsidR="006418A2">
        <w:t>—</w:t>
      </w:r>
      <w:r w:rsidR="00EA42E5">
        <w:t>and thus required to file Form 477</w:t>
      </w:r>
      <w:r w:rsidR="006418A2">
        <w:t>—</w:t>
      </w:r>
      <w:r w:rsidR="003D4765">
        <w:t xml:space="preserve">in the Territories are best positioned </w:t>
      </w:r>
      <w:r w:rsidR="00536E84">
        <w:t xml:space="preserve">to </w:t>
      </w:r>
      <w:r w:rsidR="007B0B42">
        <w:t xml:space="preserve">meet deployment and service requirements </w:t>
      </w:r>
      <w:r w:rsidR="00AC4350">
        <w:t>with the least risk of default.</w:t>
      </w:r>
      <w:r>
        <w:rPr>
          <w:rStyle w:val="FootnoteReference"/>
        </w:rPr>
        <w:footnoteReference w:id="37"/>
      </w:r>
      <w:r w:rsidR="00B74A38">
        <w:t xml:space="preserve">  </w:t>
      </w:r>
      <w:r w:rsidR="000521DB">
        <w:t xml:space="preserve">We need not determine whether </w:t>
      </w:r>
      <w:r w:rsidR="0041357A">
        <w:t xml:space="preserve">Blackburn’s experience </w:t>
      </w:r>
      <w:r w:rsidR="008809B3">
        <w:t xml:space="preserve">as a wholesale provider </w:t>
      </w:r>
      <w:r w:rsidR="000375A3">
        <w:t>is equivalent to the experience of facilities-based providers serving end-user customers because</w:t>
      </w:r>
      <w:r w:rsidR="002A3B4F">
        <w:t>,</w:t>
      </w:r>
      <w:r w:rsidR="000375A3">
        <w:t xml:space="preserve"> </w:t>
      </w:r>
      <w:r w:rsidR="00682AAF">
        <w:t>as discussed above</w:t>
      </w:r>
      <w:r w:rsidR="002A3B4F">
        <w:t>,</w:t>
      </w:r>
      <w:r w:rsidR="00682AAF">
        <w:t xml:space="preserve"> </w:t>
      </w:r>
      <w:r w:rsidR="005C376F">
        <w:t xml:space="preserve">it is plainly contrary to the public </w:t>
      </w:r>
      <w:r w:rsidR="000F26DC">
        <w:t xml:space="preserve">interest to </w:t>
      </w:r>
      <w:r w:rsidR="005739B9">
        <w:t xml:space="preserve">permit an entity such as Blackburn to </w:t>
      </w:r>
      <w:r w:rsidR="00682AAF">
        <w:t xml:space="preserve">participate in a universal service program </w:t>
      </w:r>
      <w:r w:rsidR="00BC6974">
        <w:t>in which it has disclaimed any willingness to meet the fundamental public interest obligations that all recipients of high-cost universal service support must meet.</w:t>
      </w:r>
    </w:p>
    <w:p w:rsidR="00E37E61" w:rsidP="00C20457" w14:paraId="783B3F34" w14:textId="3E476B25">
      <w:pPr>
        <w:pStyle w:val="ParaNum"/>
      </w:pPr>
      <w:r>
        <w:t xml:space="preserve">We are unpersuaded by commenters citing the need for additional competition in the local telecommunications market.  </w:t>
      </w:r>
      <w:r w:rsidRPr="00055CD7">
        <w:t>Even assuming that Blackburn’s business model spurs greater competition in the Stage 2 competitive process, Blackburn</w:t>
      </w:r>
      <w:r>
        <w:t>’s</w:t>
      </w:r>
      <w:r w:rsidRPr="00055CD7">
        <w:t xml:space="preserve"> participation in the Stage 2 process </w:t>
      </w:r>
      <w:r>
        <w:t>would</w:t>
      </w:r>
      <w:r w:rsidRPr="00055CD7">
        <w:t xml:space="preserve"> </w:t>
      </w:r>
      <w:r w:rsidRPr="00055CD7">
        <w:t xml:space="preserve">further its own wholesale network </w:t>
      </w:r>
      <w:r>
        <w:t>but</w:t>
      </w:r>
      <w:r w:rsidRPr="00055CD7">
        <w:t xml:space="preserve"> divert limited </w:t>
      </w:r>
      <w:r w:rsidR="00C91F8F">
        <w:t xml:space="preserve">program funding </w:t>
      </w:r>
      <w:r w:rsidRPr="00055CD7">
        <w:t>from</w:t>
      </w:r>
      <w:r w:rsidR="004A7488">
        <w:t xml:space="preserve"> directly supporting access to all</w:t>
      </w:r>
      <w:r>
        <w:t xml:space="preserve"> end users</w:t>
      </w:r>
      <w:r w:rsidRPr="00055CD7">
        <w:t>, thereby frustrating universal service principles of section 254(b).</w:t>
      </w:r>
      <w:r>
        <w:rPr>
          <w:rStyle w:val="FootnoteReference"/>
        </w:rPr>
        <w:footnoteReference w:id="38"/>
      </w:r>
      <w:r w:rsidRPr="00055CD7">
        <w:t xml:space="preserve">  We therefore conclude the public interest is not served by waiving provider eligibility requirements to allow Blackburn to compete for, and thus divert, limited fixed high-cost support available as part the Stage 2 competitive process away from end</w:t>
      </w:r>
      <w:r w:rsidR="00D80DFF">
        <w:t xml:space="preserve"> </w:t>
      </w:r>
      <w:r w:rsidRPr="00055CD7">
        <w:t>users in Puerto Rico for the deployment of its wholesale network.</w:t>
      </w:r>
    </w:p>
    <w:p w:rsidR="00303E3E" w:rsidRPr="00FA04B0" w:rsidP="00303E3E" w14:paraId="10ED3F42" w14:textId="6CF585C3">
      <w:pPr>
        <w:pStyle w:val="ParaNum"/>
      </w:pPr>
      <w:r>
        <w:t>For these reasons</w:t>
      </w:r>
      <w:r w:rsidR="000E38A9">
        <w:t xml:space="preserve"> explained above</w:t>
      </w:r>
      <w:r>
        <w:t xml:space="preserve">, </w:t>
      </w:r>
      <w:r w:rsidR="00E222BA">
        <w:t xml:space="preserve">we deny Blackburn’s waiver </w:t>
      </w:r>
      <w:r w:rsidR="004662AE">
        <w:t>petition.</w:t>
      </w:r>
      <w:r w:rsidR="00E222BA">
        <w:t xml:space="preserve">  </w:t>
      </w:r>
    </w:p>
    <w:p w:rsidR="00303E3E" w:rsidP="00303E3E" w14:paraId="78A07820" w14:textId="77777777">
      <w:pPr>
        <w:pStyle w:val="Heading1"/>
      </w:pPr>
      <w:r>
        <w:t>ordering clauses</w:t>
      </w:r>
    </w:p>
    <w:p w:rsidR="00303E3E" w:rsidP="00303E3E" w14:paraId="3F2D69D2"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303E3E" w:rsidP="00034D3A" w14:paraId="085B6974" w14:textId="3FB07C7B">
      <w:pPr>
        <w:pStyle w:val="ParaNum"/>
      </w:pPr>
      <w:r>
        <w:t xml:space="preserve">IT IS FURTHER ORDERED that the </w:t>
      </w:r>
      <w:r w:rsidR="007D2407">
        <w:t xml:space="preserve">Request </w:t>
      </w:r>
      <w:r>
        <w:t xml:space="preserve">for Waiver filed by Blackburn Technologies II, LLC </w:t>
      </w:r>
      <w:r w:rsidR="00034D3A">
        <w:t xml:space="preserve">June 29, </w:t>
      </w:r>
      <w:r>
        <w:t>2020 is DENIED.</w:t>
      </w:r>
    </w:p>
    <w:p w:rsidR="00303E3E" w:rsidP="00303E3E" w14:paraId="35E948DB" w14:textId="77777777">
      <w:pPr>
        <w:pStyle w:val="ParaNum"/>
      </w:pPr>
      <w:r w:rsidRPr="0019242C">
        <w:t>IT IS FURTHER ORDERED that, pursuant to section 1.102(b)(1) of the Commission’s rules, 47 CFR § 1.102(b)(1), this Order SHALL BE EFFECTIVE upon release.</w:t>
      </w:r>
    </w:p>
    <w:p w:rsidR="00303E3E" w:rsidP="00303E3E" w14:paraId="519CB87F" w14:textId="77777777">
      <w:pPr>
        <w:pStyle w:val="ParaNum"/>
        <w:numPr>
          <w:ilvl w:val="0"/>
          <w:numId w:val="0"/>
        </w:numPr>
        <w:spacing w:after="0"/>
        <w:ind w:left="2880" w:firstLine="1440"/>
      </w:pPr>
      <w:r>
        <w:t>FEDERAL COMMUNICATIONS COMMISSION</w:t>
      </w:r>
    </w:p>
    <w:p w:rsidR="00303E3E" w:rsidP="00303E3E" w14:paraId="045ED029" w14:textId="77777777">
      <w:pPr>
        <w:pStyle w:val="ParaNum"/>
        <w:numPr>
          <w:ilvl w:val="0"/>
          <w:numId w:val="0"/>
        </w:numPr>
        <w:spacing w:after="0"/>
        <w:ind w:left="720"/>
      </w:pPr>
    </w:p>
    <w:p w:rsidR="00303E3E" w:rsidP="00303E3E" w14:paraId="44645736" w14:textId="77777777">
      <w:pPr>
        <w:pStyle w:val="ParaNum"/>
        <w:numPr>
          <w:ilvl w:val="0"/>
          <w:numId w:val="0"/>
        </w:numPr>
        <w:spacing w:after="0"/>
        <w:ind w:left="720"/>
      </w:pPr>
    </w:p>
    <w:p w:rsidR="00303E3E" w:rsidP="00303E3E" w14:paraId="587293CC" w14:textId="77777777">
      <w:pPr>
        <w:pStyle w:val="ParaNum"/>
        <w:numPr>
          <w:ilvl w:val="0"/>
          <w:numId w:val="0"/>
        </w:numPr>
        <w:spacing w:after="0"/>
        <w:ind w:left="720"/>
      </w:pPr>
    </w:p>
    <w:p w:rsidR="00303E3E" w:rsidP="00303E3E" w14:paraId="3E9CE981" w14:textId="77777777">
      <w:pPr>
        <w:pStyle w:val="ParaNum"/>
        <w:numPr>
          <w:ilvl w:val="0"/>
          <w:numId w:val="0"/>
        </w:numPr>
        <w:spacing w:after="0"/>
        <w:ind w:left="720"/>
      </w:pPr>
    </w:p>
    <w:p w:rsidR="00303E3E" w:rsidP="00303E3E" w14:paraId="24B6BF06" w14:textId="77777777">
      <w:pPr>
        <w:pStyle w:val="ParaNum"/>
        <w:numPr>
          <w:ilvl w:val="0"/>
          <w:numId w:val="0"/>
        </w:numPr>
        <w:spacing w:after="0"/>
        <w:ind w:left="720"/>
      </w:pPr>
      <w:r>
        <w:tab/>
      </w:r>
      <w:r>
        <w:tab/>
      </w:r>
      <w:r>
        <w:tab/>
      </w:r>
      <w:r>
        <w:tab/>
      </w:r>
      <w:r>
        <w:tab/>
        <w:t>Kris Anne Monteith</w:t>
      </w:r>
    </w:p>
    <w:p w:rsidR="00303E3E" w:rsidP="00303E3E" w14:paraId="11CB15C2" w14:textId="77777777">
      <w:pPr>
        <w:pStyle w:val="ParaNum"/>
        <w:numPr>
          <w:ilvl w:val="0"/>
          <w:numId w:val="0"/>
        </w:numPr>
        <w:spacing w:after="0"/>
        <w:ind w:left="720"/>
      </w:pPr>
      <w:r>
        <w:tab/>
      </w:r>
      <w:r>
        <w:tab/>
      </w:r>
      <w:r>
        <w:tab/>
      </w:r>
      <w:r>
        <w:tab/>
      </w:r>
      <w:r>
        <w:tab/>
        <w:t>Chief</w:t>
      </w:r>
    </w:p>
    <w:p w:rsidR="00375F36" w:rsidRPr="00833CF9" w:rsidP="00034D3A" w14:paraId="4560B6DF" w14:textId="1C1AF274">
      <w:pPr>
        <w:pStyle w:val="ParaNum"/>
        <w:numPr>
          <w:ilvl w:val="0"/>
          <w:numId w:val="0"/>
        </w:numPr>
        <w:spacing w:after="0"/>
        <w:ind w:left="720"/>
      </w:pPr>
      <w:r>
        <w:tab/>
      </w:r>
      <w:r>
        <w:tab/>
      </w:r>
      <w:r>
        <w:tab/>
      </w:r>
      <w:r>
        <w:tab/>
      </w:r>
      <w:r>
        <w:tab/>
        <w:t>Wireline Competition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7B5B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6E89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61296" w14:paraId="79DF0F1A" w14:textId="14EFA2DF">
    <w:pPr>
      <w:pStyle w:val="Footer"/>
      <w:jc w:val="center"/>
    </w:pPr>
    <w:r>
      <w:fldChar w:fldCharType="begin"/>
    </w:r>
    <w:r>
      <w:instrText xml:space="preserve"> PAGE   \* MERGEFORMAT </w:instrText>
    </w:r>
    <w:r>
      <w:fldChar w:fldCharType="separate"/>
    </w:r>
    <w:r>
      <w:rPr>
        <w:noProof/>
      </w:rPr>
      <w:t>2</w:t>
    </w:r>
    <w:r>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FF01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5F54" w14:paraId="62D596EB" w14:textId="77777777">
      <w:r>
        <w:separator/>
      </w:r>
    </w:p>
  </w:footnote>
  <w:footnote w:type="continuationSeparator" w:id="1">
    <w:p w:rsidR="00A35F54" w:rsidP="00C721AC" w14:paraId="553F1139" w14:textId="77777777">
      <w:pPr>
        <w:spacing w:before="120"/>
        <w:rPr>
          <w:sz w:val="20"/>
        </w:rPr>
      </w:pPr>
      <w:r>
        <w:rPr>
          <w:sz w:val="20"/>
        </w:rPr>
        <w:t xml:space="preserve">(Continued from previous page)  </w:t>
      </w:r>
      <w:r>
        <w:rPr>
          <w:sz w:val="20"/>
        </w:rPr>
        <w:separator/>
      </w:r>
    </w:p>
  </w:footnote>
  <w:footnote w:type="continuationNotice" w:id="2">
    <w:p w:rsidR="00A35F54" w:rsidP="00C721AC" w14:paraId="4D0F8B2D" w14:textId="77777777">
      <w:pPr>
        <w:jc w:val="right"/>
        <w:rPr>
          <w:sz w:val="20"/>
        </w:rPr>
      </w:pPr>
      <w:r>
        <w:rPr>
          <w:sz w:val="20"/>
        </w:rPr>
        <w:t>(continued….)</w:t>
      </w:r>
    </w:p>
  </w:footnote>
  <w:footnote w:id="3">
    <w:p w:rsidR="00234C77" w14:paraId="21A64126" w14:textId="77777777">
      <w:pPr>
        <w:pStyle w:val="FootnoteText"/>
      </w:pPr>
      <w:r>
        <w:rPr>
          <w:rStyle w:val="FootnoteReference"/>
        </w:rPr>
        <w:footnoteRef/>
      </w:r>
      <w:r>
        <w:t xml:space="preserve"> Request for Waiver of Blackburn Technologies II, LLC, WC Docket No. 18-143 (filed June 29, 2020) (Blackburn Waiver Petition).</w:t>
      </w:r>
    </w:p>
  </w:footnote>
  <w:footnote w:id="4">
    <w:p w:rsidR="00B42CC3" w14:paraId="39BE8E3A" w14:textId="13103B04">
      <w:pPr>
        <w:pStyle w:val="FootnoteText"/>
      </w:pPr>
      <w:r>
        <w:rPr>
          <w:rStyle w:val="FootnoteReference"/>
        </w:rPr>
        <w:footnoteRef/>
      </w:r>
      <w:r>
        <w:t xml:space="preserve"> Blackburn Waiver Petition at 1.</w:t>
      </w:r>
    </w:p>
  </w:footnote>
  <w:footnote w:id="5">
    <w:p w:rsidR="00175ADC" w:rsidP="00175ADC" w14:paraId="5FB9087C" w14:textId="77777777">
      <w:pPr>
        <w:pStyle w:val="FootnoteText"/>
      </w:pPr>
      <w:r>
        <w:rPr>
          <w:rStyle w:val="FootnoteReference"/>
        </w:rPr>
        <w:footnoteRef/>
      </w:r>
      <w:r>
        <w:t xml:space="preserve"> </w:t>
      </w:r>
      <w:r w:rsidRPr="00905981">
        <w:rPr>
          <w:i/>
          <w:iCs/>
        </w:rPr>
        <w:t>The Uniendo a Puerto Rico and the Connect USVI Fund</w:t>
      </w:r>
      <w:r w:rsidRPr="0027099A">
        <w:rPr>
          <w:i/>
          <w:iCs/>
        </w:rPr>
        <w:t>, et al.</w:t>
      </w:r>
      <w:r w:rsidRPr="00905981">
        <w:t xml:space="preserve">, Report and Order and Order on Reconsideration, 34 FCC Rcd 9109, </w:t>
      </w:r>
      <w:r>
        <w:t>9146, para. 67</w:t>
      </w:r>
      <w:r w:rsidRPr="00905981">
        <w:t xml:space="preserve"> (2019) (</w:t>
      </w:r>
      <w:r w:rsidRPr="00905981">
        <w:rPr>
          <w:i/>
          <w:iCs/>
        </w:rPr>
        <w:t xml:space="preserve">PR-USVI </w:t>
      </w:r>
      <w:r>
        <w:rPr>
          <w:i/>
          <w:iCs/>
        </w:rPr>
        <w:t xml:space="preserve">Stage 2 </w:t>
      </w:r>
      <w:r w:rsidRPr="00905981">
        <w:rPr>
          <w:i/>
          <w:iCs/>
        </w:rPr>
        <w:t>Order</w:t>
      </w:r>
      <w:r w:rsidRPr="00905981">
        <w:t>)</w:t>
      </w:r>
      <w:r>
        <w:t>.</w:t>
      </w:r>
    </w:p>
  </w:footnote>
  <w:footnote w:id="6">
    <w:p w:rsidR="009A453A" w14:paraId="1A927246" w14:textId="16FD15AA">
      <w:pPr>
        <w:pStyle w:val="FootnoteText"/>
      </w:pPr>
      <w:r>
        <w:rPr>
          <w:rStyle w:val="FootnoteReference"/>
        </w:rPr>
        <w:footnoteRef/>
      </w:r>
      <w:r>
        <w:t xml:space="preserve"> 47 CFR </w:t>
      </w:r>
      <w:r w:rsidR="008D7931">
        <w:t xml:space="preserve">§1505(a) </w:t>
      </w:r>
      <w:r w:rsidR="00BA72FC">
        <w:t>(</w:t>
      </w:r>
      <w:r w:rsidR="0087125F">
        <w:t>“</w:t>
      </w:r>
      <w:r w:rsidRPr="00B42E0E" w:rsidR="00941D8A">
        <w:rPr>
          <w:color w:val="000000"/>
          <w:szCs w:val="22"/>
        </w:rPr>
        <w:t>A provider shall be eligible to submit an application for support from Stage 2 of the fixed Uniendo a Puerto Rico Fund or of the fixed Connect USVI Fund if it had its own fixed network and provided broadband service in Puerto Rico or the U.S. Virgin Islands, respectively, according to its June 2018 FCC Form 477 data.  A provider must obtain eligible telecommunications carrier designation no later than sixty (60) days after public notice of selection to receive fixed support.</w:t>
      </w:r>
      <w:r w:rsidR="00941D8A">
        <w:rPr>
          <w:color w:val="000000"/>
          <w:szCs w:val="22"/>
        </w:rPr>
        <w:t>”)</w:t>
      </w:r>
      <w:r w:rsidR="00F14E5D">
        <w:rPr>
          <w:color w:val="000000"/>
          <w:szCs w:val="22"/>
        </w:rPr>
        <w:t>.</w:t>
      </w:r>
    </w:p>
  </w:footnote>
  <w:footnote w:id="7">
    <w:p w:rsidR="0031325C" w:rsidRPr="00B268F4" w14:paraId="3D29BB7B" w14:textId="1793CDBA">
      <w:pPr>
        <w:pStyle w:val="FootnoteText"/>
      </w:pPr>
      <w:r>
        <w:rPr>
          <w:rStyle w:val="FootnoteReference"/>
        </w:rPr>
        <w:footnoteRef/>
      </w:r>
      <w:r>
        <w:t xml:space="preserve"> </w:t>
      </w:r>
      <w:r w:rsidR="00B268F4">
        <w:rPr>
          <w:i/>
          <w:iCs/>
        </w:rPr>
        <w:t>Id.</w:t>
      </w:r>
    </w:p>
  </w:footnote>
  <w:footnote w:id="8">
    <w:p w:rsidR="00465600" w:rsidP="00465600" w14:paraId="2D9BBF44" w14:textId="4125A357">
      <w:pPr>
        <w:pStyle w:val="FootnoteText"/>
      </w:pPr>
      <w:r>
        <w:rPr>
          <w:rStyle w:val="FootnoteReference"/>
        </w:rPr>
        <w:footnoteRef/>
      </w:r>
      <w:r>
        <w:t xml:space="preserve"> </w:t>
      </w:r>
      <w:r w:rsidRPr="00E2286D">
        <w:rPr>
          <w:i/>
          <w:iCs/>
        </w:rPr>
        <w:t xml:space="preserve">See </w:t>
      </w:r>
      <w:r w:rsidRPr="00905981">
        <w:rPr>
          <w:i/>
          <w:iCs/>
        </w:rPr>
        <w:t>The Uniendo a Puerto Rico and the Connect USVI Fund</w:t>
      </w:r>
      <w:r w:rsidRPr="0027099A">
        <w:rPr>
          <w:i/>
          <w:iCs/>
        </w:rPr>
        <w:t>, et al.</w:t>
      </w:r>
      <w:r w:rsidRPr="00905981">
        <w:t xml:space="preserve">, </w:t>
      </w:r>
      <w:r>
        <w:t xml:space="preserve">Notice of Proposed Rulemaking, 33 FCC Rcd 5405, 5416, para. 42 </w:t>
      </w:r>
      <w:r w:rsidRPr="00905981">
        <w:t>(201</w:t>
      </w:r>
      <w:r>
        <w:t>8</w:t>
      </w:r>
      <w:r w:rsidRPr="00905981">
        <w:t>)</w:t>
      </w:r>
      <w:r w:rsidR="00A906C7">
        <w:t xml:space="preserve"> (</w:t>
      </w:r>
      <w:r w:rsidRPr="00F4679B" w:rsidR="00A906C7">
        <w:rPr>
          <w:i/>
        </w:rPr>
        <w:t>PR-USVI Stage 2 NPRM</w:t>
      </w:r>
      <w:r w:rsidR="00A906C7">
        <w:t>)</w:t>
      </w:r>
      <w:r>
        <w:t>.</w:t>
      </w:r>
    </w:p>
  </w:footnote>
  <w:footnote w:id="9">
    <w:p w:rsidR="004B2294" w14:paraId="5B51073E" w14:textId="5981A08F">
      <w:pPr>
        <w:pStyle w:val="FootnoteText"/>
      </w:pPr>
      <w:r>
        <w:rPr>
          <w:rStyle w:val="FootnoteReference"/>
        </w:rPr>
        <w:footnoteRef/>
      </w:r>
      <w:r>
        <w:t xml:space="preserve"> </w:t>
      </w:r>
      <w:r w:rsidRPr="009350BD" w:rsidR="00A906C7">
        <w:rPr>
          <w:i/>
          <w:iCs/>
        </w:rPr>
        <w:t>PR-USVI Stage 2 Order</w:t>
      </w:r>
      <w:r w:rsidR="00A906C7">
        <w:t>, 34 FCC Rcd</w:t>
      </w:r>
      <w:r>
        <w:t>. at 913</w:t>
      </w:r>
      <w:r w:rsidR="00A906C7">
        <w:t>7-3</w:t>
      </w:r>
      <w:r>
        <w:t>8, para. 47.</w:t>
      </w:r>
    </w:p>
  </w:footnote>
  <w:footnote w:id="10">
    <w:p w:rsidR="005358DF" w14:paraId="5A94A72E" w14:textId="6611BB0F">
      <w:pPr>
        <w:pStyle w:val="FootnoteText"/>
      </w:pPr>
      <w:r>
        <w:rPr>
          <w:rStyle w:val="FootnoteReference"/>
        </w:rPr>
        <w:footnoteRef/>
      </w:r>
      <w:r>
        <w:t xml:space="preserve"> </w:t>
      </w:r>
      <w:r w:rsidRPr="00DE76B7" w:rsidR="00C17B97">
        <w:rPr>
          <w:i/>
          <w:iCs/>
        </w:rPr>
        <w:t>Id</w:t>
      </w:r>
      <w:r>
        <w:t>.</w:t>
      </w:r>
      <w:r w:rsidR="001838FB">
        <w:t xml:space="preserve"> at 9138, para. 48</w:t>
      </w:r>
    </w:p>
  </w:footnote>
  <w:footnote w:id="11">
    <w:p w:rsidR="0007766F" w:rsidP="0007766F" w14:paraId="53FAB3DA" w14:textId="77777777">
      <w:pPr>
        <w:pStyle w:val="FootnoteText"/>
      </w:pPr>
      <w:r>
        <w:rPr>
          <w:rStyle w:val="FootnoteReference"/>
        </w:rPr>
        <w:footnoteRef/>
      </w:r>
      <w:r>
        <w:t xml:space="preserve"> Blackburn Waiver Petition at 2-3.</w:t>
      </w:r>
    </w:p>
  </w:footnote>
  <w:footnote w:id="12">
    <w:p w:rsidR="001F01A2" w14:paraId="5474983A" w14:textId="0BFB6306">
      <w:pPr>
        <w:pStyle w:val="FootnoteText"/>
      </w:pPr>
      <w:r>
        <w:rPr>
          <w:rStyle w:val="FootnoteReference"/>
        </w:rPr>
        <w:footnoteRef/>
      </w:r>
      <w:r>
        <w:t xml:space="preserve"> </w:t>
      </w:r>
      <w:r w:rsidRPr="00DE76B7" w:rsidR="00C17B97">
        <w:rPr>
          <w:i/>
          <w:iCs/>
        </w:rPr>
        <w:t>Id</w:t>
      </w:r>
      <w:r>
        <w:t>. at 4.</w:t>
      </w:r>
    </w:p>
  </w:footnote>
  <w:footnote w:id="13">
    <w:p w:rsidR="007A60C1" w14:paraId="3F74BE9E" w14:textId="50305B1E">
      <w:pPr>
        <w:pStyle w:val="FootnoteText"/>
      </w:pPr>
      <w:r>
        <w:rPr>
          <w:rStyle w:val="FootnoteReference"/>
        </w:rPr>
        <w:footnoteRef/>
      </w:r>
      <w:r>
        <w:t xml:space="preserve"> </w:t>
      </w:r>
      <w:r w:rsidRPr="00DE76B7" w:rsidR="00C17B97">
        <w:rPr>
          <w:i/>
          <w:iCs/>
        </w:rPr>
        <w:t>Id</w:t>
      </w:r>
      <w:r>
        <w:t>. at n.9.</w:t>
      </w:r>
    </w:p>
  </w:footnote>
  <w:footnote w:id="14">
    <w:p w:rsidR="00F67A08" w14:paraId="6E8C6723" w14:textId="2410D2D7">
      <w:pPr>
        <w:pStyle w:val="FootnoteText"/>
      </w:pPr>
      <w:r>
        <w:rPr>
          <w:rStyle w:val="FootnoteReference"/>
        </w:rPr>
        <w:footnoteRef/>
      </w:r>
      <w:r>
        <w:t xml:space="preserve"> </w:t>
      </w:r>
      <w:r w:rsidRPr="00DE76B7" w:rsidR="00C17B97">
        <w:rPr>
          <w:i/>
          <w:iCs/>
        </w:rPr>
        <w:t>Id</w:t>
      </w:r>
      <w:r w:rsidR="00A2039F">
        <w:t>. at 5</w:t>
      </w:r>
      <w:r w:rsidR="003864AD">
        <w:t xml:space="preserve">; </w:t>
      </w:r>
      <w:r w:rsidRPr="009C7DD0" w:rsidR="009C7DD0">
        <w:rPr>
          <w:i/>
          <w:iCs/>
        </w:rPr>
        <w:t>Ex Parte</w:t>
      </w:r>
      <w:r w:rsidR="006E0FD8">
        <w:t xml:space="preserve"> Reply Comments of Blackburn Technologies II, LLC, WC Docket No. 18-143</w:t>
      </w:r>
      <w:r w:rsidR="009C7DD0">
        <w:t xml:space="preserve"> (filed July 17, 2020) (Blackburn </w:t>
      </w:r>
      <w:r w:rsidRPr="009C7DD0" w:rsidR="009C7DD0">
        <w:rPr>
          <w:i/>
          <w:iCs/>
        </w:rPr>
        <w:t>Ex Parte</w:t>
      </w:r>
      <w:r w:rsidR="009C7DD0">
        <w:t xml:space="preserve"> Reply).</w:t>
      </w:r>
      <w:r w:rsidRPr="008B3EB2" w:rsidR="008B3EB2">
        <w:t xml:space="preserve"> </w:t>
      </w:r>
      <w:r w:rsidR="00010EF2">
        <w:t xml:space="preserve"> </w:t>
      </w:r>
      <w:r w:rsidR="00A90C71">
        <w:t>An end user mea</w:t>
      </w:r>
      <w:r w:rsidR="00F8351D">
        <w:t>ns “a residential, business, institutional, or government entity that subscribes to a service, uses that service for its own purposes, and does not resell that service to other entiti</w:t>
      </w:r>
      <w:r w:rsidR="00AB1606">
        <w:t xml:space="preserve">es.”  47 CFR </w:t>
      </w:r>
      <w:r w:rsidRPr="007F4A5D" w:rsidR="00AB1606">
        <w:t xml:space="preserve">§ </w:t>
      </w:r>
      <w:r w:rsidR="00AB1606">
        <w:t>1.7001.</w:t>
      </w:r>
    </w:p>
  </w:footnote>
  <w:footnote w:id="15">
    <w:p w:rsidR="00740829" w14:paraId="447095BA" w14:textId="3AD1A019">
      <w:pPr>
        <w:pStyle w:val="FootnoteText"/>
      </w:pPr>
      <w:r>
        <w:rPr>
          <w:rStyle w:val="FootnoteReference"/>
        </w:rPr>
        <w:footnoteRef/>
      </w:r>
      <w:r>
        <w:t xml:space="preserve"> </w:t>
      </w:r>
      <w:r w:rsidR="00CD7002">
        <w:t xml:space="preserve">Comments of </w:t>
      </w:r>
      <w:r w:rsidR="00787520">
        <w:t xml:space="preserve">Sandra E. Torres Lopez, President, </w:t>
      </w:r>
      <w:r w:rsidRPr="00740829">
        <w:t>Telecommunications Bureau of Puerto Rico</w:t>
      </w:r>
      <w:r w:rsidR="00CD7002">
        <w:t>, WC Docket No. 18-143 (filed July 13, 2020)</w:t>
      </w:r>
      <w:r w:rsidR="00182517">
        <w:t xml:space="preserve"> (TBPR Comments)</w:t>
      </w:r>
      <w:r w:rsidRPr="00740829">
        <w:t>; Puerto Rico Hospital Association</w:t>
      </w:r>
      <w:r w:rsidR="004852A3">
        <w:t xml:space="preserve"> Comments</w:t>
      </w:r>
      <w:r w:rsidRPr="00740829">
        <w:t xml:space="preserve">; Hon. Luis G. </w:t>
      </w:r>
      <w:r w:rsidRPr="00740829">
        <w:t>Fortuño</w:t>
      </w:r>
      <w:r w:rsidR="004852A3">
        <w:t xml:space="preserve"> Comments</w:t>
      </w:r>
      <w:r w:rsidRPr="00740829">
        <w:t>;</w:t>
      </w:r>
      <w:r w:rsidR="00A60CE5">
        <w:t xml:space="preserve"> Comments of </w:t>
      </w:r>
      <w:r w:rsidR="00650DAB">
        <w:t>Alexandra Fernandez-Navarro, Associate Member,</w:t>
      </w:r>
      <w:r w:rsidRPr="00740829">
        <w:t xml:space="preserve"> Puerto Rico Public Service Regulatory Board</w:t>
      </w:r>
      <w:r w:rsidR="00650DAB">
        <w:t>, WC Docket No. 18-143 (filed July</w:t>
      </w:r>
      <w:r w:rsidR="00CD696B">
        <w:t xml:space="preserve"> 10, 2020)</w:t>
      </w:r>
      <w:r w:rsidRPr="00740829">
        <w:t xml:space="preserve">; </w:t>
      </w:r>
      <w:r w:rsidRPr="00740829">
        <w:t>Pazos</w:t>
      </w:r>
      <w:r w:rsidRPr="00740829">
        <w:t xml:space="preserve"> FBO Services </w:t>
      </w:r>
      <w:r w:rsidR="004852A3">
        <w:t>Comments</w:t>
      </w:r>
      <w:r w:rsidRPr="00740829">
        <w:t xml:space="preserve">; KA Consulting LLC Comments; </w:t>
      </w:r>
      <w:r w:rsidR="00B23221">
        <w:t xml:space="preserve">BBR IT </w:t>
      </w:r>
      <w:r w:rsidRPr="00740829">
        <w:t>Synergy</w:t>
      </w:r>
      <w:r w:rsidR="00E517C0">
        <w:t xml:space="preserve"> LLC </w:t>
      </w:r>
      <w:r w:rsidRPr="00740829">
        <w:t xml:space="preserve">Comments; </w:t>
      </w:r>
      <w:r w:rsidRPr="00740829">
        <w:t>Gigifi</w:t>
      </w:r>
      <w:r w:rsidRPr="00740829">
        <w:t xml:space="preserve"> Networks Comments; </w:t>
      </w:r>
      <w:r w:rsidRPr="00740829">
        <w:t>Exacto</w:t>
      </w:r>
      <w:r w:rsidRPr="00740829">
        <w:t xml:space="preserve"> Networks Comments; Partnership for Modern Puerto Rico Comments; TAG Solutions Comments; </w:t>
      </w:r>
      <w:r w:rsidRPr="00740829">
        <w:t>Farmacia</w:t>
      </w:r>
      <w:r w:rsidRPr="00740829">
        <w:t xml:space="preserve"> Reyes Comments; Patricia Eaves Comments; Casa Grande Interactive Comments; Melvin Carrion Rivera Comments; 4H Consulting Comments; Lourdes M. </w:t>
      </w:r>
      <w:r w:rsidRPr="00740829">
        <w:t>Rovira</w:t>
      </w:r>
      <w:r w:rsidRPr="00740829">
        <w:t xml:space="preserve"> Comments; </w:t>
      </w:r>
      <w:r w:rsidRPr="00740829">
        <w:t>Pariter</w:t>
      </w:r>
      <w:r w:rsidRPr="00740829">
        <w:t xml:space="preserve"> Wealth Management Group</w:t>
      </w:r>
      <w:r w:rsidR="00E64553">
        <w:t xml:space="preserve"> </w:t>
      </w:r>
      <w:r w:rsidRPr="00740829">
        <w:t>Comments; Puerto Rico Manufacturers Association</w:t>
      </w:r>
      <w:r w:rsidR="009B589D">
        <w:t xml:space="preserve"> </w:t>
      </w:r>
      <w:r w:rsidRPr="00740829">
        <w:t>Comments; Enrique L</w:t>
      </w:r>
      <w:r w:rsidR="009B589D">
        <w:t>.</w:t>
      </w:r>
      <w:r w:rsidRPr="00740829">
        <w:t xml:space="preserve"> Costas Comments</w:t>
      </w:r>
      <w:r w:rsidR="00E642DB">
        <w:t>.</w:t>
      </w:r>
    </w:p>
  </w:footnote>
  <w:footnote w:id="16">
    <w:p w:rsidR="00974CB7" w14:paraId="11EC1D6C" w14:textId="5E617EEC">
      <w:pPr>
        <w:pStyle w:val="FootnoteText"/>
      </w:pPr>
      <w:r>
        <w:rPr>
          <w:rStyle w:val="FootnoteReference"/>
        </w:rPr>
        <w:footnoteRef/>
      </w:r>
      <w:r w:rsidR="00D15CB7">
        <w:t xml:space="preserve"> Comments of Liberty Cablevision</w:t>
      </w:r>
      <w:r w:rsidR="004A2141">
        <w:t xml:space="preserve"> of Puerto Rico</w:t>
      </w:r>
      <w:r w:rsidR="00932299">
        <w:t xml:space="preserve"> LLC</w:t>
      </w:r>
      <w:r w:rsidR="00BD7C1E">
        <w:t>, WC Docket No. 18-143 (filed</w:t>
      </w:r>
      <w:r w:rsidR="00932299">
        <w:t xml:space="preserve"> </w:t>
      </w:r>
      <w:r w:rsidR="00F508E9">
        <w:t xml:space="preserve">July 13, 2020); </w:t>
      </w:r>
      <w:r w:rsidR="00007EE1">
        <w:t>Comments of Puerto Rico Telephone Company, Inc.</w:t>
      </w:r>
      <w:r w:rsidR="00F71E2D">
        <w:t>, WC Docket No. 18-143 (filed July 13, 2020)</w:t>
      </w:r>
      <w:r w:rsidR="006321DA">
        <w:t xml:space="preserve"> (PRTC Comments)</w:t>
      </w:r>
      <w:r w:rsidR="00F71E2D">
        <w:t xml:space="preserve">; </w:t>
      </w:r>
      <w:r w:rsidR="00663C05">
        <w:t>Comments of Virgin Islands Telephone Corporation dba</w:t>
      </w:r>
      <w:r w:rsidR="00BD7C1E">
        <w:t xml:space="preserve"> </w:t>
      </w:r>
      <w:r>
        <w:t>Viya</w:t>
      </w:r>
      <w:r w:rsidR="00663C05">
        <w:t>, WC Docket No. 18-14</w:t>
      </w:r>
      <w:r w:rsidR="00F771DF">
        <w:t>3 (filed July 13, 2020)</w:t>
      </w:r>
      <w:r w:rsidR="006321DA">
        <w:t xml:space="preserve"> (</w:t>
      </w:r>
      <w:r w:rsidR="006321DA">
        <w:t>Viya</w:t>
      </w:r>
      <w:r w:rsidR="006321DA">
        <w:t xml:space="preserve"> Comments)</w:t>
      </w:r>
      <w:r w:rsidR="00F771DF">
        <w:t xml:space="preserve">; </w:t>
      </w:r>
      <w:r w:rsidR="00AE1FC4">
        <w:t>Opposition to Waiver Request</w:t>
      </w:r>
      <w:r w:rsidR="00B53542">
        <w:t xml:space="preserve"> of Critical Hub Networks, Inc., WC Docket No. 18-143</w:t>
      </w:r>
      <w:r w:rsidR="002C6255">
        <w:t xml:space="preserve"> (filed July 13, 2020)</w:t>
      </w:r>
      <w:r w:rsidR="006321DA">
        <w:t xml:space="preserve"> (Critical Hub Comments)</w:t>
      </w:r>
      <w:r w:rsidR="002C6255">
        <w:t>;</w:t>
      </w:r>
      <w:r w:rsidR="00F927B0">
        <w:t xml:space="preserve"> Opposition to Request for Waiver of </w:t>
      </w:r>
      <w:r w:rsidR="00F927B0">
        <w:t>Aeronet</w:t>
      </w:r>
      <w:r w:rsidR="00F927B0">
        <w:t xml:space="preserve"> Wireless Broadband, LLC, WC Docket No. 18-143 (filed July 13, 2020)</w:t>
      </w:r>
      <w:r w:rsidR="006321DA">
        <w:t xml:space="preserve"> (</w:t>
      </w:r>
      <w:r w:rsidR="00DB1090">
        <w:t>Aeronet</w:t>
      </w:r>
      <w:r w:rsidR="00DB1090">
        <w:t xml:space="preserve"> Comments)</w:t>
      </w:r>
      <w:r w:rsidR="006321DA">
        <w:t>.</w:t>
      </w:r>
    </w:p>
  </w:footnote>
  <w:footnote w:id="17">
    <w:p w:rsidR="008859C9" w:rsidP="008859C9" w14:paraId="36A83974" w14:textId="31D79BD2">
      <w:pPr>
        <w:pStyle w:val="FootnoteText"/>
      </w:pPr>
      <w:r>
        <w:rPr>
          <w:rStyle w:val="FootnoteReference"/>
        </w:rPr>
        <w:footnoteRef/>
      </w:r>
      <w:r>
        <w:t xml:space="preserve"> </w:t>
      </w:r>
      <w:r w:rsidRPr="007F4A5D">
        <w:t>47 CFR § 1.3</w:t>
      </w:r>
      <w:r w:rsidR="00CB4899">
        <w:t>.</w:t>
      </w:r>
    </w:p>
  </w:footnote>
  <w:footnote w:id="18">
    <w:p w:rsidR="008859C9" w:rsidRPr="008C2A06" w:rsidP="008859C9" w14:paraId="6EB0DFF8"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S.Ct. 461 (1972)) (</w:t>
      </w:r>
      <w:r w:rsidRPr="00691864">
        <w:rPr>
          <w:i/>
        </w:rPr>
        <w:t>Northeast Cellular</w:t>
      </w:r>
      <w:r>
        <w:t>).</w:t>
      </w:r>
      <w:r w:rsidRPr="008C2A06">
        <w:rPr>
          <w:i/>
        </w:rPr>
        <w:t xml:space="preserve"> </w:t>
      </w:r>
    </w:p>
  </w:footnote>
  <w:footnote w:id="19">
    <w:p w:rsidR="00C32194" w14:paraId="4332333C" w14:textId="261AD368">
      <w:pPr>
        <w:pStyle w:val="FootnoteText"/>
      </w:pPr>
      <w:r>
        <w:rPr>
          <w:rStyle w:val="FootnoteReference"/>
        </w:rPr>
        <w:footnoteRef/>
      </w:r>
      <w:r>
        <w:t xml:space="preserve"> </w:t>
      </w:r>
      <w:r w:rsidRPr="00C32194">
        <w:t xml:space="preserve">Blackburn suggests in a recent </w:t>
      </w:r>
      <w:r w:rsidRPr="00DA5B93">
        <w:rPr>
          <w:i/>
          <w:iCs/>
        </w:rPr>
        <w:t>ex parte</w:t>
      </w:r>
      <w:r w:rsidRPr="00C32194">
        <w:t xml:space="preserve"> submission that “to the extent the Commission has interpreted Section 214(e) as requiring a direct customer relationship with the end user,” we can forbear from applying this requirement.  Letter from Tom W. Davidson, Counsel to Blackburn Technologies II, LLC, to Marlene H. Dortch, Secretary, FCC, WC Docket No. 18-143, at 7 n.25 (Aug. 4, 2020).  The Commission’s rules set forth strict procedural requirements for petitions for forbearance, including that they be filed as separate pleading</w:t>
      </w:r>
      <w:r w:rsidR="00B428EF">
        <w:t>s</w:t>
      </w:r>
      <w:r w:rsidRPr="00C32194">
        <w:t xml:space="preserve">, be identified as petitions for forbearance in the caption, and contain certain specified information.  </w:t>
      </w:r>
      <w:r w:rsidRPr="00DA5B93">
        <w:rPr>
          <w:i/>
          <w:iCs/>
        </w:rPr>
        <w:t>See</w:t>
      </w:r>
      <w:r w:rsidRPr="00C32194">
        <w:t xml:space="preserve"> 47 CFR §§ 1.53 and 1.54.  Because Blackburn has not fulfilled these requirements, we are not considering its submission as a Petition for Forbearance or analyzing whether the Communications Act permits or requires forbearance in this case.</w:t>
      </w:r>
    </w:p>
  </w:footnote>
  <w:footnote w:id="20">
    <w:p w:rsidR="00F703D3" w:rsidP="00F703D3" w14:paraId="280553AE" w14:textId="77777777">
      <w:pPr>
        <w:pStyle w:val="FootnoteText"/>
      </w:pPr>
      <w:r>
        <w:rPr>
          <w:rStyle w:val="FootnoteReference"/>
        </w:rPr>
        <w:footnoteRef/>
      </w:r>
      <w:r>
        <w:t xml:space="preserve"> </w:t>
      </w:r>
      <w:r w:rsidRPr="00F4679B">
        <w:rPr>
          <w:i/>
        </w:rPr>
        <w:t>PR-USVI Stage 2 Order</w:t>
      </w:r>
      <w:r>
        <w:t xml:space="preserve">, 34 FCC Rcd at 9137, para. 46; 47 CFR </w:t>
      </w:r>
      <w:r w:rsidRPr="007F4A5D">
        <w:t>§</w:t>
      </w:r>
      <w:r>
        <w:t xml:space="preserve"> 54.1505(a).</w:t>
      </w:r>
    </w:p>
  </w:footnote>
  <w:footnote w:id="21">
    <w:p w:rsidR="00707B4F" w14:paraId="50411DB2" w14:textId="1ACD7501">
      <w:pPr>
        <w:pStyle w:val="FootnoteText"/>
      </w:pPr>
      <w:r>
        <w:rPr>
          <w:rStyle w:val="FootnoteReference"/>
        </w:rPr>
        <w:footnoteRef/>
      </w:r>
      <w:r>
        <w:t xml:space="preserve"> Blackburn Waiver Petition at 12-</w:t>
      </w:r>
      <w:r w:rsidR="00354946">
        <w:t>15.</w:t>
      </w:r>
    </w:p>
  </w:footnote>
  <w:footnote w:id="22">
    <w:p w:rsidR="00354946" w14:paraId="10BA338C" w14:textId="1A5EDCD3">
      <w:pPr>
        <w:pStyle w:val="FootnoteText"/>
      </w:pPr>
      <w:r>
        <w:rPr>
          <w:rStyle w:val="FootnoteReference"/>
        </w:rPr>
        <w:footnoteRef/>
      </w:r>
      <w:r>
        <w:t xml:space="preserve"> </w:t>
      </w:r>
      <w:r w:rsidRPr="00DE76B7" w:rsidR="00DE76B7">
        <w:rPr>
          <w:i/>
          <w:iCs/>
        </w:rPr>
        <w:t>Id</w:t>
      </w:r>
      <w:r>
        <w:t>. at 15-</w:t>
      </w:r>
      <w:r w:rsidR="00E41D05">
        <w:t>16.</w:t>
      </w:r>
    </w:p>
  </w:footnote>
  <w:footnote w:id="23">
    <w:p w:rsidR="00B33A55" w14:paraId="11E4EA87" w14:textId="6E2D1113">
      <w:pPr>
        <w:pStyle w:val="FootnoteText"/>
      </w:pPr>
      <w:r>
        <w:rPr>
          <w:rStyle w:val="FootnoteReference"/>
        </w:rPr>
        <w:footnoteRef/>
      </w:r>
      <w:r>
        <w:t xml:space="preserve"> </w:t>
      </w:r>
      <w:r w:rsidR="002201A1">
        <w:rPr>
          <w:i/>
          <w:iCs/>
        </w:rPr>
        <w:t xml:space="preserve">See, e.g., </w:t>
      </w:r>
      <w:r w:rsidR="002201A1">
        <w:t>Blackburn Waiver Petition at 18</w:t>
      </w:r>
      <w:r w:rsidR="00375443">
        <w:t>, 19</w:t>
      </w:r>
      <w:r w:rsidR="002201A1">
        <w:t xml:space="preserve"> (explaining that Blackburn intends to construct a fiber backbone to </w:t>
      </w:r>
      <w:r w:rsidR="00375443">
        <w:t>that will “be used by Blackburn’s customers to provide fixed broadband services to business and residential customers” and “Blackburn’s business model is premised on enable multiple operators to provide end user service”)).</w:t>
      </w:r>
    </w:p>
  </w:footnote>
  <w:footnote w:id="24">
    <w:p w:rsidR="00EE05E8" w:rsidP="00EE05E8" w14:paraId="51267525" w14:textId="7EA9EAE0">
      <w:pPr>
        <w:pStyle w:val="FootnoteText"/>
      </w:pPr>
      <w:r>
        <w:rPr>
          <w:rStyle w:val="FootnoteReference"/>
        </w:rPr>
        <w:footnoteRef/>
      </w:r>
      <w:r>
        <w:t xml:space="preserve"> </w:t>
      </w:r>
      <w:r w:rsidRPr="00DE76B7">
        <w:rPr>
          <w:i/>
          <w:iCs/>
        </w:rPr>
        <w:t>Id</w:t>
      </w:r>
      <w:r>
        <w:t>. at 17, 19</w:t>
      </w:r>
      <w:r w:rsidR="00BF2ED1">
        <w:t xml:space="preserve"> (explaining that as a whole</w:t>
      </w:r>
      <w:r w:rsidR="0025099B">
        <w:t>saler, multiple providers may access its network to provide end</w:t>
      </w:r>
      <w:r w:rsidR="008550E4">
        <w:t xml:space="preserve"> </w:t>
      </w:r>
      <w:r w:rsidR="0025099B">
        <w:t>user retail service).</w:t>
      </w:r>
    </w:p>
  </w:footnote>
  <w:footnote w:id="25">
    <w:p w:rsidR="00EA156E" w:rsidP="00EA156E" w14:paraId="5C3EFEFC" w14:textId="77777777">
      <w:pPr>
        <w:pStyle w:val="FootnoteText"/>
      </w:pPr>
      <w:r>
        <w:rPr>
          <w:rStyle w:val="FootnoteReference"/>
        </w:rPr>
        <w:footnoteRef/>
      </w:r>
      <w:r>
        <w:t xml:space="preserve"> </w:t>
      </w:r>
      <w:r w:rsidRPr="0021699A">
        <w:rPr>
          <w:i/>
          <w:iCs/>
        </w:rPr>
        <w:t>PR-USVI Stage 2 Order</w:t>
      </w:r>
      <w:r>
        <w:t>, 34 FCC Rcd at 9143, para. 59.</w:t>
      </w:r>
    </w:p>
  </w:footnote>
  <w:footnote w:id="26">
    <w:p w:rsidR="00445D57" w:rsidRPr="003F20CA" w14:paraId="3A348B9E" w14:textId="16C07E38">
      <w:pPr>
        <w:pStyle w:val="FootnoteText"/>
      </w:pPr>
      <w:r>
        <w:rPr>
          <w:rStyle w:val="FootnoteReference"/>
        </w:rPr>
        <w:footnoteRef/>
      </w:r>
      <w:r>
        <w:t xml:space="preserve"> </w:t>
      </w:r>
      <w:r>
        <w:rPr>
          <w:i/>
          <w:iCs/>
        </w:rPr>
        <w:t xml:space="preserve">See </w:t>
      </w:r>
      <w:r>
        <w:t>47 CFR §</w:t>
      </w:r>
      <w:r w:rsidR="00DA5B93">
        <w:t xml:space="preserve"> </w:t>
      </w:r>
      <w:r>
        <w:t>54.1515(a) (</w:t>
      </w:r>
      <w:r w:rsidR="00EE61ED">
        <w:t>r</w:t>
      </w:r>
      <w:r w:rsidRPr="00C24470">
        <w:t>ecipients of Stage 2 Uniendo a Puerto Rico and the Connect USVI Fund fixed support are required to offer broadband service with latency suitable for real-time app</w:t>
      </w:r>
      <w:r w:rsidRPr="007A5564">
        <w:t>lications, including Voice over internet Protocol, and usage capacity that is reasonably comparable to comparable offerings in urban areas, at rates that are reasonably comparable to rates for comparable offerings in urban areas</w:t>
      </w:r>
      <w:r>
        <w:t>)</w:t>
      </w:r>
      <w:r w:rsidR="00EE61ED">
        <w:t>.</w:t>
      </w:r>
    </w:p>
  </w:footnote>
  <w:footnote w:id="27">
    <w:p w:rsidR="00A56ADE" w14:paraId="345FFB6E" w14:textId="00E04DAB">
      <w:pPr>
        <w:pStyle w:val="FootnoteText"/>
      </w:pPr>
      <w:r>
        <w:rPr>
          <w:rStyle w:val="FootnoteReference"/>
        </w:rPr>
        <w:footnoteRef/>
      </w:r>
      <w:r>
        <w:t xml:space="preserve"> </w:t>
      </w:r>
      <w:r w:rsidR="00DC1117">
        <w:t>47 U.S.C. § 254(b)(3).</w:t>
      </w:r>
    </w:p>
  </w:footnote>
  <w:footnote w:id="28">
    <w:p w:rsidR="00E54693" w:rsidP="00E54693" w14:paraId="3B84CA65" w14:textId="77777777">
      <w:pPr>
        <w:pStyle w:val="FootnoteText"/>
      </w:pPr>
      <w:r>
        <w:rPr>
          <w:rStyle w:val="FootnoteReference"/>
        </w:rPr>
        <w:footnoteRef/>
      </w:r>
      <w:r>
        <w:t xml:space="preserve"> Blackburn Waiver Petition at 4, n.9.</w:t>
      </w:r>
    </w:p>
  </w:footnote>
  <w:footnote w:id="29">
    <w:p w:rsidR="00E54693" w:rsidP="00E54693" w14:paraId="7055517E" w14:textId="69D33226">
      <w:pPr>
        <w:pStyle w:val="FootnoteText"/>
      </w:pPr>
      <w:r>
        <w:rPr>
          <w:rStyle w:val="FootnoteReference"/>
        </w:rPr>
        <w:footnoteRef/>
      </w:r>
      <w:r>
        <w:t xml:space="preserve"> </w:t>
      </w:r>
      <w:r w:rsidRPr="00CE26CD">
        <w:rPr>
          <w:i/>
          <w:iCs/>
        </w:rPr>
        <w:t>See</w:t>
      </w:r>
      <w:r>
        <w:t xml:space="preserve"> Blackburn Waiver Petition at 5, 14-15, 18, 22 (stating that its network provides improved redundancy to its customers “and of the services provided by [its] customers to end users;” explaining that its neutral wholesale operator model enables operators “to purchase capacity needed to offer broadband services to their end user customers;” providing that “Blackburn presently offers IP services and broadband capacity on a wholesale basis to its customers in Puerto Rico, all of whom provided broadband and other services directly to end users;” explaining that its future fiber backbone will be used by Blackburn customers to provide fixed broadband services to business and residential customers”)</w:t>
      </w:r>
      <w:r w:rsidR="00F63045">
        <w:t xml:space="preserve">.  </w:t>
      </w:r>
      <w:r w:rsidRPr="00F4679B" w:rsidR="00F63045">
        <w:rPr>
          <w:i/>
          <w:iCs/>
        </w:rPr>
        <w:t>See also</w:t>
      </w:r>
      <w:r w:rsidR="00F63045">
        <w:t xml:space="preserve"> </w:t>
      </w:r>
      <w:r w:rsidR="002E583D">
        <w:t xml:space="preserve">Letter from Tom W. Davidson, Counsel for Blackburn Technologies II, LLC, to Marlene H. Dortch, Secretary, FCC, WC Docket No. 18-143, at </w:t>
      </w:r>
      <w:r w:rsidR="00F148B8">
        <w:t>7</w:t>
      </w:r>
      <w:r w:rsidR="002E583D">
        <w:t xml:space="preserve"> (filed Aug. 4. 2020) (Blackburn </w:t>
      </w:r>
      <w:r w:rsidRPr="00A117D1" w:rsidR="002E583D">
        <w:rPr>
          <w:i/>
          <w:iCs/>
        </w:rPr>
        <w:t>Ex Parte</w:t>
      </w:r>
      <w:r w:rsidR="002E583D">
        <w:t xml:space="preserve"> Letter)</w:t>
      </w:r>
      <w:r w:rsidR="005E74C5">
        <w:t xml:space="preserve"> (explaining that it </w:t>
      </w:r>
      <w:r w:rsidR="008E22BF">
        <w:t xml:space="preserve">provides last mile connections directly </w:t>
      </w:r>
      <w:r w:rsidR="00007B98">
        <w:t xml:space="preserve">to end users “through its partnership relationships with its ISP and carrier clients,” and </w:t>
      </w:r>
      <w:r w:rsidR="005E74C5">
        <w:t xml:space="preserve">“enters into arrangements with any requesting clients </w:t>
      </w:r>
      <w:r w:rsidR="00484B96">
        <w:t xml:space="preserve">whereby the client </w:t>
      </w:r>
      <w:r w:rsidR="008E22BF">
        <w:t>selects the services that Blackburn will provide over its network”)</w:t>
      </w:r>
      <w:r w:rsidR="00007B98">
        <w:t>.</w:t>
      </w:r>
    </w:p>
  </w:footnote>
  <w:footnote w:id="30">
    <w:p w:rsidR="00C60AD5" w14:paraId="30425AC9" w14:textId="3DE85864">
      <w:pPr>
        <w:pStyle w:val="FootnoteText"/>
      </w:pPr>
      <w:r>
        <w:rPr>
          <w:rStyle w:val="FootnoteReference"/>
        </w:rPr>
        <w:footnoteRef/>
      </w:r>
      <w:r>
        <w:t xml:space="preserve"> </w:t>
      </w:r>
      <w:r w:rsidRPr="000C798B">
        <w:rPr>
          <w:i/>
          <w:iCs/>
        </w:rPr>
        <w:t>See</w:t>
      </w:r>
      <w:r>
        <w:t xml:space="preserve">, </w:t>
      </w:r>
      <w:r w:rsidRPr="000C798B">
        <w:rPr>
          <w:i/>
          <w:iCs/>
        </w:rPr>
        <w:t>e.g.</w:t>
      </w:r>
      <w:r>
        <w:t xml:space="preserve">, </w:t>
      </w:r>
      <w:r w:rsidR="006162DA">
        <w:t xml:space="preserve">Blackburn </w:t>
      </w:r>
      <w:r w:rsidRPr="001469C7" w:rsidR="006162DA">
        <w:rPr>
          <w:i/>
        </w:rPr>
        <w:t>Ex Parte</w:t>
      </w:r>
      <w:r w:rsidR="006162DA">
        <w:t xml:space="preserve"> Letter at 6 </w:t>
      </w:r>
      <w:r w:rsidR="001F0A1C">
        <w:t>(</w:t>
      </w:r>
      <w:r w:rsidR="00FD6B02">
        <w:t>stating that it provides an end to end solution for its customers to provide supported services).</w:t>
      </w:r>
    </w:p>
  </w:footnote>
  <w:footnote w:id="31">
    <w:p w:rsidR="009446F4" w14:paraId="72BEA0BB" w14:textId="43129D1F">
      <w:pPr>
        <w:pStyle w:val="FootnoteText"/>
      </w:pPr>
      <w:r>
        <w:rPr>
          <w:rStyle w:val="FootnoteReference"/>
        </w:rPr>
        <w:footnoteRef/>
      </w:r>
      <w:r>
        <w:t xml:space="preserve"> We disagree </w:t>
      </w:r>
      <w:r w:rsidR="007C17DF">
        <w:t>that the provision of service to a local insurance agency “on a test basis”</w:t>
      </w:r>
      <w:r w:rsidR="00583BB7">
        <w:t xml:space="preserve"> and to a flight services company </w:t>
      </w:r>
      <w:r w:rsidR="000A19E8">
        <w:t xml:space="preserve">on an emergency basis meets the </w:t>
      </w:r>
      <w:r w:rsidR="003F23F0">
        <w:t xml:space="preserve">Commission’s requirement to provide service to end users as </w:t>
      </w:r>
      <w:r w:rsidR="00994080">
        <w:t>demonstrated by the Form 477.  Blackburn Waiver Petition at 14.</w:t>
      </w:r>
      <w:r w:rsidR="00194DB6">
        <w:t xml:space="preserve">  Moreover, we note that Blackburn expressly states that it presently offers IP services</w:t>
      </w:r>
      <w:r w:rsidR="005D6F12">
        <w:t xml:space="preserve"> on a wholesale basis rather than to end users.  </w:t>
      </w:r>
      <w:r w:rsidRPr="000C798B" w:rsidR="005D6F12">
        <w:rPr>
          <w:i/>
          <w:iCs/>
        </w:rPr>
        <w:t>Id</w:t>
      </w:r>
      <w:r w:rsidR="005D6F12">
        <w:t>. at 14-15.</w:t>
      </w:r>
      <w:r w:rsidR="00194A70">
        <w:t xml:space="preserve">  </w:t>
      </w:r>
      <w:r w:rsidR="00B6348B">
        <w:t>Likewise, Blackburn conced</w:t>
      </w:r>
      <w:r w:rsidR="00FD1779">
        <w:t xml:space="preserve">es that it does not have a </w:t>
      </w:r>
      <w:r w:rsidR="00F26607">
        <w:t>direct relationship with end users</w:t>
      </w:r>
      <w:r w:rsidR="004C51E3">
        <w:t>, notwithstanding it</w:t>
      </w:r>
      <w:r w:rsidR="00AC789A">
        <w:t xml:space="preserve">s </w:t>
      </w:r>
      <w:r w:rsidR="00DE206C">
        <w:t>“</w:t>
      </w:r>
      <w:r w:rsidR="00AC789A">
        <w:t>partnership</w:t>
      </w:r>
      <w:r w:rsidR="00DE206C">
        <w:t>s”</w:t>
      </w:r>
      <w:r w:rsidR="00AC789A">
        <w:t xml:space="preserve"> with its wholesale customers to</w:t>
      </w:r>
      <w:r w:rsidR="00734237">
        <w:t xml:space="preserve"> provide end</w:t>
      </w:r>
      <w:r w:rsidR="0053707B">
        <w:t xml:space="preserve"> </w:t>
      </w:r>
      <w:r w:rsidR="00734237">
        <w:t>user service</w:t>
      </w:r>
      <w:r w:rsidR="00F26607">
        <w:t xml:space="preserve">.  Blackburn Ex Parte Letter at </w:t>
      </w:r>
      <w:r w:rsidR="001D4A6E">
        <w:t>7</w:t>
      </w:r>
      <w:r w:rsidR="009E7063">
        <w:t>-9</w:t>
      </w:r>
      <w:r w:rsidR="001D4A6E">
        <w:t>.</w:t>
      </w:r>
    </w:p>
  </w:footnote>
  <w:footnote w:id="32">
    <w:p w:rsidR="005D1B85" w:rsidP="005D1B85" w14:paraId="21738CB0" w14:textId="3C227C30">
      <w:pPr>
        <w:pStyle w:val="FootnoteText"/>
      </w:pPr>
      <w:r>
        <w:rPr>
          <w:rStyle w:val="FootnoteReference"/>
        </w:rPr>
        <w:footnoteRef/>
      </w:r>
      <w:r>
        <w:t xml:space="preserve"> We agree with opposing commentators that it is not in the public interest to waive section 54.1505(a) because Blackburn is unable or does not inten</w:t>
      </w:r>
      <w:r w:rsidR="00D756DE">
        <w:t>d</w:t>
      </w:r>
      <w:r>
        <w:t xml:space="preserve"> to meet these statutory requirements.  PRTC Comments at 2-6; </w:t>
      </w:r>
      <w:r>
        <w:t>Viya</w:t>
      </w:r>
      <w:r>
        <w:t xml:space="preserve"> Comments at 2-3; Critical Hub Comments at 2-3; </w:t>
      </w:r>
      <w:r>
        <w:t>Aeronet</w:t>
      </w:r>
      <w:r>
        <w:t xml:space="preserve"> Comments at 8</w:t>
      </w:r>
      <w:r w:rsidR="00360DD1">
        <w:t>.</w:t>
      </w:r>
      <w:r>
        <w:t xml:space="preserve"> </w:t>
      </w:r>
    </w:p>
  </w:footnote>
  <w:footnote w:id="33">
    <w:p w:rsidR="00826F27" w:rsidRPr="00792DE3" w:rsidP="00826F27" w14:paraId="1717F944" w14:textId="77777777">
      <w:pPr>
        <w:pStyle w:val="FootnoteText"/>
        <w:rPr>
          <w:i/>
          <w:iCs/>
        </w:rPr>
      </w:pPr>
      <w:r>
        <w:rPr>
          <w:rStyle w:val="FootnoteReference"/>
        </w:rPr>
        <w:footnoteRef/>
      </w:r>
      <w:r>
        <w:t xml:space="preserve"> 47 CFR </w:t>
      </w:r>
      <w:r w:rsidRPr="007F4A5D">
        <w:t>§</w:t>
      </w:r>
      <w:r>
        <w:t xml:space="preserve"> 54.1505(a).  </w:t>
      </w:r>
    </w:p>
  </w:footnote>
  <w:footnote w:id="34">
    <w:p w:rsidR="00F4319D" w:rsidP="00F4319D" w14:paraId="0F5C41D7" w14:textId="308AB741">
      <w:pPr>
        <w:pStyle w:val="FootnoteText"/>
      </w:pPr>
      <w:r>
        <w:rPr>
          <w:rStyle w:val="FootnoteReference"/>
        </w:rPr>
        <w:footnoteRef/>
      </w:r>
      <w:r>
        <w:t xml:space="preserve"> </w:t>
      </w:r>
      <w:r w:rsidR="00686D8B">
        <w:t>Blackburn Waiver Petition</w:t>
      </w:r>
      <w:r>
        <w:t xml:space="preserve"> at 12-13.</w:t>
      </w:r>
    </w:p>
  </w:footnote>
  <w:footnote w:id="35">
    <w:p w:rsidR="00805DB2" w:rsidP="00805DB2" w14:paraId="4196DC2C" w14:textId="32BACB0F">
      <w:pPr>
        <w:pStyle w:val="FootnoteText"/>
      </w:pPr>
      <w:r>
        <w:rPr>
          <w:rStyle w:val="FootnoteReference"/>
        </w:rPr>
        <w:footnoteRef/>
      </w:r>
      <w:r>
        <w:t xml:space="preserve"> </w:t>
      </w:r>
      <w:r w:rsidRPr="00A073DA" w:rsidR="00686D8B">
        <w:rPr>
          <w:i/>
          <w:iCs/>
        </w:rPr>
        <w:t>Id</w:t>
      </w:r>
      <w:r w:rsidR="00686D8B">
        <w:t>.</w:t>
      </w:r>
      <w:r>
        <w:t xml:space="preserve"> at 22.</w:t>
      </w:r>
    </w:p>
  </w:footnote>
  <w:footnote w:id="36">
    <w:p w:rsidR="00C457B5" w14:paraId="5D62ABB4" w14:textId="5F2E5C6A">
      <w:pPr>
        <w:pStyle w:val="FootnoteText"/>
      </w:pPr>
      <w:r>
        <w:rPr>
          <w:rStyle w:val="FootnoteReference"/>
        </w:rPr>
        <w:footnoteRef/>
      </w:r>
      <w:r>
        <w:t xml:space="preserve"> </w:t>
      </w:r>
      <w:r w:rsidRPr="00A073DA" w:rsidR="00441E7E">
        <w:rPr>
          <w:i/>
          <w:iCs/>
        </w:rPr>
        <w:t>PR-USVI Stage 2 Order</w:t>
      </w:r>
      <w:r w:rsidR="00441E7E">
        <w:t>, 34 FCC Rcd</w:t>
      </w:r>
      <w:r>
        <w:t xml:space="preserve"> at 9121, 9137-39, paras. 21, 46-49.</w:t>
      </w:r>
    </w:p>
  </w:footnote>
  <w:footnote w:id="37">
    <w:p w:rsidR="00AC4350" w:rsidRPr="00AC4350" w14:paraId="316655AF" w14:textId="6BBB0C2F">
      <w:pPr>
        <w:pStyle w:val="FootnoteText"/>
      </w:pPr>
      <w:r>
        <w:rPr>
          <w:rStyle w:val="FootnoteReference"/>
        </w:rPr>
        <w:footnoteRef/>
      </w:r>
      <w:r>
        <w:t xml:space="preserve"> </w:t>
      </w:r>
      <w:r>
        <w:rPr>
          <w:i/>
          <w:iCs/>
        </w:rPr>
        <w:t>Id.</w:t>
      </w:r>
    </w:p>
  </w:footnote>
  <w:footnote w:id="38">
    <w:p w:rsidR="00A91C91" w14:paraId="443095BB" w14:textId="4E5FCF35">
      <w:pPr>
        <w:pStyle w:val="FootnoteText"/>
      </w:pPr>
      <w:r>
        <w:rPr>
          <w:rStyle w:val="FootnoteReference"/>
        </w:rPr>
        <w:footnoteRef/>
      </w:r>
      <w:r>
        <w:t xml:space="preserve"> </w:t>
      </w:r>
      <w:r w:rsidRPr="0019242C">
        <w:t>47 U.S.C. §</w:t>
      </w:r>
      <w:r>
        <w:t xml:space="preserve"> 254(b).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53B" w14:paraId="70426E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D20167" w14:textId="78764B7C">
    <w:pPr>
      <w:pStyle w:val="Header"/>
      <w:rPr>
        <w:b w:val="0"/>
      </w:rPr>
    </w:pPr>
    <w:r>
      <w:tab/>
      <w:t>Federal Communications Commission</w:t>
    </w:r>
    <w:r>
      <w:tab/>
    </w:r>
    <w:r w:rsidR="007F6E8C">
      <w:t>DA 20-</w:t>
    </w:r>
    <w:r w:rsidR="00D7053B">
      <w:t>929</w:t>
    </w:r>
  </w:p>
  <w:p w:rsidR="00D25FB5" w:rsidRPr="00A61296" w:rsidP="00A61296" w14:paraId="640C159C" w14:textId="158217A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4917D2" w14:textId="1128252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tab/>
      <w:t>Federal Communications Commission</w:t>
    </w:r>
    <w:r>
      <w:tab/>
    </w:r>
    <w:r w:rsidR="00A63C4D">
      <w:rPr>
        <w:spacing w:val="-2"/>
      </w:rPr>
      <w:t>DA 20-</w:t>
    </w:r>
    <w:r w:rsidR="00D7053B">
      <w:rPr>
        <w:spacing w:val="-2"/>
      </w:rPr>
      <w:t>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4D"/>
    <w:rsid w:val="0000148C"/>
    <w:rsid w:val="00002ABD"/>
    <w:rsid w:val="00003DD8"/>
    <w:rsid w:val="00004060"/>
    <w:rsid w:val="00004733"/>
    <w:rsid w:val="00005312"/>
    <w:rsid w:val="00006A68"/>
    <w:rsid w:val="00007413"/>
    <w:rsid w:val="00007B98"/>
    <w:rsid w:val="00007EE1"/>
    <w:rsid w:val="000109BB"/>
    <w:rsid w:val="00010EF2"/>
    <w:rsid w:val="00012BD3"/>
    <w:rsid w:val="000152D6"/>
    <w:rsid w:val="00017444"/>
    <w:rsid w:val="00017AD4"/>
    <w:rsid w:val="00020A66"/>
    <w:rsid w:val="0002106B"/>
    <w:rsid w:val="00021B83"/>
    <w:rsid w:val="000266CA"/>
    <w:rsid w:val="00027669"/>
    <w:rsid w:val="0003070E"/>
    <w:rsid w:val="00031782"/>
    <w:rsid w:val="00034206"/>
    <w:rsid w:val="00034D3A"/>
    <w:rsid w:val="00035242"/>
    <w:rsid w:val="00036039"/>
    <w:rsid w:val="000375A3"/>
    <w:rsid w:val="00037C1D"/>
    <w:rsid w:val="00037F90"/>
    <w:rsid w:val="00041F3C"/>
    <w:rsid w:val="000422BE"/>
    <w:rsid w:val="00043108"/>
    <w:rsid w:val="00043E20"/>
    <w:rsid w:val="00046E77"/>
    <w:rsid w:val="00047F67"/>
    <w:rsid w:val="000500B2"/>
    <w:rsid w:val="0005048D"/>
    <w:rsid w:val="00051493"/>
    <w:rsid w:val="000521DB"/>
    <w:rsid w:val="000537E0"/>
    <w:rsid w:val="00054342"/>
    <w:rsid w:val="000547E2"/>
    <w:rsid w:val="00055CD7"/>
    <w:rsid w:val="000627B1"/>
    <w:rsid w:val="00062941"/>
    <w:rsid w:val="00066D3C"/>
    <w:rsid w:val="00067D10"/>
    <w:rsid w:val="00067EE6"/>
    <w:rsid w:val="00070595"/>
    <w:rsid w:val="00070B2F"/>
    <w:rsid w:val="00073276"/>
    <w:rsid w:val="00073E8C"/>
    <w:rsid w:val="0007443B"/>
    <w:rsid w:val="0007721C"/>
    <w:rsid w:val="0007766F"/>
    <w:rsid w:val="00081ED2"/>
    <w:rsid w:val="00083CCB"/>
    <w:rsid w:val="00086962"/>
    <w:rsid w:val="000871DF"/>
    <w:rsid w:val="000875BF"/>
    <w:rsid w:val="00090C4B"/>
    <w:rsid w:val="0009140B"/>
    <w:rsid w:val="00093719"/>
    <w:rsid w:val="000942FC"/>
    <w:rsid w:val="00094741"/>
    <w:rsid w:val="000948C1"/>
    <w:rsid w:val="00095A4D"/>
    <w:rsid w:val="00096D8C"/>
    <w:rsid w:val="00097387"/>
    <w:rsid w:val="000A19E8"/>
    <w:rsid w:val="000A2196"/>
    <w:rsid w:val="000A7FE0"/>
    <w:rsid w:val="000B2008"/>
    <w:rsid w:val="000B2D92"/>
    <w:rsid w:val="000B4E73"/>
    <w:rsid w:val="000B658C"/>
    <w:rsid w:val="000B7535"/>
    <w:rsid w:val="000B7832"/>
    <w:rsid w:val="000C0AAC"/>
    <w:rsid w:val="000C0B65"/>
    <w:rsid w:val="000C3CAC"/>
    <w:rsid w:val="000C798B"/>
    <w:rsid w:val="000D0BC8"/>
    <w:rsid w:val="000D21F0"/>
    <w:rsid w:val="000D2A03"/>
    <w:rsid w:val="000D3053"/>
    <w:rsid w:val="000D3683"/>
    <w:rsid w:val="000D6DEC"/>
    <w:rsid w:val="000D7896"/>
    <w:rsid w:val="000D7C09"/>
    <w:rsid w:val="000E05FE"/>
    <w:rsid w:val="000E38A9"/>
    <w:rsid w:val="000E3D42"/>
    <w:rsid w:val="000E4A04"/>
    <w:rsid w:val="000F0851"/>
    <w:rsid w:val="000F26DC"/>
    <w:rsid w:val="000F3996"/>
    <w:rsid w:val="001017E3"/>
    <w:rsid w:val="00101C49"/>
    <w:rsid w:val="00104360"/>
    <w:rsid w:val="0010561C"/>
    <w:rsid w:val="00107452"/>
    <w:rsid w:val="001075E1"/>
    <w:rsid w:val="00110F16"/>
    <w:rsid w:val="0011207F"/>
    <w:rsid w:val="00113AA0"/>
    <w:rsid w:val="00120663"/>
    <w:rsid w:val="0012091E"/>
    <w:rsid w:val="00120A9A"/>
    <w:rsid w:val="00120F26"/>
    <w:rsid w:val="00122445"/>
    <w:rsid w:val="00122BD5"/>
    <w:rsid w:val="0012316B"/>
    <w:rsid w:val="00125F22"/>
    <w:rsid w:val="001332BB"/>
    <w:rsid w:val="00133F79"/>
    <w:rsid w:val="0013485F"/>
    <w:rsid w:val="001368A1"/>
    <w:rsid w:val="00140842"/>
    <w:rsid w:val="00140FC2"/>
    <w:rsid w:val="00142302"/>
    <w:rsid w:val="00145D57"/>
    <w:rsid w:val="00146726"/>
    <w:rsid w:val="001469C7"/>
    <w:rsid w:val="00147C70"/>
    <w:rsid w:val="00147D4B"/>
    <w:rsid w:val="00153163"/>
    <w:rsid w:val="00153F84"/>
    <w:rsid w:val="001569B5"/>
    <w:rsid w:val="0016039D"/>
    <w:rsid w:val="001618A1"/>
    <w:rsid w:val="001625EA"/>
    <w:rsid w:val="001633B5"/>
    <w:rsid w:val="001654B7"/>
    <w:rsid w:val="00170F58"/>
    <w:rsid w:val="00175ADC"/>
    <w:rsid w:val="00177749"/>
    <w:rsid w:val="00182517"/>
    <w:rsid w:val="001838FB"/>
    <w:rsid w:val="001850B8"/>
    <w:rsid w:val="00185514"/>
    <w:rsid w:val="00187837"/>
    <w:rsid w:val="001879E2"/>
    <w:rsid w:val="0019080D"/>
    <w:rsid w:val="00191A28"/>
    <w:rsid w:val="0019242C"/>
    <w:rsid w:val="00194A66"/>
    <w:rsid w:val="00194A70"/>
    <w:rsid w:val="00194AF8"/>
    <w:rsid w:val="00194DB6"/>
    <w:rsid w:val="00196414"/>
    <w:rsid w:val="00197B96"/>
    <w:rsid w:val="001A1B8B"/>
    <w:rsid w:val="001A3043"/>
    <w:rsid w:val="001A6C4F"/>
    <w:rsid w:val="001B0D80"/>
    <w:rsid w:val="001B2224"/>
    <w:rsid w:val="001B238E"/>
    <w:rsid w:val="001B2718"/>
    <w:rsid w:val="001B282F"/>
    <w:rsid w:val="001B2D46"/>
    <w:rsid w:val="001B5B3E"/>
    <w:rsid w:val="001B63A8"/>
    <w:rsid w:val="001B6D10"/>
    <w:rsid w:val="001B6E92"/>
    <w:rsid w:val="001B78B0"/>
    <w:rsid w:val="001C0731"/>
    <w:rsid w:val="001C0FD4"/>
    <w:rsid w:val="001C4E99"/>
    <w:rsid w:val="001C5528"/>
    <w:rsid w:val="001D1602"/>
    <w:rsid w:val="001D4A6E"/>
    <w:rsid w:val="001D4FF5"/>
    <w:rsid w:val="001D6BCF"/>
    <w:rsid w:val="001E01CA"/>
    <w:rsid w:val="001E0D63"/>
    <w:rsid w:val="001E35B6"/>
    <w:rsid w:val="001E3B94"/>
    <w:rsid w:val="001E4F16"/>
    <w:rsid w:val="001E6768"/>
    <w:rsid w:val="001F01A2"/>
    <w:rsid w:val="001F0A1C"/>
    <w:rsid w:val="001F386E"/>
    <w:rsid w:val="001F3D32"/>
    <w:rsid w:val="001F3E37"/>
    <w:rsid w:val="001F5AE9"/>
    <w:rsid w:val="001F6EB2"/>
    <w:rsid w:val="001F7C70"/>
    <w:rsid w:val="00203330"/>
    <w:rsid w:val="0020424B"/>
    <w:rsid w:val="00214917"/>
    <w:rsid w:val="00215951"/>
    <w:rsid w:val="00215ED9"/>
    <w:rsid w:val="002167FF"/>
    <w:rsid w:val="00216929"/>
    <w:rsid w:val="0021699A"/>
    <w:rsid w:val="002174CE"/>
    <w:rsid w:val="002201A1"/>
    <w:rsid w:val="002215BB"/>
    <w:rsid w:val="002217E1"/>
    <w:rsid w:val="00221AAF"/>
    <w:rsid w:val="00222A8E"/>
    <w:rsid w:val="00222B9E"/>
    <w:rsid w:val="002269ED"/>
    <w:rsid w:val="002274BC"/>
    <w:rsid w:val="00232388"/>
    <w:rsid w:val="00233983"/>
    <w:rsid w:val="00233C5F"/>
    <w:rsid w:val="00234AA8"/>
    <w:rsid w:val="00234C77"/>
    <w:rsid w:val="00235AA1"/>
    <w:rsid w:val="00236BBC"/>
    <w:rsid w:val="00240A40"/>
    <w:rsid w:val="00241DA5"/>
    <w:rsid w:val="002421EE"/>
    <w:rsid w:val="00244CDC"/>
    <w:rsid w:val="00245D4F"/>
    <w:rsid w:val="00245E9B"/>
    <w:rsid w:val="00245FD9"/>
    <w:rsid w:val="00246BE7"/>
    <w:rsid w:val="0025099B"/>
    <w:rsid w:val="002513F6"/>
    <w:rsid w:val="00253868"/>
    <w:rsid w:val="00253B55"/>
    <w:rsid w:val="00254B35"/>
    <w:rsid w:val="002554CD"/>
    <w:rsid w:val="002575C6"/>
    <w:rsid w:val="0026139D"/>
    <w:rsid w:val="00263598"/>
    <w:rsid w:val="00264E9E"/>
    <w:rsid w:val="0026585C"/>
    <w:rsid w:val="0027099A"/>
    <w:rsid w:val="00272382"/>
    <w:rsid w:val="00275273"/>
    <w:rsid w:val="00275CF5"/>
    <w:rsid w:val="0027632F"/>
    <w:rsid w:val="002775D7"/>
    <w:rsid w:val="00281D9A"/>
    <w:rsid w:val="00281DDB"/>
    <w:rsid w:val="00282C84"/>
    <w:rsid w:val="0028301F"/>
    <w:rsid w:val="0028304C"/>
    <w:rsid w:val="00285017"/>
    <w:rsid w:val="002913D3"/>
    <w:rsid w:val="002939AF"/>
    <w:rsid w:val="002955D5"/>
    <w:rsid w:val="00295AD1"/>
    <w:rsid w:val="00295C0D"/>
    <w:rsid w:val="00295D66"/>
    <w:rsid w:val="0029683D"/>
    <w:rsid w:val="002A2D2E"/>
    <w:rsid w:val="002A3B4F"/>
    <w:rsid w:val="002A3F11"/>
    <w:rsid w:val="002A49BE"/>
    <w:rsid w:val="002A70BD"/>
    <w:rsid w:val="002B10E9"/>
    <w:rsid w:val="002B176D"/>
    <w:rsid w:val="002B3B55"/>
    <w:rsid w:val="002B6F65"/>
    <w:rsid w:val="002B7548"/>
    <w:rsid w:val="002C00E8"/>
    <w:rsid w:val="002C38CC"/>
    <w:rsid w:val="002C4C5B"/>
    <w:rsid w:val="002C54C2"/>
    <w:rsid w:val="002C6255"/>
    <w:rsid w:val="002D1704"/>
    <w:rsid w:val="002D36E5"/>
    <w:rsid w:val="002D4F55"/>
    <w:rsid w:val="002E0A8D"/>
    <w:rsid w:val="002E535E"/>
    <w:rsid w:val="002E583D"/>
    <w:rsid w:val="002F1695"/>
    <w:rsid w:val="002F1948"/>
    <w:rsid w:val="002F1F68"/>
    <w:rsid w:val="002F37EA"/>
    <w:rsid w:val="002F5E4E"/>
    <w:rsid w:val="002F6A1D"/>
    <w:rsid w:val="002F6F50"/>
    <w:rsid w:val="002F7F41"/>
    <w:rsid w:val="00302D61"/>
    <w:rsid w:val="00302FDD"/>
    <w:rsid w:val="00303E3E"/>
    <w:rsid w:val="00304E94"/>
    <w:rsid w:val="003128E1"/>
    <w:rsid w:val="0031303C"/>
    <w:rsid w:val="0031325C"/>
    <w:rsid w:val="003145BB"/>
    <w:rsid w:val="0031694D"/>
    <w:rsid w:val="0031747D"/>
    <w:rsid w:val="003204BD"/>
    <w:rsid w:val="00320B42"/>
    <w:rsid w:val="003213AE"/>
    <w:rsid w:val="00323076"/>
    <w:rsid w:val="00323EF4"/>
    <w:rsid w:val="00327585"/>
    <w:rsid w:val="003312B8"/>
    <w:rsid w:val="00332E90"/>
    <w:rsid w:val="00334878"/>
    <w:rsid w:val="003360DE"/>
    <w:rsid w:val="003361B3"/>
    <w:rsid w:val="00337181"/>
    <w:rsid w:val="00340690"/>
    <w:rsid w:val="00340C9E"/>
    <w:rsid w:val="003413EC"/>
    <w:rsid w:val="00343749"/>
    <w:rsid w:val="00345DE4"/>
    <w:rsid w:val="00346133"/>
    <w:rsid w:val="003508EA"/>
    <w:rsid w:val="00354946"/>
    <w:rsid w:val="0035625F"/>
    <w:rsid w:val="00356EEF"/>
    <w:rsid w:val="0036008D"/>
    <w:rsid w:val="00360DD1"/>
    <w:rsid w:val="00360F36"/>
    <w:rsid w:val="00361FE7"/>
    <w:rsid w:val="003647BF"/>
    <w:rsid w:val="003660ED"/>
    <w:rsid w:val="003714E5"/>
    <w:rsid w:val="0037167E"/>
    <w:rsid w:val="003736E7"/>
    <w:rsid w:val="003748D6"/>
    <w:rsid w:val="00375443"/>
    <w:rsid w:val="00375F36"/>
    <w:rsid w:val="00377284"/>
    <w:rsid w:val="00380637"/>
    <w:rsid w:val="00381181"/>
    <w:rsid w:val="0038165C"/>
    <w:rsid w:val="00381B1F"/>
    <w:rsid w:val="00381D53"/>
    <w:rsid w:val="00381FE7"/>
    <w:rsid w:val="00382CBF"/>
    <w:rsid w:val="00385182"/>
    <w:rsid w:val="003864AD"/>
    <w:rsid w:val="00386659"/>
    <w:rsid w:val="00390DD2"/>
    <w:rsid w:val="003941D9"/>
    <w:rsid w:val="00395120"/>
    <w:rsid w:val="00395A1B"/>
    <w:rsid w:val="003963D6"/>
    <w:rsid w:val="003A13EC"/>
    <w:rsid w:val="003A1526"/>
    <w:rsid w:val="003A18A3"/>
    <w:rsid w:val="003A1FD9"/>
    <w:rsid w:val="003A4153"/>
    <w:rsid w:val="003A4DA8"/>
    <w:rsid w:val="003A5002"/>
    <w:rsid w:val="003A62BF"/>
    <w:rsid w:val="003B0550"/>
    <w:rsid w:val="003B14F7"/>
    <w:rsid w:val="003B1849"/>
    <w:rsid w:val="003B366F"/>
    <w:rsid w:val="003B3DC1"/>
    <w:rsid w:val="003B6633"/>
    <w:rsid w:val="003B694F"/>
    <w:rsid w:val="003B73A0"/>
    <w:rsid w:val="003C2ECA"/>
    <w:rsid w:val="003C3D17"/>
    <w:rsid w:val="003C45D3"/>
    <w:rsid w:val="003C5C6E"/>
    <w:rsid w:val="003C746A"/>
    <w:rsid w:val="003D4765"/>
    <w:rsid w:val="003D60F8"/>
    <w:rsid w:val="003D6857"/>
    <w:rsid w:val="003D777E"/>
    <w:rsid w:val="003E1EC0"/>
    <w:rsid w:val="003F0F10"/>
    <w:rsid w:val="003F171C"/>
    <w:rsid w:val="003F20CA"/>
    <w:rsid w:val="003F23F0"/>
    <w:rsid w:val="003F28AC"/>
    <w:rsid w:val="003F456D"/>
    <w:rsid w:val="003F52E9"/>
    <w:rsid w:val="003F7811"/>
    <w:rsid w:val="00400675"/>
    <w:rsid w:val="004032B0"/>
    <w:rsid w:val="004036C0"/>
    <w:rsid w:val="0040576A"/>
    <w:rsid w:val="004061BB"/>
    <w:rsid w:val="00412149"/>
    <w:rsid w:val="0041255C"/>
    <w:rsid w:val="00412847"/>
    <w:rsid w:val="00412FC5"/>
    <w:rsid w:val="0041357A"/>
    <w:rsid w:val="00413D97"/>
    <w:rsid w:val="00414A06"/>
    <w:rsid w:val="0041523E"/>
    <w:rsid w:val="00415D34"/>
    <w:rsid w:val="00416B3D"/>
    <w:rsid w:val="00416D06"/>
    <w:rsid w:val="00416FE8"/>
    <w:rsid w:val="004205DE"/>
    <w:rsid w:val="00420BF2"/>
    <w:rsid w:val="004219B4"/>
    <w:rsid w:val="00422276"/>
    <w:rsid w:val="004242F1"/>
    <w:rsid w:val="00427707"/>
    <w:rsid w:val="00431631"/>
    <w:rsid w:val="004320D7"/>
    <w:rsid w:val="004401AC"/>
    <w:rsid w:val="00440430"/>
    <w:rsid w:val="00441D39"/>
    <w:rsid w:val="00441E7E"/>
    <w:rsid w:val="004448B5"/>
    <w:rsid w:val="00445A00"/>
    <w:rsid w:val="00445D57"/>
    <w:rsid w:val="00445F18"/>
    <w:rsid w:val="00446D47"/>
    <w:rsid w:val="00447959"/>
    <w:rsid w:val="00451B0F"/>
    <w:rsid w:val="00452B7D"/>
    <w:rsid w:val="00453C4E"/>
    <w:rsid w:val="004548A6"/>
    <w:rsid w:val="00454C06"/>
    <w:rsid w:val="00455E9F"/>
    <w:rsid w:val="004572F4"/>
    <w:rsid w:val="00457BB8"/>
    <w:rsid w:val="0046018A"/>
    <w:rsid w:val="0046445F"/>
    <w:rsid w:val="00465600"/>
    <w:rsid w:val="00465B20"/>
    <w:rsid w:val="004662AE"/>
    <w:rsid w:val="004718C4"/>
    <w:rsid w:val="00472954"/>
    <w:rsid w:val="00473830"/>
    <w:rsid w:val="00473EED"/>
    <w:rsid w:val="00480269"/>
    <w:rsid w:val="0048068D"/>
    <w:rsid w:val="00480F67"/>
    <w:rsid w:val="00482EB6"/>
    <w:rsid w:val="0048369D"/>
    <w:rsid w:val="00484B96"/>
    <w:rsid w:val="004852A3"/>
    <w:rsid w:val="004859BD"/>
    <w:rsid w:val="00486BD6"/>
    <w:rsid w:val="00487322"/>
    <w:rsid w:val="00491097"/>
    <w:rsid w:val="00494E87"/>
    <w:rsid w:val="00494FF4"/>
    <w:rsid w:val="004953D4"/>
    <w:rsid w:val="004959BC"/>
    <w:rsid w:val="004A2141"/>
    <w:rsid w:val="004A328E"/>
    <w:rsid w:val="004A7488"/>
    <w:rsid w:val="004A78B1"/>
    <w:rsid w:val="004B2294"/>
    <w:rsid w:val="004C18EA"/>
    <w:rsid w:val="004C1B1F"/>
    <w:rsid w:val="004C1DDB"/>
    <w:rsid w:val="004C28C6"/>
    <w:rsid w:val="004C2C9F"/>
    <w:rsid w:val="004C2EE3"/>
    <w:rsid w:val="004C383E"/>
    <w:rsid w:val="004C3A8A"/>
    <w:rsid w:val="004C4252"/>
    <w:rsid w:val="004C51E3"/>
    <w:rsid w:val="004C6588"/>
    <w:rsid w:val="004D21D2"/>
    <w:rsid w:val="004D4C2C"/>
    <w:rsid w:val="004D6A1D"/>
    <w:rsid w:val="004E09F3"/>
    <w:rsid w:val="004E0E54"/>
    <w:rsid w:val="004E4A22"/>
    <w:rsid w:val="004E52BA"/>
    <w:rsid w:val="004E7B7C"/>
    <w:rsid w:val="004F07A1"/>
    <w:rsid w:val="004F3BBE"/>
    <w:rsid w:val="004F52BA"/>
    <w:rsid w:val="004F5738"/>
    <w:rsid w:val="004F634C"/>
    <w:rsid w:val="00503252"/>
    <w:rsid w:val="00510EFA"/>
    <w:rsid w:val="00511968"/>
    <w:rsid w:val="00513738"/>
    <w:rsid w:val="00514795"/>
    <w:rsid w:val="00521C07"/>
    <w:rsid w:val="005220AD"/>
    <w:rsid w:val="0052218B"/>
    <w:rsid w:val="00523494"/>
    <w:rsid w:val="00523503"/>
    <w:rsid w:val="00525904"/>
    <w:rsid w:val="00527317"/>
    <w:rsid w:val="00527B20"/>
    <w:rsid w:val="005309B3"/>
    <w:rsid w:val="00532B93"/>
    <w:rsid w:val="00532DDD"/>
    <w:rsid w:val="005358DF"/>
    <w:rsid w:val="00536E84"/>
    <w:rsid w:val="0053707B"/>
    <w:rsid w:val="005427A8"/>
    <w:rsid w:val="005456F1"/>
    <w:rsid w:val="00545F8C"/>
    <w:rsid w:val="00546C84"/>
    <w:rsid w:val="00547864"/>
    <w:rsid w:val="00550063"/>
    <w:rsid w:val="0055041A"/>
    <w:rsid w:val="0055459C"/>
    <w:rsid w:val="00554C50"/>
    <w:rsid w:val="00554F14"/>
    <w:rsid w:val="0055614C"/>
    <w:rsid w:val="005565A8"/>
    <w:rsid w:val="00561D3A"/>
    <w:rsid w:val="005636A7"/>
    <w:rsid w:val="00563EF3"/>
    <w:rsid w:val="00564D8E"/>
    <w:rsid w:val="00565876"/>
    <w:rsid w:val="00566C5F"/>
    <w:rsid w:val="00566D06"/>
    <w:rsid w:val="00566EFB"/>
    <w:rsid w:val="00567003"/>
    <w:rsid w:val="005739B9"/>
    <w:rsid w:val="0057533A"/>
    <w:rsid w:val="00580104"/>
    <w:rsid w:val="00583BB7"/>
    <w:rsid w:val="00584775"/>
    <w:rsid w:val="0058490B"/>
    <w:rsid w:val="00585056"/>
    <w:rsid w:val="0058672D"/>
    <w:rsid w:val="00587155"/>
    <w:rsid w:val="005908F8"/>
    <w:rsid w:val="00590F73"/>
    <w:rsid w:val="00591BC1"/>
    <w:rsid w:val="00592F32"/>
    <w:rsid w:val="00593A39"/>
    <w:rsid w:val="00595559"/>
    <w:rsid w:val="00596C8C"/>
    <w:rsid w:val="00596E63"/>
    <w:rsid w:val="00597002"/>
    <w:rsid w:val="005972EF"/>
    <w:rsid w:val="005A1773"/>
    <w:rsid w:val="005A2134"/>
    <w:rsid w:val="005A2FEB"/>
    <w:rsid w:val="005A68AD"/>
    <w:rsid w:val="005B37D0"/>
    <w:rsid w:val="005B39CC"/>
    <w:rsid w:val="005B7205"/>
    <w:rsid w:val="005B796E"/>
    <w:rsid w:val="005C0846"/>
    <w:rsid w:val="005C0FEC"/>
    <w:rsid w:val="005C1D96"/>
    <w:rsid w:val="005C2424"/>
    <w:rsid w:val="005C2D63"/>
    <w:rsid w:val="005C376F"/>
    <w:rsid w:val="005C55B5"/>
    <w:rsid w:val="005C5C70"/>
    <w:rsid w:val="005C620E"/>
    <w:rsid w:val="005D0E41"/>
    <w:rsid w:val="005D1B85"/>
    <w:rsid w:val="005D2F32"/>
    <w:rsid w:val="005D3866"/>
    <w:rsid w:val="005D5621"/>
    <w:rsid w:val="005D6F12"/>
    <w:rsid w:val="005E14C2"/>
    <w:rsid w:val="005E3495"/>
    <w:rsid w:val="005E3A01"/>
    <w:rsid w:val="005E44AE"/>
    <w:rsid w:val="005E74C5"/>
    <w:rsid w:val="005F00E5"/>
    <w:rsid w:val="005F0DCA"/>
    <w:rsid w:val="005F27A5"/>
    <w:rsid w:val="005F2844"/>
    <w:rsid w:val="005F7D36"/>
    <w:rsid w:val="0060115D"/>
    <w:rsid w:val="00601813"/>
    <w:rsid w:val="00602C65"/>
    <w:rsid w:val="00607BA5"/>
    <w:rsid w:val="00607CE2"/>
    <w:rsid w:val="006114E3"/>
    <w:rsid w:val="0061180A"/>
    <w:rsid w:val="00611B96"/>
    <w:rsid w:val="0061490C"/>
    <w:rsid w:val="006158DD"/>
    <w:rsid w:val="006162DA"/>
    <w:rsid w:val="00617E97"/>
    <w:rsid w:val="00622C8A"/>
    <w:rsid w:val="00623061"/>
    <w:rsid w:val="006253EB"/>
    <w:rsid w:val="00626EB6"/>
    <w:rsid w:val="00627886"/>
    <w:rsid w:val="00627901"/>
    <w:rsid w:val="00630E46"/>
    <w:rsid w:val="006321DA"/>
    <w:rsid w:val="0063290F"/>
    <w:rsid w:val="006331DC"/>
    <w:rsid w:val="006365FA"/>
    <w:rsid w:val="0063794E"/>
    <w:rsid w:val="006418A2"/>
    <w:rsid w:val="006420C3"/>
    <w:rsid w:val="00644C46"/>
    <w:rsid w:val="00650DAB"/>
    <w:rsid w:val="00654ABF"/>
    <w:rsid w:val="00654E76"/>
    <w:rsid w:val="00655D03"/>
    <w:rsid w:val="00660BB0"/>
    <w:rsid w:val="006617B7"/>
    <w:rsid w:val="00662B6C"/>
    <w:rsid w:val="00663C05"/>
    <w:rsid w:val="00666722"/>
    <w:rsid w:val="00666D64"/>
    <w:rsid w:val="00670563"/>
    <w:rsid w:val="00670B5A"/>
    <w:rsid w:val="006722DE"/>
    <w:rsid w:val="00672619"/>
    <w:rsid w:val="00673F9B"/>
    <w:rsid w:val="00674CAB"/>
    <w:rsid w:val="00675779"/>
    <w:rsid w:val="006757A3"/>
    <w:rsid w:val="00682AAF"/>
    <w:rsid w:val="00683388"/>
    <w:rsid w:val="00683F84"/>
    <w:rsid w:val="00684E0E"/>
    <w:rsid w:val="00686D8B"/>
    <w:rsid w:val="00691864"/>
    <w:rsid w:val="00694644"/>
    <w:rsid w:val="00696CA1"/>
    <w:rsid w:val="006A14A5"/>
    <w:rsid w:val="006A1C40"/>
    <w:rsid w:val="006A6A81"/>
    <w:rsid w:val="006A6D83"/>
    <w:rsid w:val="006B1854"/>
    <w:rsid w:val="006B2233"/>
    <w:rsid w:val="006B2B7C"/>
    <w:rsid w:val="006B2C14"/>
    <w:rsid w:val="006B45C6"/>
    <w:rsid w:val="006B552B"/>
    <w:rsid w:val="006C28E5"/>
    <w:rsid w:val="006C3CCD"/>
    <w:rsid w:val="006C4E8B"/>
    <w:rsid w:val="006C6D55"/>
    <w:rsid w:val="006C6EB7"/>
    <w:rsid w:val="006D3CE7"/>
    <w:rsid w:val="006D40F8"/>
    <w:rsid w:val="006D552C"/>
    <w:rsid w:val="006E0310"/>
    <w:rsid w:val="006E0FD8"/>
    <w:rsid w:val="006E2AAD"/>
    <w:rsid w:val="006E32E6"/>
    <w:rsid w:val="006E6AE8"/>
    <w:rsid w:val="006E6E17"/>
    <w:rsid w:val="006F39C7"/>
    <w:rsid w:val="006F5561"/>
    <w:rsid w:val="006F58C2"/>
    <w:rsid w:val="006F5F30"/>
    <w:rsid w:val="006F61B3"/>
    <w:rsid w:val="006F6EB6"/>
    <w:rsid w:val="006F7393"/>
    <w:rsid w:val="00701FCB"/>
    <w:rsid w:val="0070224F"/>
    <w:rsid w:val="00702A9B"/>
    <w:rsid w:val="0070427F"/>
    <w:rsid w:val="00705817"/>
    <w:rsid w:val="007074E2"/>
    <w:rsid w:val="00707B4F"/>
    <w:rsid w:val="007115F7"/>
    <w:rsid w:val="0071189B"/>
    <w:rsid w:val="00713677"/>
    <w:rsid w:val="00721925"/>
    <w:rsid w:val="0072250A"/>
    <w:rsid w:val="00724DB4"/>
    <w:rsid w:val="00734237"/>
    <w:rsid w:val="00740829"/>
    <w:rsid w:val="00741AFE"/>
    <w:rsid w:val="00741B62"/>
    <w:rsid w:val="00743A3A"/>
    <w:rsid w:val="007441E1"/>
    <w:rsid w:val="00746121"/>
    <w:rsid w:val="00746D38"/>
    <w:rsid w:val="007535FF"/>
    <w:rsid w:val="0076135D"/>
    <w:rsid w:val="00761E75"/>
    <w:rsid w:val="007635DF"/>
    <w:rsid w:val="007638AA"/>
    <w:rsid w:val="00765411"/>
    <w:rsid w:val="00766412"/>
    <w:rsid w:val="007724FB"/>
    <w:rsid w:val="00775E98"/>
    <w:rsid w:val="0077667F"/>
    <w:rsid w:val="00782707"/>
    <w:rsid w:val="00784B49"/>
    <w:rsid w:val="00785689"/>
    <w:rsid w:val="00785D65"/>
    <w:rsid w:val="00787520"/>
    <w:rsid w:val="007918EF"/>
    <w:rsid w:val="00792DE3"/>
    <w:rsid w:val="00796213"/>
    <w:rsid w:val="0079754B"/>
    <w:rsid w:val="007A0E31"/>
    <w:rsid w:val="007A1E6D"/>
    <w:rsid w:val="007A4CC0"/>
    <w:rsid w:val="007A4F42"/>
    <w:rsid w:val="007A5564"/>
    <w:rsid w:val="007A5D85"/>
    <w:rsid w:val="007A60C1"/>
    <w:rsid w:val="007A7F2C"/>
    <w:rsid w:val="007B0B42"/>
    <w:rsid w:val="007B0EB2"/>
    <w:rsid w:val="007B38D3"/>
    <w:rsid w:val="007B3A50"/>
    <w:rsid w:val="007B4E2C"/>
    <w:rsid w:val="007B6DE4"/>
    <w:rsid w:val="007C17DF"/>
    <w:rsid w:val="007C6750"/>
    <w:rsid w:val="007C7276"/>
    <w:rsid w:val="007D0F32"/>
    <w:rsid w:val="007D2407"/>
    <w:rsid w:val="007D4540"/>
    <w:rsid w:val="007D66A3"/>
    <w:rsid w:val="007D7E1E"/>
    <w:rsid w:val="007E059C"/>
    <w:rsid w:val="007E1E1F"/>
    <w:rsid w:val="007E2190"/>
    <w:rsid w:val="007E2298"/>
    <w:rsid w:val="007E5907"/>
    <w:rsid w:val="007E71EF"/>
    <w:rsid w:val="007E720F"/>
    <w:rsid w:val="007F1F98"/>
    <w:rsid w:val="007F31C1"/>
    <w:rsid w:val="007F351E"/>
    <w:rsid w:val="007F3F86"/>
    <w:rsid w:val="007F4A5D"/>
    <w:rsid w:val="007F4C94"/>
    <w:rsid w:val="007F6E8C"/>
    <w:rsid w:val="007F730B"/>
    <w:rsid w:val="008029F5"/>
    <w:rsid w:val="008040B9"/>
    <w:rsid w:val="00805CEC"/>
    <w:rsid w:val="00805DB2"/>
    <w:rsid w:val="00806125"/>
    <w:rsid w:val="00810857"/>
    <w:rsid w:val="00810B6F"/>
    <w:rsid w:val="00821B5C"/>
    <w:rsid w:val="00822CE0"/>
    <w:rsid w:val="00825431"/>
    <w:rsid w:val="00826F27"/>
    <w:rsid w:val="00827394"/>
    <w:rsid w:val="00832667"/>
    <w:rsid w:val="0083300F"/>
    <w:rsid w:val="00833CF9"/>
    <w:rsid w:val="0083553B"/>
    <w:rsid w:val="00837CC7"/>
    <w:rsid w:val="0084051A"/>
    <w:rsid w:val="00841AB1"/>
    <w:rsid w:val="00846A78"/>
    <w:rsid w:val="00851D66"/>
    <w:rsid w:val="008528A4"/>
    <w:rsid w:val="008534AE"/>
    <w:rsid w:val="00854A08"/>
    <w:rsid w:val="008550E4"/>
    <w:rsid w:val="008579AF"/>
    <w:rsid w:val="008626FA"/>
    <w:rsid w:val="008632F1"/>
    <w:rsid w:val="00864EC3"/>
    <w:rsid w:val="00865E23"/>
    <w:rsid w:val="00866D95"/>
    <w:rsid w:val="00867284"/>
    <w:rsid w:val="008706EE"/>
    <w:rsid w:val="0087125F"/>
    <w:rsid w:val="00872A17"/>
    <w:rsid w:val="008751C2"/>
    <w:rsid w:val="00875ED4"/>
    <w:rsid w:val="008772C3"/>
    <w:rsid w:val="008775A4"/>
    <w:rsid w:val="008809B3"/>
    <w:rsid w:val="0088143D"/>
    <w:rsid w:val="00881634"/>
    <w:rsid w:val="00882891"/>
    <w:rsid w:val="00885174"/>
    <w:rsid w:val="008859C9"/>
    <w:rsid w:val="00886189"/>
    <w:rsid w:val="008862FE"/>
    <w:rsid w:val="00891A0F"/>
    <w:rsid w:val="00897355"/>
    <w:rsid w:val="008A0AA0"/>
    <w:rsid w:val="008A29DE"/>
    <w:rsid w:val="008A5A81"/>
    <w:rsid w:val="008A66B1"/>
    <w:rsid w:val="008B1563"/>
    <w:rsid w:val="008B3B59"/>
    <w:rsid w:val="008B3EB2"/>
    <w:rsid w:val="008C215E"/>
    <w:rsid w:val="008C2A06"/>
    <w:rsid w:val="008C3130"/>
    <w:rsid w:val="008C40C3"/>
    <w:rsid w:val="008C679F"/>
    <w:rsid w:val="008C68F1"/>
    <w:rsid w:val="008D004F"/>
    <w:rsid w:val="008D50AA"/>
    <w:rsid w:val="008D7931"/>
    <w:rsid w:val="008E22BF"/>
    <w:rsid w:val="008E2AC2"/>
    <w:rsid w:val="008E354D"/>
    <w:rsid w:val="008E5A6D"/>
    <w:rsid w:val="008E5C9F"/>
    <w:rsid w:val="008E5E33"/>
    <w:rsid w:val="008E67C4"/>
    <w:rsid w:val="008F16B2"/>
    <w:rsid w:val="008F1AFA"/>
    <w:rsid w:val="008F35E8"/>
    <w:rsid w:val="009008F6"/>
    <w:rsid w:val="0090232A"/>
    <w:rsid w:val="009043B7"/>
    <w:rsid w:val="00904E00"/>
    <w:rsid w:val="00905981"/>
    <w:rsid w:val="009059E3"/>
    <w:rsid w:val="00906165"/>
    <w:rsid w:val="009138F1"/>
    <w:rsid w:val="00915131"/>
    <w:rsid w:val="009174CB"/>
    <w:rsid w:val="00917D27"/>
    <w:rsid w:val="00921576"/>
    <w:rsid w:val="00921803"/>
    <w:rsid w:val="00921D1A"/>
    <w:rsid w:val="0092321B"/>
    <w:rsid w:val="00923CC0"/>
    <w:rsid w:val="00925899"/>
    <w:rsid w:val="00926503"/>
    <w:rsid w:val="00926B28"/>
    <w:rsid w:val="00926C04"/>
    <w:rsid w:val="00931885"/>
    <w:rsid w:val="00931CFC"/>
    <w:rsid w:val="00932299"/>
    <w:rsid w:val="009350BD"/>
    <w:rsid w:val="00936C62"/>
    <w:rsid w:val="00941D8A"/>
    <w:rsid w:val="00943143"/>
    <w:rsid w:val="00943BE2"/>
    <w:rsid w:val="009446F4"/>
    <w:rsid w:val="00945BEA"/>
    <w:rsid w:val="00946272"/>
    <w:rsid w:val="00946919"/>
    <w:rsid w:val="00952078"/>
    <w:rsid w:val="00952509"/>
    <w:rsid w:val="009530F8"/>
    <w:rsid w:val="00954D89"/>
    <w:rsid w:val="009559A6"/>
    <w:rsid w:val="00956F71"/>
    <w:rsid w:val="00957B31"/>
    <w:rsid w:val="00960AC8"/>
    <w:rsid w:val="00962AED"/>
    <w:rsid w:val="00962FB5"/>
    <w:rsid w:val="00971015"/>
    <w:rsid w:val="009726D8"/>
    <w:rsid w:val="009740CF"/>
    <w:rsid w:val="00974CB7"/>
    <w:rsid w:val="00975431"/>
    <w:rsid w:val="009825BC"/>
    <w:rsid w:val="00982CD5"/>
    <w:rsid w:val="009845C5"/>
    <w:rsid w:val="009846CB"/>
    <w:rsid w:val="009877E8"/>
    <w:rsid w:val="0099206B"/>
    <w:rsid w:val="00992CD5"/>
    <w:rsid w:val="00994080"/>
    <w:rsid w:val="009940EF"/>
    <w:rsid w:val="009959FB"/>
    <w:rsid w:val="0099779B"/>
    <w:rsid w:val="009A1231"/>
    <w:rsid w:val="009A4219"/>
    <w:rsid w:val="009A453A"/>
    <w:rsid w:val="009A50FE"/>
    <w:rsid w:val="009A5471"/>
    <w:rsid w:val="009A7E55"/>
    <w:rsid w:val="009B3440"/>
    <w:rsid w:val="009B4A10"/>
    <w:rsid w:val="009B589D"/>
    <w:rsid w:val="009B5D3C"/>
    <w:rsid w:val="009C026C"/>
    <w:rsid w:val="009C3572"/>
    <w:rsid w:val="009C7040"/>
    <w:rsid w:val="009C73F4"/>
    <w:rsid w:val="009C7DD0"/>
    <w:rsid w:val="009D062D"/>
    <w:rsid w:val="009D7308"/>
    <w:rsid w:val="009E039A"/>
    <w:rsid w:val="009E1942"/>
    <w:rsid w:val="009E1EFE"/>
    <w:rsid w:val="009E2A3F"/>
    <w:rsid w:val="009E3069"/>
    <w:rsid w:val="009E658A"/>
    <w:rsid w:val="009E7063"/>
    <w:rsid w:val="009E7793"/>
    <w:rsid w:val="009F2F45"/>
    <w:rsid w:val="009F355A"/>
    <w:rsid w:val="009F42E4"/>
    <w:rsid w:val="009F4334"/>
    <w:rsid w:val="009F4636"/>
    <w:rsid w:val="009F4F6E"/>
    <w:rsid w:val="009F76DB"/>
    <w:rsid w:val="00A00DB9"/>
    <w:rsid w:val="00A058B0"/>
    <w:rsid w:val="00A064D0"/>
    <w:rsid w:val="00A073DA"/>
    <w:rsid w:val="00A07C93"/>
    <w:rsid w:val="00A1028F"/>
    <w:rsid w:val="00A117D1"/>
    <w:rsid w:val="00A11D9D"/>
    <w:rsid w:val="00A11F39"/>
    <w:rsid w:val="00A12F0F"/>
    <w:rsid w:val="00A15281"/>
    <w:rsid w:val="00A20214"/>
    <w:rsid w:val="00A2039F"/>
    <w:rsid w:val="00A2259F"/>
    <w:rsid w:val="00A22BCE"/>
    <w:rsid w:val="00A23EDB"/>
    <w:rsid w:val="00A24A74"/>
    <w:rsid w:val="00A25146"/>
    <w:rsid w:val="00A25206"/>
    <w:rsid w:val="00A269DE"/>
    <w:rsid w:val="00A309B3"/>
    <w:rsid w:val="00A32C3B"/>
    <w:rsid w:val="00A34619"/>
    <w:rsid w:val="00A3515B"/>
    <w:rsid w:val="00A35F54"/>
    <w:rsid w:val="00A37659"/>
    <w:rsid w:val="00A44A73"/>
    <w:rsid w:val="00A45F4F"/>
    <w:rsid w:val="00A47CF1"/>
    <w:rsid w:val="00A50635"/>
    <w:rsid w:val="00A532B2"/>
    <w:rsid w:val="00A53606"/>
    <w:rsid w:val="00A547EF"/>
    <w:rsid w:val="00A551A4"/>
    <w:rsid w:val="00A55C5B"/>
    <w:rsid w:val="00A56ADE"/>
    <w:rsid w:val="00A576C2"/>
    <w:rsid w:val="00A57CDC"/>
    <w:rsid w:val="00A57D78"/>
    <w:rsid w:val="00A600A9"/>
    <w:rsid w:val="00A60CE5"/>
    <w:rsid w:val="00A61296"/>
    <w:rsid w:val="00A61B31"/>
    <w:rsid w:val="00A6381B"/>
    <w:rsid w:val="00A63C4D"/>
    <w:rsid w:val="00A64B3D"/>
    <w:rsid w:val="00A726D7"/>
    <w:rsid w:val="00A759C2"/>
    <w:rsid w:val="00A81F82"/>
    <w:rsid w:val="00A82557"/>
    <w:rsid w:val="00A82A26"/>
    <w:rsid w:val="00A82EFE"/>
    <w:rsid w:val="00A8474C"/>
    <w:rsid w:val="00A86AA1"/>
    <w:rsid w:val="00A87F9C"/>
    <w:rsid w:val="00A906C7"/>
    <w:rsid w:val="00A90C71"/>
    <w:rsid w:val="00A91C91"/>
    <w:rsid w:val="00A93E72"/>
    <w:rsid w:val="00A97CD9"/>
    <w:rsid w:val="00AA28B6"/>
    <w:rsid w:val="00AA2D4D"/>
    <w:rsid w:val="00AA55B7"/>
    <w:rsid w:val="00AA57D4"/>
    <w:rsid w:val="00AA5B9E"/>
    <w:rsid w:val="00AB00CD"/>
    <w:rsid w:val="00AB1606"/>
    <w:rsid w:val="00AB1F13"/>
    <w:rsid w:val="00AB2407"/>
    <w:rsid w:val="00AB503A"/>
    <w:rsid w:val="00AB53DF"/>
    <w:rsid w:val="00AB5A77"/>
    <w:rsid w:val="00AC107B"/>
    <w:rsid w:val="00AC201A"/>
    <w:rsid w:val="00AC3841"/>
    <w:rsid w:val="00AC4350"/>
    <w:rsid w:val="00AC438F"/>
    <w:rsid w:val="00AC5447"/>
    <w:rsid w:val="00AC789A"/>
    <w:rsid w:val="00AC7B8E"/>
    <w:rsid w:val="00AD1A11"/>
    <w:rsid w:val="00AD4973"/>
    <w:rsid w:val="00AD7264"/>
    <w:rsid w:val="00AD7939"/>
    <w:rsid w:val="00AE0CF7"/>
    <w:rsid w:val="00AE1FC4"/>
    <w:rsid w:val="00AE2742"/>
    <w:rsid w:val="00AE4D22"/>
    <w:rsid w:val="00AE7313"/>
    <w:rsid w:val="00AF00AF"/>
    <w:rsid w:val="00AF05B5"/>
    <w:rsid w:val="00AF2C94"/>
    <w:rsid w:val="00AF356F"/>
    <w:rsid w:val="00B02AAC"/>
    <w:rsid w:val="00B04463"/>
    <w:rsid w:val="00B04EC0"/>
    <w:rsid w:val="00B063FC"/>
    <w:rsid w:val="00B07E5C"/>
    <w:rsid w:val="00B110AC"/>
    <w:rsid w:val="00B12FF7"/>
    <w:rsid w:val="00B154CB"/>
    <w:rsid w:val="00B17648"/>
    <w:rsid w:val="00B17B18"/>
    <w:rsid w:val="00B20D97"/>
    <w:rsid w:val="00B2238E"/>
    <w:rsid w:val="00B22AFD"/>
    <w:rsid w:val="00B23221"/>
    <w:rsid w:val="00B24855"/>
    <w:rsid w:val="00B26205"/>
    <w:rsid w:val="00B2621A"/>
    <w:rsid w:val="00B26261"/>
    <w:rsid w:val="00B2677E"/>
    <w:rsid w:val="00B268F4"/>
    <w:rsid w:val="00B3079B"/>
    <w:rsid w:val="00B32D30"/>
    <w:rsid w:val="00B33A55"/>
    <w:rsid w:val="00B348D9"/>
    <w:rsid w:val="00B34D98"/>
    <w:rsid w:val="00B35767"/>
    <w:rsid w:val="00B36027"/>
    <w:rsid w:val="00B42533"/>
    <w:rsid w:val="00B4279B"/>
    <w:rsid w:val="00B428EF"/>
    <w:rsid w:val="00B42CC3"/>
    <w:rsid w:val="00B42E0E"/>
    <w:rsid w:val="00B47179"/>
    <w:rsid w:val="00B4776C"/>
    <w:rsid w:val="00B478A1"/>
    <w:rsid w:val="00B50209"/>
    <w:rsid w:val="00B50A38"/>
    <w:rsid w:val="00B51A15"/>
    <w:rsid w:val="00B534E7"/>
    <w:rsid w:val="00B53542"/>
    <w:rsid w:val="00B540A7"/>
    <w:rsid w:val="00B56D5B"/>
    <w:rsid w:val="00B61626"/>
    <w:rsid w:val="00B627E8"/>
    <w:rsid w:val="00B6348B"/>
    <w:rsid w:val="00B63C04"/>
    <w:rsid w:val="00B650BC"/>
    <w:rsid w:val="00B71011"/>
    <w:rsid w:val="00B721AA"/>
    <w:rsid w:val="00B74A38"/>
    <w:rsid w:val="00B74BBB"/>
    <w:rsid w:val="00B75E80"/>
    <w:rsid w:val="00B770C7"/>
    <w:rsid w:val="00B811F7"/>
    <w:rsid w:val="00B83858"/>
    <w:rsid w:val="00B86523"/>
    <w:rsid w:val="00B8753A"/>
    <w:rsid w:val="00B9317B"/>
    <w:rsid w:val="00B93A0A"/>
    <w:rsid w:val="00B93C90"/>
    <w:rsid w:val="00B9533C"/>
    <w:rsid w:val="00B96E08"/>
    <w:rsid w:val="00BA5C39"/>
    <w:rsid w:val="00BA5C93"/>
    <w:rsid w:val="00BA5DC6"/>
    <w:rsid w:val="00BA6196"/>
    <w:rsid w:val="00BA67C2"/>
    <w:rsid w:val="00BA72FC"/>
    <w:rsid w:val="00BB1BAA"/>
    <w:rsid w:val="00BB3C3D"/>
    <w:rsid w:val="00BB51FF"/>
    <w:rsid w:val="00BB685B"/>
    <w:rsid w:val="00BB75BD"/>
    <w:rsid w:val="00BC0C8F"/>
    <w:rsid w:val="00BC13F0"/>
    <w:rsid w:val="00BC237A"/>
    <w:rsid w:val="00BC3D09"/>
    <w:rsid w:val="00BC505B"/>
    <w:rsid w:val="00BC5DBE"/>
    <w:rsid w:val="00BC6974"/>
    <w:rsid w:val="00BC6D8C"/>
    <w:rsid w:val="00BC71A8"/>
    <w:rsid w:val="00BD0DD0"/>
    <w:rsid w:val="00BD147D"/>
    <w:rsid w:val="00BD29B9"/>
    <w:rsid w:val="00BD2FEC"/>
    <w:rsid w:val="00BD5472"/>
    <w:rsid w:val="00BD7B47"/>
    <w:rsid w:val="00BD7B9F"/>
    <w:rsid w:val="00BD7C1E"/>
    <w:rsid w:val="00BE080C"/>
    <w:rsid w:val="00BE150D"/>
    <w:rsid w:val="00BE5045"/>
    <w:rsid w:val="00BE6C67"/>
    <w:rsid w:val="00BF028E"/>
    <w:rsid w:val="00BF11DA"/>
    <w:rsid w:val="00BF151A"/>
    <w:rsid w:val="00BF29C6"/>
    <w:rsid w:val="00BF2ED1"/>
    <w:rsid w:val="00BF41AC"/>
    <w:rsid w:val="00BF6E66"/>
    <w:rsid w:val="00BF7CBF"/>
    <w:rsid w:val="00C0204B"/>
    <w:rsid w:val="00C0204E"/>
    <w:rsid w:val="00C027A3"/>
    <w:rsid w:val="00C03C58"/>
    <w:rsid w:val="00C115AE"/>
    <w:rsid w:val="00C119E4"/>
    <w:rsid w:val="00C121AF"/>
    <w:rsid w:val="00C1622C"/>
    <w:rsid w:val="00C1797B"/>
    <w:rsid w:val="00C17B97"/>
    <w:rsid w:val="00C20457"/>
    <w:rsid w:val="00C22293"/>
    <w:rsid w:val="00C23C05"/>
    <w:rsid w:val="00C24470"/>
    <w:rsid w:val="00C25A15"/>
    <w:rsid w:val="00C26515"/>
    <w:rsid w:val="00C279CA"/>
    <w:rsid w:val="00C301B7"/>
    <w:rsid w:val="00C3040E"/>
    <w:rsid w:val="00C31078"/>
    <w:rsid w:val="00C32194"/>
    <w:rsid w:val="00C34006"/>
    <w:rsid w:val="00C34DE6"/>
    <w:rsid w:val="00C359C6"/>
    <w:rsid w:val="00C3635D"/>
    <w:rsid w:val="00C36B4C"/>
    <w:rsid w:val="00C41E77"/>
    <w:rsid w:val="00C426B1"/>
    <w:rsid w:val="00C42A94"/>
    <w:rsid w:val="00C457B5"/>
    <w:rsid w:val="00C45897"/>
    <w:rsid w:val="00C466F6"/>
    <w:rsid w:val="00C46E71"/>
    <w:rsid w:val="00C518D3"/>
    <w:rsid w:val="00C51AA3"/>
    <w:rsid w:val="00C579F4"/>
    <w:rsid w:val="00C60AD5"/>
    <w:rsid w:val="00C6204D"/>
    <w:rsid w:val="00C6328E"/>
    <w:rsid w:val="00C63A8C"/>
    <w:rsid w:val="00C66160"/>
    <w:rsid w:val="00C67046"/>
    <w:rsid w:val="00C675AE"/>
    <w:rsid w:val="00C721AC"/>
    <w:rsid w:val="00C72683"/>
    <w:rsid w:val="00C7299C"/>
    <w:rsid w:val="00C72A05"/>
    <w:rsid w:val="00C7324D"/>
    <w:rsid w:val="00C7697A"/>
    <w:rsid w:val="00C8263C"/>
    <w:rsid w:val="00C82F7A"/>
    <w:rsid w:val="00C84ABE"/>
    <w:rsid w:val="00C851F2"/>
    <w:rsid w:val="00C85407"/>
    <w:rsid w:val="00C87D14"/>
    <w:rsid w:val="00C90752"/>
    <w:rsid w:val="00C90D6A"/>
    <w:rsid w:val="00C9183D"/>
    <w:rsid w:val="00C91F8F"/>
    <w:rsid w:val="00C93493"/>
    <w:rsid w:val="00C9555F"/>
    <w:rsid w:val="00C96479"/>
    <w:rsid w:val="00C9696B"/>
    <w:rsid w:val="00CA0020"/>
    <w:rsid w:val="00CA04F5"/>
    <w:rsid w:val="00CA0D0F"/>
    <w:rsid w:val="00CA11CA"/>
    <w:rsid w:val="00CA15DF"/>
    <w:rsid w:val="00CA247E"/>
    <w:rsid w:val="00CA3604"/>
    <w:rsid w:val="00CA3AEF"/>
    <w:rsid w:val="00CA5C54"/>
    <w:rsid w:val="00CA6708"/>
    <w:rsid w:val="00CA6D21"/>
    <w:rsid w:val="00CB0415"/>
    <w:rsid w:val="00CB1764"/>
    <w:rsid w:val="00CB2CAB"/>
    <w:rsid w:val="00CB352F"/>
    <w:rsid w:val="00CB4899"/>
    <w:rsid w:val="00CB71D6"/>
    <w:rsid w:val="00CB7C32"/>
    <w:rsid w:val="00CC4090"/>
    <w:rsid w:val="00CC45E7"/>
    <w:rsid w:val="00CC4BE7"/>
    <w:rsid w:val="00CC72B6"/>
    <w:rsid w:val="00CC768A"/>
    <w:rsid w:val="00CD5733"/>
    <w:rsid w:val="00CD696B"/>
    <w:rsid w:val="00CD7002"/>
    <w:rsid w:val="00CE082B"/>
    <w:rsid w:val="00CE26CD"/>
    <w:rsid w:val="00CE35BC"/>
    <w:rsid w:val="00CE388E"/>
    <w:rsid w:val="00CE3FB1"/>
    <w:rsid w:val="00CE6314"/>
    <w:rsid w:val="00CE69F2"/>
    <w:rsid w:val="00CE74DE"/>
    <w:rsid w:val="00CF1D8D"/>
    <w:rsid w:val="00CF2CCC"/>
    <w:rsid w:val="00CF3266"/>
    <w:rsid w:val="00CF598C"/>
    <w:rsid w:val="00CF6ADA"/>
    <w:rsid w:val="00CF7F3C"/>
    <w:rsid w:val="00D00C94"/>
    <w:rsid w:val="00D00E84"/>
    <w:rsid w:val="00D0218D"/>
    <w:rsid w:val="00D058F3"/>
    <w:rsid w:val="00D05920"/>
    <w:rsid w:val="00D06AB9"/>
    <w:rsid w:val="00D144F5"/>
    <w:rsid w:val="00D145D3"/>
    <w:rsid w:val="00D147AB"/>
    <w:rsid w:val="00D151A0"/>
    <w:rsid w:val="00D15CB7"/>
    <w:rsid w:val="00D164D1"/>
    <w:rsid w:val="00D1669C"/>
    <w:rsid w:val="00D21989"/>
    <w:rsid w:val="00D22B81"/>
    <w:rsid w:val="00D22C02"/>
    <w:rsid w:val="00D23E20"/>
    <w:rsid w:val="00D241BD"/>
    <w:rsid w:val="00D24D64"/>
    <w:rsid w:val="00D25FB5"/>
    <w:rsid w:val="00D260D1"/>
    <w:rsid w:val="00D2666A"/>
    <w:rsid w:val="00D326E4"/>
    <w:rsid w:val="00D3518E"/>
    <w:rsid w:val="00D3527E"/>
    <w:rsid w:val="00D37FD7"/>
    <w:rsid w:val="00D429AF"/>
    <w:rsid w:val="00D44223"/>
    <w:rsid w:val="00D45A73"/>
    <w:rsid w:val="00D5234B"/>
    <w:rsid w:val="00D53DA0"/>
    <w:rsid w:val="00D53E9B"/>
    <w:rsid w:val="00D55C43"/>
    <w:rsid w:val="00D57482"/>
    <w:rsid w:val="00D6583F"/>
    <w:rsid w:val="00D65904"/>
    <w:rsid w:val="00D65B78"/>
    <w:rsid w:val="00D66E93"/>
    <w:rsid w:val="00D7053B"/>
    <w:rsid w:val="00D74BCC"/>
    <w:rsid w:val="00D74E6D"/>
    <w:rsid w:val="00D756DE"/>
    <w:rsid w:val="00D80AB4"/>
    <w:rsid w:val="00D80B6D"/>
    <w:rsid w:val="00D80DFF"/>
    <w:rsid w:val="00D83D6F"/>
    <w:rsid w:val="00D869A3"/>
    <w:rsid w:val="00D86A78"/>
    <w:rsid w:val="00D86F0B"/>
    <w:rsid w:val="00D87633"/>
    <w:rsid w:val="00D900C3"/>
    <w:rsid w:val="00D916D9"/>
    <w:rsid w:val="00D931B7"/>
    <w:rsid w:val="00D93622"/>
    <w:rsid w:val="00D967F2"/>
    <w:rsid w:val="00DA0011"/>
    <w:rsid w:val="00DA0E45"/>
    <w:rsid w:val="00DA0E82"/>
    <w:rsid w:val="00DA22F6"/>
    <w:rsid w:val="00DA2529"/>
    <w:rsid w:val="00DA3150"/>
    <w:rsid w:val="00DA4AAD"/>
    <w:rsid w:val="00DA4CA3"/>
    <w:rsid w:val="00DA5B93"/>
    <w:rsid w:val="00DA64EE"/>
    <w:rsid w:val="00DA769A"/>
    <w:rsid w:val="00DB08E6"/>
    <w:rsid w:val="00DB093A"/>
    <w:rsid w:val="00DB1090"/>
    <w:rsid w:val="00DB130A"/>
    <w:rsid w:val="00DB2EBB"/>
    <w:rsid w:val="00DB563E"/>
    <w:rsid w:val="00DB7DE9"/>
    <w:rsid w:val="00DC0427"/>
    <w:rsid w:val="00DC0AB5"/>
    <w:rsid w:val="00DC10A1"/>
    <w:rsid w:val="00DC1117"/>
    <w:rsid w:val="00DC1CAF"/>
    <w:rsid w:val="00DC655F"/>
    <w:rsid w:val="00DC742B"/>
    <w:rsid w:val="00DD0B59"/>
    <w:rsid w:val="00DD1EAE"/>
    <w:rsid w:val="00DD2AAC"/>
    <w:rsid w:val="00DD3D5A"/>
    <w:rsid w:val="00DD3FBE"/>
    <w:rsid w:val="00DD78E8"/>
    <w:rsid w:val="00DD7EBD"/>
    <w:rsid w:val="00DE162A"/>
    <w:rsid w:val="00DE1997"/>
    <w:rsid w:val="00DE206C"/>
    <w:rsid w:val="00DE2255"/>
    <w:rsid w:val="00DE2544"/>
    <w:rsid w:val="00DE339D"/>
    <w:rsid w:val="00DE53A4"/>
    <w:rsid w:val="00DE5D40"/>
    <w:rsid w:val="00DE65DD"/>
    <w:rsid w:val="00DE6CFC"/>
    <w:rsid w:val="00DE76B7"/>
    <w:rsid w:val="00DF0083"/>
    <w:rsid w:val="00DF0A0A"/>
    <w:rsid w:val="00DF224C"/>
    <w:rsid w:val="00DF3017"/>
    <w:rsid w:val="00DF62B6"/>
    <w:rsid w:val="00DF6754"/>
    <w:rsid w:val="00E03516"/>
    <w:rsid w:val="00E06C18"/>
    <w:rsid w:val="00E07225"/>
    <w:rsid w:val="00E07314"/>
    <w:rsid w:val="00E104CF"/>
    <w:rsid w:val="00E1192F"/>
    <w:rsid w:val="00E14847"/>
    <w:rsid w:val="00E14B23"/>
    <w:rsid w:val="00E16DAE"/>
    <w:rsid w:val="00E16F0B"/>
    <w:rsid w:val="00E21C99"/>
    <w:rsid w:val="00E222BA"/>
    <w:rsid w:val="00E22493"/>
    <w:rsid w:val="00E2286D"/>
    <w:rsid w:val="00E23736"/>
    <w:rsid w:val="00E26C9E"/>
    <w:rsid w:val="00E315F2"/>
    <w:rsid w:val="00E36244"/>
    <w:rsid w:val="00E37884"/>
    <w:rsid w:val="00E379AE"/>
    <w:rsid w:val="00E37E61"/>
    <w:rsid w:val="00E40E9D"/>
    <w:rsid w:val="00E41D05"/>
    <w:rsid w:val="00E41D76"/>
    <w:rsid w:val="00E449A7"/>
    <w:rsid w:val="00E44D0E"/>
    <w:rsid w:val="00E44F9D"/>
    <w:rsid w:val="00E4588A"/>
    <w:rsid w:val="00E45CA6"/>
    <w:rsid w:val="00E470FB"/>
    <w:rsid w:val="00E517C0"/>
    <w:rsid w:val="00E51EE1"/>
    <w:rsid w:val="00E53015"/>
    <w:rsid w:val="00E5409F"/>
    <w:rsid w:val="00E542A7"/>
    <w:rsid w:val="00E54693"/>
    <w:rsid w:val="00E56855"/>
    <w:rsid w:val="00E57480"/>
    <w:rsid w:val="00E57BEA"/>
    <w:rsid w:val="00E632BA"/>
    <w:rsid w:val="00E642DB"/>
    <w:rsid w:val="00E64553"/>
    <w:rsid w:val="00E64826"/>
    <w:rsid w:val="00E65577"/>
    <w:rsid w:val="00E65B7E"/>
    <w:rsid w:val="00E67C35"/>
    <w:rsid w:val="00E706A0"/>
    <w:rsid w:val="00E71EE6"/>
    <w:rsid w:val="00E73BE4"/>
    <w:rsid w:val="00E75483"/>
    <w:rsid w:val="00E778CE"/>
    <w:rsid w:val="00E81B94"/>
    <w:rsid w:val="00E82E69"/>
    <w:rsid w:val="00E83117"/>
    <w:rsid w:val="00E844CF"/>
    <w:rsid w:val="00E873F4"/>
    <w:rsid w:val="00E9075E"/>
    <w:rsid w:val="00E913C0"/>
    <w:rsid w:val="00E93AD5"/>
    <w:rsid w:val="00EA097B"/>
    <w:rsid w:val="00EA156E"/>
    <w:rsid w:val="00EA3E9A"/>
    <w:rsid w:val="00EA42E5"/>
    <w:rsid w:val="00EA55AB"/>
    <w:rsid w:val="00EA56D6"/>
    <w:rsid w:val="00EA6CC8"/>
    <w:rsid w:val="00EA7EA8"/>
    <w:rsid w:val="00EB7114"/>
    <w:rsid w:val="00EB7AE4"/>
    <w:rsid w:val="00EC2B45"/>
    <w:rsid w:val="00EC3C47"/>
    <w:rsid w:val="00EC6CF0"/>
    <w:rsid w:val="00ED3807"/>
    <w:rsid w:val="00EE05E8"/>
    <w:rsid w:val="00EE0768"/>
    <w:rsid w:val="00EE0A8D"/>
    <w:rsid w:val="00EE3623"/>
    <w:rsid w:val="00EE393A"/>
    <w:rsid w:val="00EE5E0C"/>
    <w:rsid w:val="00EE61ED"/>
    <w:rsid w:val="00EE6488"/>
    <w:rsid w:val="00EF134A"/>
    <w:rsid w:val="00EF1CE1"/>
    <w:rsid w:val="00EF2AA0"/>
    <w:rsid w:val="00EF3A43"/>
    <w:rsid w:val="00EF5CDC"/>
    <w:rsid w:val="00EF6FA9"/>
    <w:rsid w:val="00EF7012"/>
    <w:rsid w:val="00F00069"/>
    <w:rsid w:val="00F01CEB"/>
    <w:rsid w:val="00F021FA"/>
    <w:rsid w:val="00F02641"/>
    <w:rsid w:val="00F035DF"/>
    <w:rsid w:val="00F04C3C"/>
    <w:rsid w:val="00F04F30"/>
    <w:rsid w:val="00F05F70"/>
    <w:rsid w:val="00F1020F"/>
    <w:rsid w:val="00F1098A"/>
    <w:rsid w:val="00F109BB"/>
    <w:rsid w:val="00F11006"/>
    <w:rsid w:val="00F12957"/>
    <w:rsid w:val="00F148B8"/>
    <w:rsid w:val="00F14E5D"/>
    <w:rsid w:val="00F16795"/>
    <w:rsid w:val="00F22AC2"/>
    <w:rsid w:val="00F2610A"/>
    <w:rsid w:val="00F263EF"/>
    <w:rsid w:val="00F26607"/>
    <w:rsid w:val="00F27BA3"/>
    <w:rsid w:val="00F27C3E"/>
    <w:rsid w:val="00F36FAA"/>
    <w:rsid w:val="00F375F5"/>
    <w:rsid w:val="00F41EA2"/>
    <w:rsid w:val="00F425B6"/>
    <w:rsid w:val="00F4319D"/>
    <w:rsid w:val="00F45A84"/>
    <w:rsid w:val="00F45B68"/>
    <w:rsid w:val="00F4679B"/>
    <w:rsid w:val="00F46DCC"/>
    <w:rsid w:val="00F47294"/>
    <w:rsid w:val="00F47A46"/>
    <w:rsid w:val="00F508E9"/>
    <w:rsid w:val="00F53B2C"/>
    <w:rsid w:val="00F55801"/>
    <w:rsid w:val="00F6276F"/>
    <w:rsid w:val="00F62E97"/>
    <w:rsid w:val="00F63045"/>
    <w:rsid w:val="00F63239"/>
    <w:rsid w:val="00F6411C"/>
    <w:rsid w:val="00F64209"/>
    <w:rsid w:val="00F6751B"/>
    <w:rsid w:val="00F67A08"/>
    <w:rsid w:val="00F703D3"/>
    <w:rsid w:val="00F71E2D"/>
    <w:rsid w:val="00F72AEF"/>
    <w:rsid w:val="00F740F1"/>
    <w:rsid w:val="00F7498A"/>
    <w:rsid w:val="00F771DF"/>
    <w:rsid w:val="00F81364"/>
    <w:rsid w:val="00F8351D"/>
    <w:rsid w:val="00F8401C"/>
    <w:rsid w:val="00F8458B"/>
    <w:rsid w:val="00F87DE2"/>
    <w:rsid w:val="00F9061A"/>
    <w:rsid w:val="00F91946"/>
    <w:rsid w:val="00F91D00"/>
    <w:rsid w:val="00F927B0"/>
    <w:rsid w:val="00F92AED"/>
    <w:rsid w:val="00F9334D"/>
    <w:rsid w:val="00F9344D"/>
    <w:rsid w:val="00F93BF5"/>
    <w:rsid w:val="00F96C6D"/>
    <w:rsid w:val="00F97CC1"/>
    <w:rsid w:val="00FA04B0"/>
    <w:rsid w:val="00FA2987"/>
    <w:rsid w:val="00FA5233"/>
    <w:rsid w:val="00FA5E97"/>
    <w:rsid w:val="00FB22BE"/>
    <w:rsid w:val="00FC0459"/>
    <w:rsid w:val="00FC047D"/>
    <w:rsid w:val="00FC1545"/>
    <w:rsid w:val="00FC2EEA"/>
    <w:rsid w:val="00FC3DE7"/>
    <w:rsid w:val="00FC4A6F"/>
    <w:rsid w:val="00FC596F"/>
    <w:rsid w:val="00FC7A5B"/>
    <w:rsid w:val="00FD1418"/>
    <w:rsid w:val="00FD1779"/>
    <w:rsid w:val="00FD19F1"/>
    <w:rsid w:val="00FD47E5"/>
    <w:rsid w:val="00FD5C28"/>
    <w:rsid w:val="00FD6B02"/>
    <w:rsid w:val="00FE0D6D"/>
    <w:rsid w:val="00FE0F37"/>
    <w:rsid w:val="00FE3053"/>
    <w:rsid w:val="00FE30FB"/>
    <w:rsid w:val="00FE351C"/>
    <w:rsid w:val="00FE3F1A"/>
    <w:rsid w:val="00FE596D"/>
    <w:rsid w:val="00FE61EB"/>
    <w:rsid w:val="00FE63FA"/>
    <w:rsid w:val="00FF0733"/>
    <w:rsid w:val="00FF0E2E"/>
    <w:rsid w:val="00FF1528"/>
    <w:rsid w:val="00FF22ED"/>
    <w:rsid w:val="00FF4EA8"/>
    <w:rsid w:val="632748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C4888E4-2C5A-44BC-8329-B7B1AAF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96"/>
    <w:pPr>
      <w:widowControl w:val="0"/>
    </w:pPr>
    <w:rPr>
      <w:snapToGrid w:val="0"/>
      <w:kern w:val="28"/>
      <w:sz w:val="22"/>
    </w:rPr>
  </w:style>
  <w:style w:type="paragraph" w:styleId="Heading1">
    <w:name w:val="heading 1"/>
    <w:basedOn w:val="Normal"/>
    <w:next w:val="ParaNum"/>
    <w:qFormat/>
    <w:rsid w:val="00A612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1296"/>
    <w:pPr>
      <w:keepNext/>
      <w:numPr>
        <w:ilvl w:val="1"/>
        <w:numId w:val="3"/>
      </w:numPr>
      <w:spacing w:after="120"/>
      <w:outlineLvl w:val="1"/>
    </w:pPr>
    <w:rPr>
      <w:b/>
    </w:rPr>
  </w:style>
  <w:style w:type="paragraph" w:styleId="Heading3">
    <w:name w:val="heading 3"/>
    <w:basedOn w:val="Normal"/>
    <w:next w:val="ParaNum"/>
    <w:qFormat/>
    <w:rsid w:val="00A61296"/>
    <w:pPr>
      <w:keepNext/>
      <w:numPr>
        <w:ilvl w:val="2"/>
        <w:numId w:val="3"/>
      </w:numPr>
      <w:tabs>
        <w:tab w:val="left" w:pos="2160"/>
      </w:tabs>
      <w:spacing w:after="120"/>
      <w:outlineLvl w:val="2"/>
    </w:pPr>
    <w:rPr>
      <w:b/>
    </w:rPr>
  </w:style>
  <w:style w:type="paragraph" w:styleId="Heading4">
    <w:name w:val="heading 4"/>
    <w:basedOn w:val="Normal"/>
    <w:next w:val="ParaNum"/>
    <w:qFormat/>
    <w:rsid w:val="00A61296"/>
    <w:pPr>
      <w:keepNext/>
      <w:numPr>
        <w:ilvl w:val="3"/>
        <w:numId w:val="3"/>
      </w:numPr>
      <w:tabs>
        <w:tab w:val="left" w:pos="2880"/>
      </w:tabs>
      <w:spacing w:after="120"/>
      <w:outlineLvl w:val="3"/>
    </w:pPr>
    <w:rPr>
      <w:b/>
    </w:rPr>
  </w:style>
  <w:style w:type="paragraph" w:styleId="Heading5">
    <w:name w:val="heading 5"/>
    <w:basedOn w:val="Normal"/>
    <w:next w:val="ParaNum"/>
    <w:qFormat/>
    <w:rsid w:val="00A6129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61296"/>
    <w:pPr>
      <w:numPr>
        <w:ilvl w:val="5"/>
        <w:numId w:val="3"/>
      </w:numPr>
      <w:tabs>
        <w:tab w:val="left" w:pos="4320"/>
      </w:tabs>
      <w:spacing w:after="120"/>
      <w:outlineLvl w:val="5"/>
    </w:pPr>
    <w:rPr>
      <w:b/>
    </w:rPr>
  </w:style>
  <w:style w:type="paragraph" w:styleId="Heading7">
    <w:name w:val="heading 7"/>
    <w:basedOn w:val="Normal"/>
    <w:next w:val="ParaNum"/>
    <w:qFormat/>
    <w:rsid w:val="00A6129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12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612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12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1296"/>
  </w:style>
  <w:style w:type="paragraph" w:customStyle="1" w:styleId="ParaNum">
    <w:name w:val="ParaNum"/>
    <w:basedOn w:val="Normal"/>
    <w:link w:val="ParaNumChar"/>
    <w:rsid w:val="00A61296"/>
    <w:pPr>
      <w:numPr>
        <w:numId w:val="2"/>
      </w:numPr>
      <w:tabs>
        <w:tab w:val="clear" w:pos="1080"/>
        <w:tab w:val="num" w:pos="1440"/>
      </w:tabs>
      <w:spacing w:after="120"/>
    </w:pPr>
  </w:style>
  <w:style w:type="paragraph" w:styleId="EndnoteText">
    <w:name w:val="endnote text"/>
    <w:basedOn w:val="Normal"/>
    <w:semiHidden/>
    <w:rsid w:val="00A61296"/>
    <w:rPr>
      <w:sz w:val="20"/>
    </w:rPr>
  </w:style>
  <w:style w:type="character" w:styleId="EndnoteReference">
    <w:name w:val="endnote reference"/>
    <w:semiHidden/>
    <w:rsid w:val="00A61296"/>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A6129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61296"/>
    <w:rPr>
      <w:rFonts w:ascii="Times New Roman" w:hAnsi="Times New Roman"/>
      <w:dstrike w:val="0"/>
      <w:color w:val="auto"/>
      <w:sz w:val="20"/>
      <w:vertAlign w:val="superscript"/>
    </w:rPr>
  </w:style>
  <w:style w:type="paragraph" w:styleId="TOC1">
    <w:name w:val="toc 1"/>
    <w:basedOn w:val="Normal"/>
    <w:next w:val="Normal"/>
    <w:semiHidden/>
    <w:rsid w:val="00A612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1296"/>
    <w:pPr>
      <w:tabs>
        <w:tab w:val="left" w:pos="720"/>
        <w:tab w:val="right" w:leader="dot" w:pos="9360"/>
      </w:tabs>
      <w:suppressAutoHyphens/>
      <w:ind w:left="720" w:right="720" w:hanging="360"/>
    </w:pPr>
    <w:rPr>
      <w:noProof/>
    </w:rPr>
  </w:style>
  <w:style w:type="paragraph" w:styleId="TOC3">
    <w:name w:val="toc 3"/>
    <w:basedOn w:val="Normal"/>
    <w:next w:val="Normal"/>
    <w:semiHidden/>
    <w:rsid w:val="00A612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12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12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12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12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12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12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1296"/>
    <w:pPr>
      <w:tabs>
        <w:tab w:val="right" w:pos="9360"/>
      </w:tabs>
      <w:suppressAutoHyphens/>
    </w:pPr>
  </w:style>
  <w:style w:type="character" w:customStyle="1" w:styleId="EquationCaption">
    <w:name w:val="_Equation Caption"/>
    <w:rsid w:val="00A61296"/>
  </w:style>
  <w:style w:type="paragraph" w:styleId="Header">
    <w:name w:val="header"/>
    <w:basedOn w:val="Normal"/>
    <w:autoRedefine/>
    <w:rsid w:val="00A61296"/>
    <w:pPr>
      <w:tabs>
        <w:tab w:val="center" w:pos="4680"/>
        <w:tab w:val="right" w:pos="9360"/>
      </w:tabs>
    </w:pPr>
    <w:rPr>
      <w:b/>
    </w:rPr>
  </w:style>
  <w:style w:type="paragraph" w:styleId="Footer">
    <w:name w:val="footer"/>
    <w:basedOn w:val="Normal"/>
    <w:link w:val="FooterChar"/>
    <w:uiPriority w:val="99"/>
    <w:rsid w:val="00A61296"/>
    <w:pPr>
      <w:tabs>
        <w:tab w:val="center" w:pos="4320"/>
        <w:tab w:val="right" w:pos="8640"/>
      </w:tabs>
    </w:pPr>
  </w:style>
  <w:style w:type="character" w:styleId="PageNumber">
    <w:name w:val="page number"/>
    <w:basedOn w:val="DefaultParagraphFont"/>
    <w:rsid w:val="00A61296"/>
  </w:style>
  <w:style w:type="paragraph" w:styleId="BlockText">
    <w:name w:val="Block Text"/>
    <w:basedOn w:val="Normal"/>
    <w:rsid w:val="00A61296"/>
    <w:pPr>
      <w:spacing w:after="240"/>
      <w:ind w:left="1440" w:right="1440"/>
    </w:pPr>
  </w:style>
  <w:style w:type="paragraph" w:customStyle="1" w:styleId="Paratitle">
    <w:name w:val="Para title"/>
    <w:basedOn w:val="Normal"/>
    <w:rsid w:val="00A61296"/>
    <w:pPr>
      <w:tabs>
        <w:tab w:val="center" w:pos="9270"/>
      </w:tabs>
      <w:spacing w:after="240"/>
    </w:pPr>
    <w:rPr>
      <w:spacing w:val="-2"/>
    </w:rPr>
  </w:style>
  <w:style w:type="paragraph" w:customStyle="1" w:styleId="Bullet">
    <w:name w:val="Bullet"/>
    <w:basedOn w:val="Normal"/>
    <w:rsid w:val="00A61296"/>
    <w:pPr>
      <w:tabs>
        <w:tab w:val="left" w:pos="2160"/>
      </w:tabs>
      <w:spacing w:after="220"/>
      <w:ind w:left="2160" w:hanging="720"/>
    </w:pPr>
  </w:style>
  <w:style w:type="paragraph" w:customStyle="1" w:styleId="TableFormat">
    <w:name w:val="TableFormat"/>
    <w:basedOn w:val="Bullet"/>
    <w:rsid w:val="00A61296"/>
    <w:pPr>
      <w:tabs>
        <w:tab w:val="clear" w:pos="2160"/>
        <w:tab w:val="left" w:pos="5040"/>
      </w:tabs>
      <w:ind w:left="5040" w:hanging="3600"/>
    </w:pPr>
  </w:style>
  <w:style w:type="paragraph" w:customStyle="1" w:styleId="TOCTitle">
    <w:name w:val="TOC Title"/>
    <w:basedOn w:val="Normal"/>
    <w:rsid w:val="00A612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1296"/>
    <w:pPr>
      <w:jc w:val="center"/>
    </w:pPr>
    <w:rPr>
      <w:rFonts w:ascii="Times New Roman Bold" w:hAnsi="Times New Roman Bold"/>
      <w:b/>
      <w:bCs/>
      <w:caps/>
      <w:szCs w:val="22"/>
    </w:rPr>
  </w:style>
  <w:style w:type="character" w:styleId="Hyperlink">
    <w:name w:val="Hyperlink"/>
    <w:rsid w:val="00A61296"/>
    <w:rPr>
      <w:color w:val="0000FF"/>
      <w:u w:val="single"/>
    </w:rPr>
  </w:style>
  <w:style w:type="character" w:customStyle="1" w:styleId="FooterChar">
    <w:name w:val="Footer Char"/>
    <w:link w:val="Footer"/>
    <w:uiPriority w:val="99"/>
    <w:rsid w:val="00A61296"/>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8859C9"/>
  </w:style>
  <w:style w:type="character" w:customStyle="1" w:styleId="ParaNumChar">
    <w:name w:val="ParaNum Char"/>
    <w:link w:val="ParaNum"/>
    <w:locked/>
    <w:rsid w:val="008859C9"/>
    <w:rPr>
      <w:snapToGrid w:val="0"/>
      <w:kern w:val="28"/>
      <w:sz w:val="22"/>
    </w:rPr>
  </w:style>
  <w:style w:type="paragraph" w:styleId="BalloonText">
    <w:name w:val="Balloon Text"/>
    <w:basedOn w:val="Normal"/>
    <w:link w:val="BalloonTextChar"/>
    <w:rsid w:val="00AB1F13"/>
    <w:rPr>
      <w:rFonts w:ascii="Segoe UI" w:hAnsi="Segoe UI" w:cs="Segoe UI"/>
      <w:sz w:val="18"/>
      <w:szCs w:val="18"/>
    </w:rPr>
  </w:style>
  <w:style w:type="character" w:customStyle="1" w:styleId="BalloonTextChar">
    <w:name w:val="Balloon Text Char"/>
    <w:link w:val="BalloonText"/>
    <w:rsid w:val="00AB1F13"/>
    <w:rPr>
      <w:rFonts w:ascii="Segoe UI" w:hAnsi="Segoe UI" w:cs="Segoe UI"/>
      <w:snapToGrid w:val="0"/>
      <w:kern w:val="28"/>
      <w:sz w:val="18"/>
      <w:szCs w:val="18"/>
    </w:rPr>
  </w:style>
  <w:style w:type="character" w:styleId="CommentReference">
    <w:name w:val="annotation reference"/>
    <w:rsid w:val="00DD3D5A"/>
    <w:rPr>
      <w:sz w:val="16"/>
      <w:szCs w:val="16"/>
    </w:rPr>
  </w:style>
  <w:style w:type="paragraph" w:styleId="CommentText">
    <w:name w:val="annotation text"/>
    <w:basedOn w:val="Normal"/>
    <w:link w:val="CommentTextChar"/>
    <w:rsid w:val="00DD3D5A"/>
    <w:rPr>
      <w:sz w:val="20"/>
    </w:rPr>
  </w:style>
  <w:style w:type="character" w:customStyle="1" w:styleId="CommentTextChar">
    <w:name w:val="Comment Text Char"/>
    <w:link w:val="CommentText"/>
    <w:rsid w:val="00DD3D5A"/>
    <w:rPr>
      <w:snapToGrid w:val="0"/>
      <w:kern w:val="28"/>
    </w:rPr>
  </w:style>
  <w:style w:type="paragraph" w:styleId="CommentSubject">
    <w:name w:val="annotation subject"/>
    <w:basedOn w:val="CommentText"/>
    <w:next w:val="CommentText"/>
    <w:link w:val="CommentSubjectChar"/>
    <w:rsid w:val="00DD3D5A"/>
    <w:rPr>
      <w:b/>
      <w:bCs/>
    </w:rPr>
  </w:style>
  <w:style w:type="character" w:customStyle="1" w:styleId="CommentSubjectChar">
    <w:name w:val="Comment Subject Char"/>
    <w:link w:val="CommentSubject"/>
    <w:rsid w:val="00DD3D5A"/>
    <w:rPr>
      <w:b/>
      <w:bCs/>
      <w:snapToGrid w:val="0"/>
      <w:kern w:val="28"/>
    </w:rPr>
  </w:style>
  <w:style w:type="paragraph" w:styleId="Revision">
    <w:name w:val="Revision"/>
    <w:hidden/>
    <w:uiPriority w:val="99"/>
    <w:semiHidden/>
    <w:rsid w:val="00BD29B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