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951A8" w:rsidRPr="00DA5FB5" w14:paraId="5837F5DD" w14:textId="77777777">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9576" w:type="dxa"/>
        <w:tblLayout w:type="fixed"/>
        <w:tblLook w:val="0000"/>
      </w:tblPr>
      <w:tblGrid>
        <w:gridCol w:w="4698"/>
        <w:gridCol w:w="630"/>
        <w:gridCol w:w="4248"/>
      </w:tblGrid>
      <w:tr w14:paraId="203E80D2" w14:textId="77777777" w:rsidTr="00597401">
        <w:tblPrEx>
          <w:tblW w:w="9576" w:type="dxa"/>
          <w:tblLayout w:type="fixed"/>
          <w:tblLook w:val="0000"/>
        </w:tblPrEx>
        <w:tc>
          <w:tcPr>
            <w:tcW w:w="4698" w:type="dxa"/>
          </w:tcPr>
          <w:p w:rsidR="003341AF" w:rsidP="003341AF" w14:paraId="56FBD625" w14:textId="77777777">
            <w:pPr>
              <w:tabs>
                <w:tab w:val="center" w:pos="4680"/>
              </w:tabs>
              <w:suppressAutoHyphens/>
              <w:contextualSpacing/>
              <w:rPr>
                <w:spacing w:val="-2"/>
              </w:rPr>
            </w:pPr>
            <w:r>
              <w:rPr>
                <w:spacing w:val="-2"/>
              </w:rPr>
              <w:t xml:space="preserve">In the Matter of Online Political Files of </w:t>
            </w:r>
          </w:p>
          <w:p w:rsidR="003341AF" w:rsidP="003341AF" w14:paraId="165337BD" w14:textId="77777777">
            <w:pPr>
              <w:tabs>
                <w:tab w:val="left" w:pos="2865"/>
              </w:tabs>
              <w:contextualSpacing/>
              <w:rPr>
                <w:spacing w:val="-2"/>
              </w:rPr>
            </w:pPr>
          </w:p>
          <w:p w:rsidR="003341AF" w:rsidRPr="003B3489" w:rsidP="003341AF" w14:paraId="118E0F86" w14:textId="77777777">
            <w:pPr>
              <w:tabs>
                <w:tab w:val="left" w:pos="2865"/>
              </w:tabs>
              <w:contextualSpacing/>
              <w:rPr>
                <w:spacing w:val="-2"/>
              </w:rPr>
            </w:pPr>
            <w:bookmarkStart w:id="0" w:name="_Hlk40884054"/>
            <w:r>
              <w:rPr>
                <w:spacing w:val="-2"/>
              </w:rPr>
              <w:t>Commonwealth Radio, L.L.C.</w:t>
            </w:r>
          </w:p>
          <w:bookmarkEnd w:id="0"/>
          <w:p w:rsidR="003341AF" w:rsidP="003341AF" w14:paraId="11F6548F" w14:textId="77777777">
            <w:pPr>
              <w:tabs>
                <w:tab w:val="left" w:pos="2865"/>
              </w:tabs>
              <w:contextualSpacing/>
            </w:pPr>
          </w:p>
          <w:p w:rsidR="00597401" w:rsidP="003341AF" w14:paraId="0AB06222" w14:textId="3216B35D">
            <w:pPr>
              <w:tabs>
                <w:tab w:val="left" w:pos="2865"/>
              </w:tabs>
              <w:contextualSpacing/>
            </w:pPr>
            <w:r>
              <w:t>Licensee of Commercial Radio Station</w:t>
            </w:r>
          </w:p>
        </w:tc>
        <w:tc>
          <w:tcPr>
            <w:tcW w:w="630" w:type="dxa"/>
          </w:tcPr>
          <w:p w:rsidR="00597401" w:rsidP="007530BB" w14:paraId="2BB15CFD" w14:textId="77777777">
            <w:pPr>
              <w:tabs>
                <w:tab w:val="center" w:pos="4680"/>
              </w:tabs>
              <w:suppressAutoHyphens/>
              <w:contextualSpacing/>
              <w:rPr>
                <w:b/>
                <w:spacing w:val="-2"/>
              </w:rPr>
            </w:pPr>
            <w:r>
              <w:rPr>
                <w:b/>
                <w:spacing w:val="-2"/>
              </w:rPr>
              <w:t>)</w:t>
            </w:r>
          </w:p>
          <w:p w:rsidR="00597401" w:rsidP="007530BB" w14:paraId="4E4916F3" w14:textId="77777777">
            <w:pPr>
              <w:tabs>
                <w:tab w:val="center" w:pos="4680"/>
              </w:tabs>
              <w:suppressAutoHyphens/>
              <w:contextualSpacing/>
              <w:rPr>
                <w:b/>
                <w:spacing w:val="-2"/>
              </w:rPr>
            </w:pPr>
            <w:r>
              <w:rPr>
                <w:b/>
                <w:spacing w:val="-2"/>
              </w:rPr>
              <w:t>)</w:t>
            </w:r>
          </w:p>
          <w:p w:rsidR="00597401" w:rsidP="007530BB" w14:paraId="6502353A" w14:textId="77777777">
            <w:pPr>
              <w:tabs>
                <w:tab w:val="center" w:pos="4680"/>
              </w:tabs>
              <w:suppressAutoHyphens/>
              <w:contextualSpacing/>
              <w:rPr>
                <w:b/>
                <w:spacing w:val="-2"/>
              </w:rPr>
            </w:pPr>
            <w:r>
              <w:rPr>
                <w:b/>
                <w:spacing w:val="-2"/>
              </w:rPr>
              <w:t>)</w:t>
            </w:r>
          </w:p>
          <w:p w:rsidR="00597401" w:rsidP="007530BB" w14:paraId="20C0E0D1" w14:textId="77777777">
            <w:pPr>
              <w:tabs>
                <w:tab w:val="center" w:pos="4680"/>
              </w:tabs>
              <w:suppressAutoHyphens/>
              <w:contextualSpacing/>
              <w:rPr>
                <w:b/>
                <w:spacing w:val="-2"/>
              </w:rPr>
            </w:pPr>
            <w:r>
              <w:rPr>
                <w:b/>
                <w:spacing w:val="-2"/>
              </w:rPr>
              <w:t>)</w:t>
            </w:r>
          </w:p>
          <w:p w:rsidR="00597401" w:rsidP="007530BB" w14:paraId="227D773D" w14:textId="77777777">
            <w:pPr>
              <w:tabs>
                <w:tab w:val="center" w:pos="4680"/>
              </w:tabs>
              <w:suppressAutoHyphens/>
              <w:contextualSpacing/>
              <w:rPr>
                <w:b/>
                <w:spacing w:val="-2"/>
              </w:rPr>
            </w:pPr>
            <w:r>
              <w:rPr>
                <w:b/>
                <w:spacing w:val="-2"/>
              </w:rPr>
              <w:t>)</w:t>
            </w:r>
          </w:p>
          <w:p w:rsidR="00597401" w:rsidP="007530BB" w14:paraId="4254134F" w14:textId="77777777">
            <w:pPr>
              <w:tabs>
                <w:tab w:val="center" w:pos="4680"/>
              </w:tabs>
              <w:suppressAutoHyphens/>
              <w:contextualSpacing/>
              <w:rPr>
                <w:b/>
                <w:spacing w:val="-2"/>
              </w:rPr>
            </w:pPr>
          </w:p>
        </w:tc>
        <w:tc>
          <w:tcPr>
            <w:tcW w:w="4248" w:type="dxa"/>
          </w:tcPr>
          <w:p w:rsidR="003341AF" w:rsidRPr="00E07EFC" w:rsidP="003341AF" w14:paraId="7340BC5E" w14:textId="77777777">
            <w:pPr>
              <w:tabs>
                <w:tab w:val="center" w:pos="4680"/>
              </w:tabs>
              <w:suppressAutoHyphens/>
              <w:contextualSpacing/>
              <w:rPr>
                <w:szCs w:val="22"/>
              </w:rPr>
            </w:pPr>
            <w:r w:rsidRPr="00E07EFC">
              <w:rPr>
                <w:spacing w:val="-2"/>
                <w:szCs w:val="22"/>
              </w:rPr>
              <w:t xml:space="preserve">File No.:  </w:t>
            </w:r>
            <w:r w:rsidRPr="00E07EFC">
              <w:rPr>
                <w:szCs w:val="22"/>
              </w:rPr>
              <w:t>POL-072120-4986139</w:t>
            </w:r>
          </w:p>
          <w:p w:rsidR="003341AF" w:rsidRPr="00E07EFC" w:rsidP="003341AF" w14:paraId="15876354" w14:textId="77777777">
            <w:pPr>
              <w:tabs>
                <w:tab w:val="center" w:pos="4680"/>
              </w:tabs>
              <w:suppressAutoHyphens/>
              <w:contextualSpacing/>
              <w:rPr>
                <w:spacing w:val="-2"/>
                <w:szCs w:val="22"/>
                <w:highlight w:val="yellow"/>
                <w:u w:val="single"/>
              </w:rPr>
            </w:pPr>
          </w:p>
          <w:p w:rsidR="003341AF" w:rsidRPr="00E07EFC" w:rsidP="003341AF" w14:paraId="05FA46B1" w14:textId="77777777">
            <w:pPr>
              <w:tabs>
                <w:tab w:val="center" w:pos="4680"/>
              </w:tabs>
              <w:suppressAutoHyphens/>
              <w:contextualSpacing/>
              <w:rPr>
                <w:spacing w:val="-2"/>
                <w:szCs w:val="22"/>
                <w:highlight w:val="yellow"/>
                <w:u w:val="single"/>
              </w:rPr>
            </w:pPr>
          </w:p>
          <w:p w:rsidR="003341AF" w:rsidRPr="00E07EFC" w:rsidP="003341AF" w14:paraId="6D76981D" w14:textId="77777777">
            <w:pPr>
              <w:tabs>
                <w:tab w:val="center" w:pos="4680"/>
              </w:tabs>
              <w:suppressAutoHyphens/>
              <w:contextualSpacing/>
              <w:rPr>
                <w:spacing w:val="-2"/>
                <w:szCs w:val="22"/>
                <w:highlight w:val="yellow"/>
              </w:rPr>
            </w:pPr>
            <w:r w:rsidRPr="00E07EFC">
              <w:rPr>
                <w:spacing w:val="-2"/>
                <w:szCs w:val="22"/>
              </w:rPr>
              <w:t xml:space="preserve">FRN:  </w:t>
            </w:r>
            <w:r w:rsidRPr="00E07EFC">
              <w:rPr>
                <w:szCs w:val="22"/>
              </w:rPr>
              <w:t>4986139</w:t>
            </w:r>
          </w:p>
          <w:p w:rsidR="00597401" w:rsidP="007530BB" w14:paraId="1C462403" w14:textId="77777777">
            <w:pPr>
              <w:tabs>
                <w:tab w:val="center" w:pos="4680"/>
              </w:tabs>
              <w:suppressAutoHyphens/>
              <w:contextualSpacing/>
              <w:rPr>
                <w:spacing w:val="-2"/>
              </w:rPr>
            </w:pPr>
          </w:p>
          <w:p w:rsidR="00597401" w:rsidP="007530BB" w14:paraId="49E05551" w14:textId="77777777">
            <w:pPr>
              <w:tabs>
                <w:tab w:val="center" w:pos="4680"/>
              </w:tabs>
              <w:suppressAutoHyphens/>
              <w:contextualSpacing/>
              <w:rPr>
                <w:spacing w:val="-2"/>
              </w:rPr>
            </w:pPr>
          </w:p>
          <w:p w:rsidR="00597401" w:rsidP="007530BB" w14:paraId="3E35D02E" w14:textId="77777777">
            <w:pPr>
              <w:tabs>
                <w:tab w:val="center" w:pos="4680"/>
              </w:tabs>
              <w:suppressAutoHyphens/>
              <w:contextualSpacing/>
              <w:rPr>
                <w:spacing w:val="-2"/>
              </w:rPr>
            </w:pPr>
          </w:p>
          <w:p w:rsidR="00597401" w:rsidP="007530BB" w14:paraId="318040B0" w14:textId="77777777">
            <w:pPr>
              <w:tabs>
                <w:tab w:val="center" w:pos="4680"/>
              </w:tabs>
              <w:suppressAutoHyphens/>
              <w:contextualSpacing/>
              <w:rPr>
                <w:spacing w:val="-2"/>
              </w:rPr>
            </w:pPr>
          </w:p>
        </w:tc>
      </w:tr>
      <w:tr w14:paraId="49C3DFDA" w14:textId="77777777" w:rsidTr="00597401">
        <w:tblPrEx>
          <w:tblW w:w="9576" w:type="dxa"/>
          <w:tblLayout w:type="fixed"/>
          <w:tblLook w:val="0000"/>
        </w:tblPrEx>
        <w:tc>
          <w:tcPr>
            <w:tcW w:w="4698" w:type="dxa"/>
          </w:tcPr>
          <w:p w:rsidR="00597401" w:rsidP="007530BB" w14:paraId="18E0CCD0" w14:textId="77777777">
            <w:pPr>
              <w:tabs>
                <w:tab w:val="center" w:pos="4680"/>
              </w:tabs>
              <w:suppressAutoHyphens/>
              <w:contextualSpacing/>
              <w:rPr>
                <w:spacing w:val="-2"/>
              </w:rPr>
            </w:pPr>
          </w:p>
        </w:tc>
        <w:tc>
          <w:tcPr>
            <w:tcW w:w="630" w:type="dxa"/>
          </w:tcPr>
          <w:p w:rsidR="00597401" w:rsidP="007530BB" w14:paraId="031DF6D9" w14:textId="77777777">
            <w:pPr>
              <w:tabs>
                <w:tab w:val="center" w:pos="4680"/>
              </w:tabs>
              <w:suppressAutoHyphens/>
              <w:contextualSpacing/>
              <w:rPr>
                <w:b/>
                <w:spacing w:val="-2"/>
              </w:rPr>
            </w:pPr>
          </w:p>
        </w:tc>
        <w:tc>
          <w:tcPr>
            <w:tcW w:w="4248" w:type="dxa"/>
          </w:tcPr>
          <w:p w:rsidR="00597401" w:rsidP="007530BB" w14:paraId="2F93878C"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697E936">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C57F5F">
        <w:t>Commonwealth Radio,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3"/>
      </w:r>
      <w:r>
        <w:t xml:space="preserve"> and section 73.1943(c) of the Commission’s rules,</w:t>
      </w:r>
      <w:r>
        <w:rPr>
          <w:rStyle w:val="FootnoteReference"/>
        </w:rPr>
        <w:footnoteReference w:id="4"/>
      </w:r>
      <w:r>
        <w:t xml:space="preserve"> relating to the maintenance of online political files.  To resolve this matter, </w:t>
      </w:r>
      <w:bookmarkStart w:id="1" w:name="_Hlk40885159"/>
      <w:r w:rsidR="00823333">
        <w:t xml:space="preserve">the </w:t>
      </w:r>
      <w:r>
        <w:rPr>
          <w:bCs/>
        </w:rPr>
        <w:t>Company</w:t>
      </w:r>
      <w:r>
        <w:rPr>
          <w:b/>
        </w:rPr>
        <w:t xml:space="preserve"> </w:t>
      </w:r>
      <w:bookmarkEnd w:id="1"/>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w:t>
      </w:r>
      <w:r>
        <w:t>all of</w:t>
      </w:r>
      <w:r>
        <w:t xml:space="preserve"> its bureaus and offices.  </w:t>
      </w:r>
    </w:p>
    <w:p w:rsidR="009951A8" w14:paraId="540D3D9A" w14:textId="55B0161E">
      <w:pPr>
        <w:widowControl/>
        <w:numPr>
          <w:ilvl w:val="0"/>
          <w:numId w:val="3"/>
        </w:numPr>
        <w:spacing w:after="120"/>
      </w:pPr>
      <w:r>
        <w:t xml:space="preserve">“Company” </w:t>
      </w:r>
      <w:r w:rsidRPr="003B3489">
        <w:t xml:space="preserve">means </w:t>
      </w:r>
      <w:r w:rsidR="00C57F5F">
        <w:t>Commonwealth Radio, L.L.C.</w:t>
      </w:r>
      <w:r w:rsidR="00942A06">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2" w:name="_Hlk22047180"/>
      <w:r>
        <w:t>Political Record-Keeping Statute and Rule</w:t>
      </w:r>
      <w:bookmarkEnd w:id="2"/>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10"/>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1"/>
      </w:r>
      <w:r>
        <w:t xml:space="preserve"> and present their positions to the public prior to an election.</w:t>
      </w:r>
      <w:r>
        <w:rPr>
          <w:vertAlign w:val="superscript"/>
        </w:rPr>
        <w:footnoteReference w:id="12"/>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13"/>
      </w:r>
      <w:r>
        <w:t xml:space="preserve">  </w:t>
      </w:r>
    </w:p>
    <w:p w:rsidR="009951A8" w:rsidP="00241A97" w14:paraId="438E86FC" w14:textId="6223A25D">
      <w:pPr>
        <w:pStyle w:val="ParaNum"/>
        <w:tabs>
          <w:tab w:val="clear" w:pos="1080"/>
          <w:tab w:val="num" w:pos="1440"/>
        </w:tabs>
        <w:rPr>
          <w:snapToGrid/>
          <w:kern w:val="0"/>
        </w:rPr>
      </w:pPr>
      <w:bookmarkStart w:id="4" w:name="_DV_M38"/>
      <w:bookmarkEnd w:id="4"/>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0C18C259">
      <w:pPr>
        <w:pStyle w:val="ParaNum"/>
        <w:tabs>
          <w:tab w:val="clear" w:pos="1080"/>
          <w:tab w:val="num" w:pos="1440"/>
        </w:tabs>
        <w:rPr>
          <w:snapToGrid/>
          <w:kern w:val="0"/>
        </w:rPr>
      </w:pPr>
      <w:bookmarkStart w:id="5" w:name="_Hlk40090063"/>
      <w:r>
        <w:t xml:space="preserve">The Bureau acknowledges that </w:t>
      </w:r>
      <w:bookmarkEnd w:id="5"/>
      <w:r>
        <w:t xml:space="preserve">the </w:t>
      </w:r>
      <w:r w:rsidR="00D924D2">
        <w:t xml:space="preserve">COVID-19 </w:t>
      </w:r>
      <w:r>
        <w:t xml:space="preserve">pandemic has caused a dramatic reduction in advertising revenues which, in turn, has placed the radio broadcast industry, including </w:t>
      </w:r>
      <w:r w:rsidR="00823333">
        <w:t xml:space="preserve">the </w:t>
      </w:r>
      <w:r>
        <w:t>Company</w:t>
      </w:r>
      <w:r>
        <w:rPr>
          <w:bCs/>
        </w:rPr>
        <w:t>,</w:t>
      </w:r>
      <w:r>
        <w:t xml:space="preserve"> under significant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E69908E">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6" w:name="_Hlk40272208"/>
      <w:r>
        <w:t xml:space="preserve">n addition, the Bureau agrees to process the Company’s pending license renewal applications identified in Appendix A in the ordinary course.  </w:t>
      </w:r>
      <w:bookmarkStart w:id="7" w:name="_Hlk40272241"/>
      <w:bookmarkEnd w:id="6"/>
      <w:r>
        <w:t xml:space="preserve">Furthermore, the Bureau agrees not to suspend the processing of such future 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7"/>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14"/>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15"/>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8" w:name="_Hlk45695358"/>
      <w:r>
        <w:t xml:space="preserve">Officer </w:t>
      </w:r>
      <w:r w:rsidR="00031AA0">
        <w:t>(</w:t>
      </w:r>
      <w:r w:rsidRPr="00031AA0" w:rsidR="00031AA0">
        <w:t>or equivalent senior offic</w:t>
      </w:r>
      <w:r w:rsidR="00EA235D">
        <w:t>er</w:t>
      </w:r>
      <w:r w:rsidR="000E66FC">
        <w:t>/owner)</w:t>
      </w:r>
      <w:bookmarkEnd w:id="8"/>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2158C10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with the terms and conditions of this Consent Decree.  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Pr>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Pr>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t>periodically review and revise the compliance training program as necessary to ensure that it remains current, complete, and</w:t>
      </w:r>
      <w:r>
        <w:rPr>
          <w:b/>
        </w:rPr>
        <w:t xml:space="preserve"> </w:t>
      </w:r>
      <w:r>
        <w:t>effective.</w:t>
      </w:r>
    </w:p>
    <w:p w:rsidR="009951A8" w14:paraId="2C38AA56" w14:textId="14D7EFA2">
      <w:pPr>
        <w:pStyle w:val="ParaNum"/>
        <w:keepNext/>
        <w:widowControl/>
        <w:numPr>
          <w:ilvl w:val="0"/>
          <w:numId w:val="4"/>
        </w:numPr>
      </w:pPr>
      <w:r>
        <w:rPr>
          <w:bCs/>
          <w:u w:val="single"/>
        </w:rPr>
        <w:t>Compliance Reports</w:t>
      </w:r>
      <w:r>
        <w:t xml:space="preserve">.  </w:t>
      </w:r>
      <w:r w:rsidR="00844486">
        <w:t xml:space="preserve">The </w:t>
      </w:r>
      <w:r>
        <w:t>Company</w:t>
      </w:r>
      <w:r w:rsidR="008E2E05">
        <w:t xml:space="preserve"> </w:t>
      </w:r>
      <w:r w:rsidRPr="008E2E05" w:rsidR="008E2E05">
        <w:t xml:space="preserve">shall submit periodic compliance reports with the Bureau. The first compliance report shall be filed no later than </w:t>
      </w:r>
      <w:r w:rsidRPr="008E2E05" w:rsidR="008E2E05">
        <w:t>December 10, 2020, and</w:t>
      </w:r>
      <w:r w:rsidRPr="008E2E05" w:rsidR="008E2E05">
        <w:t xml:space="preserve"> cover </w:t>
      </w:r>
      <w:r w:rsidRPr="00844486" w:rsidR="008E2E05">
        <w:t xml:space="preserve">the </w:t>
      </w:r>
      <w:r w:rsidR="008B268F">
        <w:t>3</w:t>
      </w:r>
      <w:r w:rsidRPr="00844486" w:rsidR="008E2E05">
        <w:t>0-day</w:t>
      </w:r>
      <w:r w:rsidRPr="008E2E05" w:rsidR="008E2E05">
        <w:t xml:space="preserve"> period preceding the general election on November 3, 2020.  A second compliance report shall be filed no later than </w:t>
      </w:r>
      <w:r w:rsidRPr="008E2E05" w:rsidR="008E2E05">
        <w:t>December 10, 2021, and</w:t>
      </w:r>
      <w:r w:rsidRPr="008E2E05" w:rsidR="008E2E05">
        <w:t xml:space="preserve"> cover the 6-month period preceding the general election on November 2, 2021.  The Bureau m</w:t>
      </w:r>
      <w:bookmarkStart w:id="9" w:name="_GoBack"/>
      <w:bookmarkEnd w:id="9"/>
      <w:r w:rsidRPr="008E2E05" w:rsidR="008E2E05">
        <w:t xml:space="preserve">ay, within its sole discretion, require </w:t>
      </w:r>
      <w:r w:rsidR="00844486">
        <w:t xml:space="preserve">the Company </w:t>
      </w:r>
      <w:r w:rsidRPr="008E2E05" w:rsidR="008E2E05">
        <w:t xml:space="preserve">to submit more frequent or additional compliance reports.      </w:t>
      </w:r>
    </w:p>
    <w:p w:rsidR="009951A8" w:rsidRPr="00241A97" w:rsidP="00241A97" w14:paraId="14EB7545" w14:textId="1A88132B">
      <w:pPr>
        <w:pStyle w:val="Heading2"/>
        <w:numPr>
          <w:ilvl w:val="2"/>
          <w:numId w:val="4"/>
        </w:numPr>
        <w:ind w:left="1980"/>
      </w:pPr>
      <w:r>
        <w:t xml:space="preserve">Each compliance report shall include a spreadsheet </w:t>
      </w:r>
      <w:r w:rsidR="00844486">
        <w:t>that documents</w:t>
      </w:r>
      <w:r w:rsidR="00705837">
        <w:t xml:space="preserve"> </w:t>
      </w:r>
      <w:r>
        <w:t xml:space="preserve">the Company’s efforts during the relevant </w:t>
      </w:r>
      <w:r w:rsidR="00844486">
        <w:t xml:space="preserve">reporting </w:t>
      </w:r>
      <w:r>
        <w:t>period to comply with the Political Record-keeping Statute and Rule, and with the terms and conditions of this Consent Decree.</w:t>
      </w:r>
      <w:r w:rsidRPr="00241A97">
        <w:t xml:space="preserve">  </w:t>
      </w:r>
      <w:r>
        <w:t xml:space="preserve">In addition, each compliance report shall include a certification by the Compliance Officer stating that </w:t>
      </w:r>
      <w:r w:rsidR="00B07E2C">
        <w:t>the Compliance Officer</w:t>
      </w:r>
      <w:r>
        <w:t xml:space="preserve"> has personal knowledge that</w:t>
      </w:r>
      <w:r w:rsidR="00E6184C">
        <w:t xml:space="preserve"> the</w:t>
      </w:r>
      <w:r>
        <w:t xml:space="preserve"> Company: (</w:t>
      </w:r>
      <w:r>
        <w:t>i</w:t>
      </w:r>
      <w:r>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16"/>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3E49E42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4B375F9B">
      <w:pPr>
        <w:pStyle w:val="Heading2"/>
        <w:numPr>
          <w:ilvl w:val="2"/>
          <w:numId w:val="4"/>
        </w:numPr>
        <w:ind w:left="1980"/>
      </w:pPr>
      <w:r>
        <w:t xml:space="preserve">All compliance reports shall be </w:t>
      </w:r>
      <w:bookmarkStart w:id="10" w:name="_Hlk17373964"/>
      <w:r>
        <w:t xml:space="preserve">submitted to the Political Programming staff:  Robert Baker, Assistant Chief, Policy Division, Media Bureau, Federal Communications Commission, at </w:t>
      </w:r>
      <w:bookmarkStart w:id="11" w:name="_Hlk20297977"/>
      <w:hyperlink r:id="rId5" w:history="1">
        <w:r w:rsidRPr="00031AA0" w:rsidR="00031AA0">
          <w:rPr>
            <w:rStyle w:val="Hyperlink"/>
            <w:iCs/>
          </w:rPr>
          <w:t>Robert.Baker@fcc.gov</w:t>
        </w:r>
      </w:hyperlink>
      <w:r>
        <w:t xml:space="preserve">; </w:t>
      </w:r>
      <w:bookmarkEnd w:id="11"/>
      <w:r>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2"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t xml:space="preserve">  </w:t>
      </w:r>
      <w:bookmarkEnd w:id="10"/>
      <w:bookmarkEnd w:id="12"/>
    </w:p>
    <w:p w:rsidR="009951A8" w:rsidP="00241A97" w14:paraId="4849C0BF" w14:textId="2FF2FEFE">
      <w:pPr>
        <w:pStyle w:val="ParaNum"/>
        <w:tabs>
          <w:tab w:val="clear" w:pos="1080"/>
          <w:tab w:val="num" w:pos="1440"/>
        </w:tabs>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3"/>
    </w:p>
    <w:p w:rsidR="009951A8" w:rsidP="00241A97" w14:paraId="50743FF8" w14:textId="1FB16036">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w:t>
      </w:r>
      <w:r w:rsidR="00844486">
        <w:t xml:space="preserve">second </w:t>
      </w:r>
      <w:r>
        <w:t xml:space="preserve">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17"/>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37A33B34">
      <w:pPr>
        <w:rPr>
          <w:bCs/>
        </w:rPr>
      </w:pPr>
      <w:r>
        <w:rPr>
          <w:bCs/>
        </w:rPr>
        <w:t>Commonwealth Radio, L.L.C.</w:t>
      </w:r>
      <w:r w:rsidR="00942A06">
        <w:rPr>
          <w:bCs/>
        </w:rPr>
        <w:t xml:space="preserve"> </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4A379DBA">
      <w:pPr>
        <w:jc w:val="center"/>
        <w:rPr>
          <w:u w:val="single"/>
        </w:rPr>
      </w:pPr>
      <w:r>
        <w:rPr>
          <w:u w:val="single"/>
        </w:rPr>
        <w:t>Station Call Sign</w:t>
      </w:r>
      <w:r>
        <w:tab/>
      </w:r>
      <w:r>
        <w:rPr>
          <w:u w:val="single"/>
        </w:rPr>
        <w:t>Community of License</w:t>
      </w:r>
      <w:r>
        <w:tab/>
      </w:r>
      <w:r>
        <w:tab/>
      </w:r>
      <w:r>
        <w:rPr>
          <w:u w:val="single"/>
        </w:rPr>
        <w:t>Application for License Renewal File No.</w:t>
      </w:r>
    </w:p>
    <w:p w:rsidR="008B631C" w:rsidP="008B631C" w14:paraId="10F693DB" w14:textId="77777777">
      <w:pPr>
        <w:rPr>
          <w:u w:val="single"/>
        </w:rPr>
      </w:pPr>
      <w:r>
        <w:tab/>
      </w:r>
    </w:p>
    <w:p w:rsidR="00C57F5F" w:rsidRPr="00821FAC" w:rsidP="00C57F5F" w14:paraId="2D133976" w14:textId="77777777">
      <w:r>
        <w:tab/>
      </w:r>
      <w:r>
        <w:t>WNIS</w:t>
      </w:r>
      <w:r>
        <w:tab/>
      </w:r>
      <w:r>
        <w:tab/>
      </w:r>
      <w:r>
        <w:tab/>
        <w:t>Norfolk, VA</w:t>
      </w:r>
      <w:r>
        <w:tab/>
      </w:r>
      <w:r>
        <w:tab/>
      </w:r>
      <w:r>
        <w:tab/>
        <w:t>98104</w:t>
      </w:r>
    </w:p>
    <w:p w:rsidR="00D14C57" w:rsidRPr="00FF528C" w:rsidP="00C57F5F" w14:paraId="004135A5" w14:textId="5590311E">
      <w:pPr>
        <w:rPr>
          <w:snapToGrid/>
          <w:kern w:val="0"/>
          <w:sz w:val="20"/>
        </w:rPr>
      </w:pPr>
    </w:p>
    <w:p w:rsidR="003B3489" w:rsidP="00CE37B4" w14:paraId="70DDBAFF" w14:textId="24CD819D">
      <w:pPr>
        <w:rPr>
          <w:u w:val="single"/>
        </w:rPr>
      </w:pPr>
    </w:p>
    <w:p w:rsidR="009951A8" w14:paraId="5E161ABF" w14:textId="77777777">
      <w:pPr>
        <w:jc w:val="center"/>
      </w:pPr>
    </w:p>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68AA" w14:paraId="08963553" w14:textId="77777777">
      <w:r>
        <w:separator/>
      </w:r>
    </w:p>
  </w:footnote>
  <w:footnote w:type="continuationSeparator" w:id="1">
    <w:p w:rsidR="007268AA" w14:paraId="5CC2C392" w14:textId="77777777">
      <w:pPr>
        <w:spacing w:before="120"/>
        <w:rPr>
          <w:sz w:val="20"/>
        </w:rPr>
      </w:pPr>
      <w:r>
        <w:continuationSeparator/>
      </w:r>
    </w:p>
  </w:footnote>
  <w:footnote w:type="continuationNotice" w:id="2">
    <w:p w:rsidR="007268AA" w14:paraId="3F1E3ECD" w14:textId="77777777">
      <w:pPr>
        <w:jc w:val="right"/>
        <w:rPr>
          <w:sz w:val="20"/>
        </w:rPr>
      </w:pPr>
    </w:p>
  </w:footnote>
  <w:footnote w:id="3">
    <w:p w:rsidR="009951A8" w14:paraId="5C185E2B" w14:textId="77777777">
      <w:pPr>
        <w:pStyle w:val="FootnoteText"/>
      </w:pPr>
      <w:r>
        <w:rPr>
          <w:rStyle w:val="FootnoteReference"/>
        </w:rPr>
        <w:footnoteRef/>
      </w:r>
      <w:r>
        <w:t xml:space="preserve"> 47 U.S.C. § 315(e)(3).</w:t>
      </w:r>
    </w:p>
  </w:footnote>
  <w:footnote w:id="4">
    <w:p w:rsidR="009951A8" w14:paraId="2DE188D7" w14:textId="77777777">
      <w:pPr>
        <w:pStyle w:val="FootnoteText"/>
      </w:pPr>
      <w:r>
        <w:rPr>
          <w:rStyle w:val="FootnoteReference"/>
        </w:rPr>
        <w:footnoteRef/>
      </w:r>
      <w:r>
        <w:t xml:space="preserve"> 47 CFR § 73.1943(c).</w:t>
      </w:r>
    </w:p>
  </w:footnote>
  <w:footnote w:id="5">
    <w:p w:rsidR="009951A8" w14:paraId="6D7C622A" w14:textId="77777777">
      <w:pPr>
        <w:pStyle w:val="FootnoteText"/>
      </w:pPr>
      <w:r>
        <w:rPr>
          <w:rStyle w:val="FootnoteReference"/>
        </w:rPr>
        <w:footnoteRef/>
      </w:r>
      <w:r>
        <w:t xml:space="preserve"> 47 U.S.C. § 315(e)(1)(A). </w:t>
      </w:r>
    </w:p>
  </w:footnote>
  <w:footnote w:id="6">
    <w:p w:rsidR="009951A8" w14:paraId="57CEE529" w14:textId="77777777">
      <w:pPr>
        <w:pStyle w:val="FootnoteText"/>
      </w:pPr>
      <w:r>
        <w:rPr>
          <w:rStyle w:val="FootnoteReference"/>
        </w:rPr>
        <w:footnoteRef/>
      </w:r>
      <w:r>
        <w:t xml:space="preserve"> 47 U.S.C. § 315(e)(1)(B).   </w:t>
      </w:r>
    </w:p>
  </w:footnote>
  <w:footnote w:id="7">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w:t>
      </w:r>
      <w:r w:rsidRPr="001E54AB" w:rsidR="001E54AB">
        <w:t xml:space="preserve">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8">
    <w:p w:rsidR="009951A8" w14:paraId="4EA20CD4" w14:textId="77777777">
      <w:pPr>
        <w:pStyle w:val="FootnoteText"/>
      </w:pPr>
      <w:r>
        <w:rPr>
          <w:rStyle w:val="FootnoteReference"/>
        </w:rPr>
        <w:footnoteRef/>
      </w:r>
      <w:r>
        <w:t xml:space="preserve"> </w:t>
      </w:r>
      <w:bookmarkStart w:id="3" w:name="_Hlk42863155"/>
      <w:r>
        <w:t>47 CFR § 73.1943(a)</w:t>
      </w:r>
      <w:bookmarkEnd w:id="3"/>
    </w:p>
  </w:footnote>
  <w:footnote w:id="9">
    <w:p w:rsidR="009951A8" w14:paraId="39D30FFC" w14:textId="77777777">
      <w:pPr>
        <w:pStyle w:val="FootnoteText"/>
      </w:pPr>
      <w:r>
        <w:rPr>
          <w:rStyle w:val="FootnoteReference"/>
        </w:rPr>
        <w:footnoteRef/>
      </w:r>
      <w:r>
        <w:t xml:space="preserve"> 47 CFR § 73.1943(c).</w:t>
      </w:r>
    </w:p>
  </w:footnote>
  <w:footnote w:id="10">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11">
    <w:p w:rsidR="009951A8" w14:paraId="711910C2" w14:textId="77777777">
      <w:pPr>
        <w:pStyle w:val="FootnoteText"/>
      </w:pPr>
      <w:r>
        <w:rPr>
          <w:rStyle w:val="FootnoteReference"/>
        </w:rPr>
        <w:footnoteRef/>
      </w:r>
      <w:r>
        <w:t xml:space="preserve"> 47 U.S.C. § 315(a).</w:t>
      </w:r>
    </w:p>
  </w:footnote>
  <w:footnote w:id="12">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3">
    <w:p w:rsidR="009951A8" w14:paraId="73D89321" w14:textId="77777777">
      <w:pPr>
        <w:pStyle w:val="FootnoteText"/>
      </w:pPr>
      <w:r>
        <w:rPr>
          <w:rStyle w:val="FootnoteReference"/>
        </w:rPr>
        <w:footnoteRef/>
      </w:r>
      <w:r>
        <w:t xml:space="preserve"> </w:t>
      </w:r>
      <w:r>
        <w:rPr>
          <w:i/>
        </w:rPr>
        <w:t xml:space="preserve">Id. </w:t>
      </w:r>
      <w:r>
        <w:t>at 4543-44, para. 16.</w:t>
      </w:r>
    </w:p>
  </w:footnote>
  <w:footnote w:id="14">
    <w:p w:rsidR="009951A8" w14:paraId="5691566B" w14:textId="77777777">
      <w:pPr>
        <w:pStyle w:val="FootnoteText"/>
      </w:pPr>
      <w:r>
        <w:rPr>
          <w:rStyle w:val="FootnoteReference"/>
        </w:rPr>
        <w:footnoteRef/>
      </w:r>
      <w:r>
        <w:t xml:space="preserve"> </w:t>
      </w:r>
      <w:r>
        <w:rPr>
          <w:i/>
        </w:rPr>
        <w:t>See</w:t>
      </w:r>
      <w:r>
        <w:t xml:space="preserve"> 47 CFR § 1.93(b). </w:t>
      </w:r>
    </w:p>
  </w:footnote>
  <w:footnote w:id="15">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16">
    <w:p w:rsidR="009951A8" w14:paraId="469A7DD6" w14:textId="77777777">
      <w:pPr>
        <w:pStyle w:val="FootnoteText"/>
      </w:pPr>
      <w:r>
        <w:rPr>
          <w:rStyle w:val="FootnoteReference"/>
        </w:rPr>
        <w:footnoteRef/>
      </w:r>
      <w:r>
        <w:t xml:space="preserve"> 47 CFR § 1.16.</w:t>
      </w:r>
    </w:p>
  </w:footnote>
  <w:footnote w:id="17">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64750855">
    <w:pPr>
      <w:pStyle w:val="Header"/>
    </w:pPr>
    <w:r>
      <w:tab/>
      <w:t>Federal Communications Commission</w:t>
    </w:r>
    <w:r>
      <w:tab/>
      <w:t>DA 20-</w:t>
    </w:r>
    <w:r w:rsidR="004C3491">
      <w:t>943</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5E9D81C">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20-</w:t>
    </w:r>
    <w:r w:rsidR="004C3491">
      <w:rPr>
        <w:spacing w:val="-2"/>
      </w:rPr>
      <w:t>943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0">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1">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7"/>
  </w:num>
  <w:num w:numId="11">
    <w:abstractNumId w:val="11"/>
  </w:num>
  <w:num w:numId="12">
    <w:abstractNumId w:val="9"/>
  </w:num>
  <w:num w:numId="13">
    <w:abstractNumId w:val="8"/>
  </w:num>
  <w:num w:numId="14">
    <w:abstractNumId w:val="1"/>
  </w:num>
  <w:num w:numId="15">
    <w:abstractNumId w:val="12"/>
  </w:num>
  <w:num w:numId="16">
    <w:abstractNumId w:val="4"/>
  </w:num>
  <w:num w:numId="17">
    <w:abstractNumId w:val="4"/>
  </w:num>
  <w:num w:numId="18">
    <w:abstractNumId w:val="8"/>
  </w:num>
  <w:num w:numId="19">
    <w:abstractNumId w:val="0"/>
  </w:num>
  <w:num w:numId="20">
    <w:abstractNumId w:val="8"/>
    <w:lvlOverride w:ilvl="0">
      <w:startOverride w:val="1"/>
    </w:lvlOverride>
  </w:num>
  <w:num w:numId="21">
    <w:abstractNumId w:val="2"/>
  </w:num>
  <w:num w:numId="22">
    <w:abstractNumId w:val="3"/>
  </w:num>
  <w:num w:numId="23">
    <w:abstractNumId w:val="8"/>
  </w:num>
  <w:num w:numId="24">
    <w:abstractNumId w:val="8"/>
  </w:num>
  <w:num w:numId="25">
    <w:abstractNumId w:val="8"/>
  </w:num>
  <w:num w:numId="26">
    <w:abstractNumId w:val="8"/>
  </w:num>
  <w:num w:numId="27">
    <w:abstractNumId w:val="8"/>
  </w:num>
  <w:num w:numId="28">
    <w:abstractNumId w:val="0"/>
  </w:num>
  <w:num w:numId="29">
    <w:abstractNumId w:val="0"/>
  </w:num>
  <w:num w:numId="30">
    <w:abstractNumId w:val="8"/>
  </w:num>
  <w:num w:numId="31">
    <w:abstractNumId w:val="8"/>
  </w:num>
  <w:num w:numId="32">
    <w:abstractNumId w:val="8"/>
  </w:num>
  <w:num w:numId="33">
    <w:abstractNumId w:val="8"/>
  </w:num>
  <w:num w:numId="34">
    <w:abstractNumId w:val="8"/>
  </w:num>
  <w:num w:numId="35">
    <w:abstractNumId w:val="0"/>
  </w:num>
  <w:num w:numId="3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179C8"/>
    <w:rsid w:val="00031AA0"/>
    <w:rsid w:val="000605A7"/>
    <w:rsid w:val="00060B04"/>
    <w:rsid w:val="000E5164"/>
    <w:rsid w:val="000E66FC"/>
    <w:rsid w:val="000E7051"/>
    <w:rsid w:val="000F6B3E"/>
    <w:rsid w:val="001C7257"/>
    <w:rsid w:val="001E54AB"/>
    <w:rsid w:val="001F5324"/>
    <w:rsid w:val="002159D1"/>
    <w:rsid w:val="00241A97"/>
    <w:rsid w:val="00241CDD"/>
    <w:rsid w:val="002430EF"/>
    <w:rsid w:val="0027510C"/>
    <w:rsid w:val="00280D35"/>
    <w:rsid w:val="002F7F77"/>
    <w:rsid w:val="003341AF"/>
    <w:rsid w:val="003B3489"/>
    <w:rsid w:val="00454762"/>
    <w:rsid w:val="004917EF"/>
    <w:rsid w:val="004C3491"/>
    <w:rsid w:val="004D73CD"/>
    <w:rsid w:val="005211F2"/>
    <w:rsid w:val="00597401"/>
    <w:rsid w:val="005D2A4C"/>
    <w:rsid w:val="00626149"/>
    <w:rsid w:val="0063597B"/>
    <w:rsid w:val="00672D82"/>
    <w:rsid w:val="006749F9"/>
    <w:rsid w:val="00680E14"/>
    <w:rsid w:val="006875D8"/>
    <w:rsid w:val="006B0149"/>
    <w:rsid w:val="006C4196"/>
    <w:rsid w:val="00704AC0"/>
    <w:rsid w:val="00705837"/>
    <w:rsid w:val="007268AA"/>
    <w:rsid w:val="007352E8"/>
    <w:rsid w:val="007530BB"/>
    <w:rsid w:val="007B346D"/>
    <w:rsid w:val="007B38D8"/>
    <w:rsid w:val="00813AAE"/>
    <w:rsid w:val="00821FAC"/>
    <w:rsid w:val="00823333"/>
    <w:rsid w:val="00844486"/>
    <w:rsid w:val="008B268F"/>
    <w:rsid w:val="008B631C"/>
    <w:rsid w:val="008B6CEF"/>
    <w:rsid w:val="008E2E05"/>
    <w:rsid w:val="0091690D"/>
    <w:rsid w:val="00931D8E"/>
    <w:rsid w:val="00936051"/>
    <w:rsid w:val="00942A06"/>
    <w:rsid w:val="00944BDF"/>
    <w:rsid w:val="009951A8"/>
    <w:rsid w:val="009C4078"/>
    <w:rsid w:val="00A41E2C"/>
    <w:rsid w:val="00A62CBF"/>
    <w:rsid w:val="00AB62E9"/>
    <w:rsid w:val="00AF5DE3"/>
    <w:rsid w:val="00B0538B"/>
    <w:rsid w:val="00B07E2C"/>
    <w:rsid w:val="00B3492D"/>
    <w:rsid w:val="00BA42FF"/>
    <w:rsid w:val="00BF5EF0"/>
    <w:rsid w:val="00C36B27"/>
    <w:rsid w:val="00C563D8"/>
    <w:rsid w:val="00C57F5F"/>
    <w:rsid w:val="00C63854"/>
    <w:rsid w:val="00C96105"/>
    <w:rsid w:val="00CC128E"/>
    <w:rsid w:val="00CE2575"/>
    <w:rsid w:val="00CE37B4"/>
    <w:rsid w:val="00D10FB9"/>
    <w:rsid w:val="00D14C57"/>
    <w:rsid w:val="00D924D2"/>
    <w:rsid w:val="00D93068"/>
    <w:rsid w:val="00DA5FB5"/>
    <w:rsid w:val="00DC5370"/>
    <w:rsid w:val="00DD2AA3"/>
    <w:rsid w:val="00E07EFC"/>
    <w:rsid w:val="00E50008"/>
    <w:rsid w:val="00E6184C"/>
    <w:rsid w:val="00E90E14"/>
    <w:rsid w:val="00EA235D"/>
    <w:rsid w:val="00F27B25"/>
    <w:rsid w:val="00F62374"/>
    <w:rsid w:val="00F840CF"/>
    <w:rsid w:val="00FC5974"/>
    <w:rsid w:val="00FD1009"/>
    <w:rsid w:val="00FF52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