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10BA1D4" w14:textId="26F2379C">
      <w:pPr>
        <w:jc w:val="center"/>
        <w:rPr>
          <w:b/>
        </w:rPr>
      </w:pPr>
      <w:r w:rsidRPr="0070224F">
        <w:rPr>
          <w:rFonts w:ascii="Times New Roman Bold" w:hAnsi="Times New Roman Bold"/>
          <w:b/>
          <w:kern w:val="0"/>
          <w:szCs w:val="22"/>
        </w:rPr>
        <w:t>Before</w:t>
      </w:r>
      <w:r>
        <w:rPr>
          <w:b/>
        </w:rPr>
        <w:t xml:space="preserve"> the</w:t>
      </w:r>
    </w:p>
    <w:p w:rsidR="00921803" w:rsidP="00921803" w14:paraId="364BE59C" w14:textId="77777777">
      <w:pPr>
        <w:pStyle w:val="StyleBoldCentered"/>
      </w:pPr>
      <w:r>
        <w:t>F</w:t>
      </w:r>
      <w:r>
        <w:rPr>
          <w:caps w:val="0"/>
        </w:rPr>
        <w:t>ederal Communications Commission</w:t>
      </w:r>
    </w:p>
    <w:p w:rsidR="004C2EE3" w:rsidP="00096D8C" w14:paraId="18B44FDE" w14:textId="77777777">
      <w:pPr>
        <w:pStyle w:val="StyleBoldCentered"/>
      </w:pPr>
      <w:r>
        <w:rPr>
          <w:caps w:val="0"/>
        </w:rPr>
        <w:t>Washington, D.C. 20554</w:t>
      </w:r>
    </w:p>
    <w:p w:rsidR="004C2EE3" w:rsidP="0070224F" w14:paraId="5868AD72" w14:textId="77777777"/>
    <w:p w:rsidR="004C2EE3" w:rsidP="0070224F" w14:paraId="42D2D84A" w14:textId="77777777"/>
    <w:tbl>
      <w:tblPr>
        <w:tblW w:w="0" w:type="auto"/>
        <w:tblLayout w:type="fixed"/>
        <w:tblLook w:val="0000"/>
      </w:tblPr>
      <w:tblGrid>
        <w:gridCol w:w="4698"/>
        <w:gridCol w:w="630"/>
        <w:gridCol w:w="4248"/>
      </w:tblGrid>
      <w:tr w14:paraId="77ACFA87" w14:textId="77777777">
        <w:tblPrEx>
          <w:tblW w:w="0" w:type="auto"/>
          <w:tblLayout w:type="fixed"/>
          <w:tblLook w:val="0000"/>
        </w:tblPrEx>
        <w:tc>
          <w:tcPr>
            <w:tcW w:w="4698" w:type="dxa"/>
          </w:tcPr>
          <w:p w:rsidR="004C2EE3" w14:paraId="2DC05B9C" w14:textId="77777777">
            <w:pPr>
              <w:tabs>
                <w:tab w:val="center" w:pos="4680"/>
              </w:tabs>
              <w:suppressAutoHyphens/>
              <w:rPr>
                <w:spacing w:val="-2"/>
              </w:rPr>
            </w:pPr>
            <w:r>
              <w:rPr>
                <w:spacing w:val="-2"/>
              </w:rPr>
              <w:t>In the Matter of</w:t>
            </w:r>
          </w:p>
          <w:p w:rsidR="004C2EE3" w14:paraId="47874983" w14:textId="77777777">
            <w:pPr>
              <w:tabs>
                <w:tab w:val="center" w:pos="4680"/>
              </w:tabs>
              <w:suppressAutoHyphens/>
              <w:rPr>
                <w:spacing w:val="-2"/>
              </w:rPr>
            </w:pPr>
          </w:p>
          <w:p w:rsidR="00410B6D" w:rsidP="007115F7" w14:paraId="67364F4F" w14:textId="77777777">
            <w:pPr>
              <w:tabs>
                <w:tab w:val="center" w:pos="4680"/>
              </w:tabs>
              <w:suppressAutoHyphens/>
              <w:rPr>
                <w:spacing w:val="-2"/>
              </w:rPr>
            </w:pPr>
            <w:r>
              <w:rPr>
                <w:spacing w:val="-2"/>
              </w:rPr>
              <w:t>LAKE COUNTRY INTERNET</w:t>
            </w:r>
          </w:p>
          <w:p w:rsidR="00410B6D" w:rsidP="007115F7" w14:paraId="30A091C3" w14:textId="77777777">
            <w:pPr>
              <w:tabs>
                <w:tab w:val="center" w:pos="4680"/>
              </w:tabs>
              <w:suppressAutoHyphens/>
              <w:rPr>
                <w:spacing w:val="-2"/>
              </w:rPr>
            </w:pPr>
          </w:p>
          <w:p w:rsidR="004C2EE3" w:rsidRPr="007115F7" w:rsidP="007115F7" w14:paraId="2C1BF843" w14:textId="6DB0F693">
            <w:pPr>
              <w:tabs>
                <w:tab w:val="center" w:pos="4680"/>
              </w:tabs>
              <w:suppressAutoHyphens/>
              <w:rPr>
                <w:spacing w:val="-2"/>
              </w:rPr>
            </w:pPr>
            <w:r>
              <w:rPr>
                <w:spacing w:val="-2"/>
              </w:rPr>
              <w:t xml:space="preserve">Requests for Waiver of </w:t>
            </w:r>
            <w:r w:rsidR="00027A45">
              <w:rPr>
                <w:spacing w:val="-2"/>
              </w:rPr>
              <w:t xml:space="preserve">47 CFR </w:t>
            </w:r>
            <w:r w:rsidR="00027A45">
              <w:rPr>
                <w:rFonts w:ascii="TimesNewRomanPSMT" w:hAnsi="TimesNewRomanPSMT" w:cs="TimesNewRomanPSMT"/>
              </w:rPr>
              <w:t>§ 90.1338</w:t>
            </w:r>
            <w:r>
              <w:rPr>
                <w:spacing w:val="-2"/>
              </w:rPr>
              <w:t xml:space="preserve"> and </w:t>
            </w:r>
            <w:r w:rsidR="00027A45">
              <w:rPr>
                <w:spacing w:val="-2"/>
              </w:rPr>
              <w:t xml:space="preserve">47 CFR </w:t>
            </w:r>
            <w:r w:rsidR="00027A45">
              <w:rPr>
                <w:rFonts w:ascii="TimesNewRomanPSMT" w:hAnsi="TimesNewRomanPSMT" w:cs="TimesNewRomanPSMT"/>
              </w:rPr>
              <w:t>§ 90.1307(b)</w:t>
            </w:r>
            <w:r w:rsidR="005A2CB3">
              <w:rPr>
                <w:spacing w:val="-2"/>
              </w:rPr>
              <w:t xml:space="preserve"> </w:t>
            </w:r>
          </w:p>
        </w:tc>
        <w:tc>
          <w:tcPr>
            <w:tcW w:w="630" w:type="dxa"/>
          </w:tcPr>
          <w:p w:rsidR="004C2EE3" w14:paraId="480FFBBB" w14:textId="77777777">
            <w:pPr>
              <w:tabs>
                <w:tab w:val="center" w:pos="4680"/>
              </w:tabs>
              <w:suppressAutoHyphens/>
              <w:rPr>
                <w:b/>
                <w:spacing w:val="-2"/>
              </w:rPr>
            </w:pPr>
            <w:r>
              <w:rPr>
                <w:b/>
                <w:spacing w:val="-2"/>
              </w:rPr>
              <w:t>)</w:t>
            </w:r>
          </w:p>
          <w:p w:rsidR="004C2EE3" w14:paraId="28390329" w14:textId="77777777">
            <w:pPr>
              <w:tabs>
                <w:tab w:val="center" w:pos="4680"/>
              </w:tabs>
              <w:suppressAutoHyphens/>
              <w:rPr>
                <w:b/>
                <w:spacing w:val="-2"/>
              </w:rPr>
            </w:pPr>
            <w:r>
              <w:rPr>
                <w:b/>
                <w:spacing w:val="-2"/>
              </w:rPr>
              <w:t>)</w:t>
            </w:r>
          </w:p>
          <w:p w:rsidR="004C2EE3" w14:paraId="2E3B07A6" w14:textId="77777777">
            <w:pPr>
              <w:tabs>
                <w:tab w:val="center" w:pos="4680"/>
              </w:tabs>
              <w:suppressAutoHyphens/>
              <w:rPr>
                <w:b/>
                <w:spacing w:val="-2"/>
              </w:rPr>
            </w:pPr>
            <w:r>
              <w:rPr>
                <w:b/>
                <w:spacing w:val="-2"/>
              </w:rPr>
              <w:t>)</w:t>
            </w:r>
          </w:p>
          <w:p w:rsidR="004C2EE3" w14:paraId="29A13749" w14:textId="77777777">
            <w:pPr>
              <w:tabs>
                <w:tab w:val="center" w:pos="4680"/>
              </w:tabs>
              <w:suppressAutoHyphens/>
              <w:rPr>
                <w:b/>
                <w:spacing w:val="-2"/>
              </w:rPr>
            </w:pPr>
            <w:r>
              <w:rPr>
                <w:b/>
                <w:spacing w:val="-2"/>
              </w:rPr>
              <w:t>)</w:t>
            </w:r>
          </w:p>
          <w:p w:rsidR="004C2EE3" w14:paraId="28D2A60A" w14:textId="77777777">
            <w:pPr>
              <w:tabs>
                <w:tab w:val="center" w:pos="4680"/>
              </w:tabs>
              <w:suppressAutoHyphens/>
              <w:rPr>
                <w:b/>
                <w:spacing w:val="-2"/>
              </w:rPr>
            </w:pPr>
            <w:r>
              <w:rPr>
                <w:b/>
                <w:spacing w:val="-2"/>
              </w:rPr>
              <w:t>)</w:t>
            </w:r>
          </w:p>
          <w:p w:rsidR="004C2EE3" w:rsidRPr="00410258" w14:paraId="68AFCAB7" w14:textId="29759F58">
            <w:pPr>
              <w:tabs>
                <w:tab w:val="center" w:pos="4680"/>
              </w:tabs>
              <w:suppressAutoHyphens/>
              <w:rPr>
                <w:b/>
                <w:spacing w:val="-2"/>
              </w:rPr>
            </w:pPr>
            <w:r>
              <w:rPr>
                <w:b/>
                <w:spacing w:val="-2"/>
              </w:rPr>
              <w:t>)</w:t>
            </w:r>
          </w:p>
        </w:tc>
        <w:tc>
          <w:tcPr>
            <w:tcW w:w="4248" w:type="dxa"/>
          </w:tcPr>
          <w:p w:rsidR="004C2EE3" w14:paraId="3B00BC07" w14:textId="77777777">
            <w:pPr>
              <w:tabs>
                <w:tab w:val="center" w:pos="4680"/>
              </w:tabs>
              <w:suppressAutoHyphens/>
              <w:rPr>
                <w:spacing w:val="-2"/>
              </w:rPr>
            </w:pPr>
          </w:p>
          <w:p w:rsidR="004C2EE3" w14:paraId="263A2173" w14:textId="77777777">
            <w:pPr>
              <w:pStyle w:val="TOAHeading"/>
              <w:tabs>
                <w:tab w:val="center" w:pos="4680"/>
                <w:tab w:val="clear" w:pos="9360"/>
              </w:tabs>
              <w:rPr>
                <w:spacing w:val="-2"/>
              </w:rPr>
            </w:pPr>
          </w:p>
          <w:p w:rsidR="004C2EE3" w14:paraId="1F220881" w14:textId="210E1C35">
            <w:pPr>
              <w:tabs>
                <w:tab w:val="center" w:pos="4680"/>
              </w:tabs>
              <w:suppressAutoHyphens/>
              <w:rPr>
                <w:spacing w:val="-2"/>
              </w:rPr>
            </w:pPr>
            <w:r>
              <w:rPr>
                <w:spacing w:val="-2"/>
              </w:rPr>
              <w:t xml:space="preserve">File No. </w:t>
            </w:r>
            <w:r w:rsidRPr="0043353E">
              <w:rPr>
                <w:spacing w:val="-2"/>
              </w:rPr>
              <w:t xml:space="preserve">0009119762 </w:t>
            </w:r>
          </w:p>
        </w:tc>
      </w:tr>
    </w:tbl>
    <w:p w:rsidR="004C2EE3" w:rsidP="0070224F" w14:paraId="4213F9B0" w14:textId="77777777"/>
    <w:p w:rsidR="00841AB1" w:rsidP="00F021FA" w14:paraId="135EBD77" w14:textId="77777777">
      <w:pPr>
        <w:pStyle w:val="StyleBoldCentered"/>
      </w:pPr>
      <w:r>
        <w:t>ORDER</w:t>
      </w:r>
    </w:p>
    <w:p w:rsidR="004C2EE3" w14:paraId="3497409E" w14:textId="77777777">
      <w:pPr>
        <w:tabs>
          <w:tab w:val="left" w:pos="-720"/>
        </w:tabs>
        <w:suppressAutoHyphens/>
        <w:spacing w:line="227" w:lineRule="auto"/>
        <w:rPr>
          <w:spacing w:val="-2"/>
        </w:rPr>
      </w:pPr>
    </w:p>
    <w:p w:rsidR="004C2EE3" w:rsidP="00133F79" w14:paraId="2996C4B1" w14:textId="4CD4BAD9">
      <w:pPr>
        <w:tabs>
          <w:tab w:val="left" w:pos="720"/>
          <w:tab w:val="right" w:pos="9360"/>
        </w:tabs>
        <w:suppressAutoHyphens/>
        <w:spacing w:line="227" w:lineRule="auto"/>
        <w:rPr>
          <w:spacing w:val="-2"/>
        </w:rPr>
      </w:pPr>
      <w:r>
        <w:rPr>
          <w:b/>
          <w:spacing w:val="-2"/>
        </w:rPr>
        <w:t xml:space="preserve">Adopted:  </w:t>
      </w:r>
      <w:r w:rsidR="005455EF">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455EF">
        <w:rPr>
          <w:b/>
          <w:spacing w:val="-2"/>
        </w:rPr>
        <w:t>August 26, 2020</w:t>
      </w:r>
    </w:p>
    <w:p w:rsidR="00822CE0" w14:paraId="1804853B" w14:textId="77777777"/>
    <w:p w:rsidR="004C2EE3" w14:paraId="0077F47D" w14:textId="5C264926">
      <w:pPr>
        <w:rPr>
          <w:spacing w:val="-2"/>
        </w:rPr>
      </w:pPr>
      <w:r>
        <w:t xml:space="preserve">By </w:t>
      </w:r>
      <w:r w:rsidR="004E4A22">
        <w:t>the</w:t>
      </w:r>
      <w:r w:rsidR="002A2D2E">
        <w:t xml:space="preserve"> </w:t>
      </w:r>
      <w:r w:rsidR="00BB00AE">
        <w:rPr>
          <w:spacing w:val="-2"/>
        </w:rPr>
        <w:t>Chief, Mobility Division, Wireless Telecommunications Bureau:</w:t>
      </w:r>
    </w:p>
    <w:p w:rsidR="00412FC5" w:rsidP="00C7651D" w14:paraId="1B59E7F5" w14:textId="77777777">
      <w:pPr>
        <w:pStyle w:val="Heading1"/>
        <w:numPr>
          <w:ilvl w:val="0"/>
          <w:numId w:val="0"/>
        </w:numPr>
      </w:pPr>
    </w:p>
    <w:p w:rsidR="005A2CB3" w:rsidP="005A2CB3" w14:paraId="63245D28" w14:textId="424D7C2C">
      <w:pPr>
        <w:pStyle w:val="ParaNum"/>
      </w:pPr>
      <w:r>
        <w:t>In</w:t>
      </w:r>
      <w:r w:rsidR="0043353E">
        <w:t xml:space="preserve"> this </w:t>
      </w:r>
      <w:r>
        <w:rPr>
          <w:i/>
          <w:iCs/>
        </w:rPr>
        <w:t>Order</w:t>
      </w:r>
      <w:r w:rsidR="0043353E">
        <w:t xml:space="preserve">, </w:t>
      </w:r>
      <w:r>
        <w:t xml:space="preserve">we address </w:t>
      </w:r>
      <w:r w:rsidR="004F77A4">
        <w:t>two</w:t>
      </w:r>
      <w:r>
        <w:t xml:space="preserve"> waiver request</w:t>
      </w:r>
      <w:r w:rsidR="004F77A4">
        <w:t>s</w:t>
      </w:r>
      <w:r>
        <w:t xml:space="preserve"> f</w:t>
      </w:r>
      <w:bookmarkStart w:id="0" w:name="_GoBack"/>
      <w:bookmarkEnd w:id="0"/>
      <w:r>
        <w:t xml:space="preserve">iled by Lake Country Internet (LCI) </w:t>
      </w:r>
      <w:r w:rsidR="006A0D8E">
        <w:t>in the</w:t>
      </w:r>
      <w:r>
        <w:t xml:space="preserve"> 3650-3700 MHz band, call sign WQNM443</w:t>
      </w:r>
      <w:r w:rsidR="004F77A4">
        <w:t>.</w:t>
      </w:r>
      <w:r>
        <w:rPr>
          <w:rStyle w:val="FootnoteReference"/>
        </w:rPr>
        <w:footnoteReference w:id="3"/>
      </w:r>
      <w:r w:rsidR="00515AAA">
        <w:t xml:space="preserve"> </w:t>
      </w:r>
      <w:r w:rsidR="004F77A4">
        <w:t xml:space="preserve"> First, LCI requests a waiver</w:t>
      </w:r>
      <w:r w:rsidR="006A0D8E">
        <w:t xml:space="preserve"> of 47 CFR </w:t>
      </w:r>
      <w:r w:rsidR="006A0D8E">
        <w:rPr>
          <w:rFonts w:ascii="TimesNewRomanPSMT" w:hAnsi="TimesNewRomanPSMT" w:cs="TimesNewRomanPSMT"/>
        </w:rPr>
        <w:t xml:space="preserve">§ </w:t>
      </w:r>
      <w:r w:rsidR="006A0D8E">
        <w:t>90.1338 to modify its license</w:t>
      </w:r>
      <w:r w:rsidR="004F77A4">
        <w:t xml:space="preserve"> to </w:t>
      </w:r>
      <w:r w:rsidR="006B5A23">
        <w:t>obtain</w:t>
      </w:r>
      <w:r w:rsidR="004F77A4">
        <w:t xml:space="preserve"> </w:t>
      </w:r>
      <w:r>
        <w:t xml:space="preserve">grandfathered status </w:t>
      </w:r>
      <w:r w:rsidR="0064566F">
        <w:t xml:space="preserve">under </w:t>
      </w:r>
      <w:r w:rsidR="00EB353B">
        <w:t>p</w:t>
      </w:r>
      <w:r>
        <w:t xml:space="preserve">art 90 </w:t>
      </w:r>
      <w:r w:rsidR="0064566F">
        <w:t xml:space="preserve">of the Commission’s </w:t>
      </w:r>
      <w:r>
        <w:t>rules.</w:t>
      </w:r>
      <w:r w:rsidR="0097498E">
        <w:t xml:space="preserve"> </w:t>
      </w:r>
      <w:r>
        <w:t xml:space="preserve"> </w:t>
      </w:r>
      <w:r w:rsidR="004F77A4">
        <w:t xml:space="preserve">Second, </w:t>
      </w:r>
      <w:r w:rsidR="006A0D8E">
        <w:t xml:space="preserve">LCI requests a waiver of 47 CFR </w:t>
      </w:r>
      <w:r w:rsidR="006A0D8E">
        <w:rPr>
          <w:rFonts w:ascii="TimesNewRomanPSMT" w:hAnsi="TimesNewRomanPSMT" w:cs="TimesNewRomanPSMT"/>
        </w:rPr>
        <w:t>§ 90.1307(b)</w:t>
      </w:r>
      <w:r>
        <w:t xml:space="preserve"> to</w:t>
      </w:r>
      <w:r w:rsidR="004F77A4">
        <w:t xml:space="preserve"> permit</w:t>
      </w:r>
      <w:r>
        <w:t xml:space="preserve"> renew</w:t>
      </w:r>
      <w:r w:rsidR="004F77A4">
        <w:t>al of</w:t>
      </w:r>
      <w:r>
        <w:t xml:space="preserve"> </w:t>
      </w:r>
      <w:r w:rsidR="006A0D8E">
        <w:t>its</w:t>
      </w:r>
      <w:r>
        <w:t xml:space="preserve"> license for an additional term.</w:t>
      </w:r>
      <w:r w:rsidR="0097498E">
        <w:t xml:space="preserve"> </w:t>
      </w:r>
      <w:r>
        <w:t xml:space="preserve"> </w:t>
      </w:r>
      <w:r w:rsidR="00016807">
        <w:t>Because LCI’s waiver requests fail to satisfy the Commission’s standard for granting waivers, w</w:t>
      </w:r>
      <w:r w:rsidR="003442CD">
        <w:t>e deny the waiver requests and dismiss the application.</w:t>
      </w:r>
      <w:r>
        <w:rPr>
          <w:rStyle w:val="FootnoteReference"/>
        </w:rPr>
        <w:footnoteReference w:id="4"/>
      </w:r>
      <w:r>
        <w:t xml:space="preserve"> </w:t>
      </w:r>
    </w:p>
    <w:p w:rsidR="005E7BC9" w:rsidP="005A2CB3" w14:paraId="0516C41A" w14:textId="3EA1B468">
      <w:pPr>
        <w:pStyle w:val="ParaNum"/>
      </w:pPr>
      <w:r>
        <w:t>LCI</w:t>
      </w:r>
      <w:r w:rsidR="00FC19B1">
        <w:t>,</w:t>
      </w:r>
      <w:r>
        <w:t xml:space="preserve"> a 3650 MHz licensee</w:t>
      </w:r>
      <w:r w:rsidR="00FC19B1">
        <w:t>,</w:t>
      </w:r>
      <w:r>
        <w:t xml:space="preserve"> </w:t>
      </w:r>
      <w:r w:rsidR="002A00A6">
        <w:t>asserts</w:t>
      </w:r>
      <w:r w:rsidR="00FC19B1">
        <w:t xml:space="preserve"> that</w:t>
      </w:r>
      <w:r w:rsidR="002A00A6">
        <w:t xml:space="preserve"> it</w:t>
      </w:r>
      <w:r>
        <w:t xml:space="preserve"> is a </w:t>
      </w:r>
      <w:r w:rsidR="00A10FA0">
        <w:t>high-speed</w:t>
      </w:r>
      <w:r>
        <w:t xml:space="preserve"> broadband internet </w:t>
      </w:r>
      <w:r w:rsidR="0064566F">
        <w:t xml:space="preserve">service </w:t>
      </w:r>
      <w:r w:rsidR="00A10FA0">
        <w:t xml:space="preserve">provider </w:t>
      </w:r>
      <w:r w:rsidR="003C1D8F">
        <w:t>serving</w:t>
      </w:r>
      <w:r>
        <w:t xml:space="preserve"> Mecklenburg County, Virginia</w:t>
      </w:r>
      <w:r w:rsidR="00A10FA0">
        <w:t>.</w:t>
      </w:r>
      <w:r>
        <w:rPr>
          <w:rStyle w:val="FootnoteReference"/>
        </w:rPr>
        <w:footnoteReference w:id="5"/>
      </w:r>
      <w:r>
        <w:t xml:space="preserve"> </w:t>
      </w:r>
      <w:r w:rsidR="0097498E">
        <w:t xml:space="preserve"> </w:t>
      </w:r>
      <w:r>
        <w:t xml:space="preserve">LCI </w:t>
      </w:r>
      <w:r w:rsidR="00834117">
        <w:t>claims</w:t>
      </w:r>
      <w:r w:rsidR="002A00A6">
        <w:t xml:space="preserve"> </w:t>
      </w:r>
      <w:r w:rsidR="00FC19B1">
        <w:t>to</w:t>
      </w:r>
      <w:r w:rsidR="002A00A6">
        <w:t xml:space="preserve"> </w:t>
      </w:r>
      <w:r>
        <w:t>provide both fixed and satellite wireless service</w:t>
      </w:r>
      <w:r w:rsidR="00A10FA0">
        <w:t xml:space="preserve"> to over 1500 customers along the largest lake in Virginia, </w:t>
      </w:r>
      <w:r w:rsidR="003C1D8F">
        <w:t xml:space="preserve">typically </w:t>
      </w:r>
      <w:r w:rsidR="0064566F">
        <w:t xml:space="preserve">operating </w:t>
      </w:r>
      <w:r w:rsidR="00A10FA0">
        <w:t xml:space="preserve">as the only internet </w:t>
      </w:r>
      <w:r w:rsidR="0064566F">
        <w:t xml:space="preserve">service </w:t>
      </w:r>
      <w:r w:rsidR="00A10FA0">
        <w:t>provider.</w:t>
      </w:r>
      <w:r>
        <w:rPr>
          <w:rStyle w:val="FootnoteReference"/>
        </w:rPr>
        <w:footnoteReference w:id="6"/>
      </w:r>
      <w:r w:rsidR="00A10FA0">
        <w:t xml:space="preserve"> </w:t>
      </w:r>
      <w:r w:rsidR="0097498E">
        <w:t xml:space="preserve"> </w:t>
      </w:r>
    </w:p>
    <w:p w:rsidR="00AB53D4" w:rsidP="005A2CB3" w14:paraId="35F9E946" w14:textId="2CEF02E5">
      <w:pPr>
        <w:pStyle w:val="ParaNum"/>
      </w:pPr>
      <w:r>
        <w:t xml:space="preserve">In April 2015, the </w:t>
      </w:r>
      <w:r w:rsidR="000B7732">
        <w:t>Commission</w:t>
      </w:r>
      <w:r>
        <w:t xml:space="preserve"> adopted rules for commercial use of 150 megahertz in the 3550-3700 MHz band (3.5 GHz band)</w:t>
      </w:r>
      <w:r w:rsidR="00FC19B1">
        <w:t>, which</w:t>
      </w:r>
      <w:r w:rsidR="001A6D51">
        <w:t xml:space="preserve"> </w:t>
      </w:r>
      <w:r w:rsidR="00D860B8">
        <w:t>enabl</w:t>
      </w:r>
      <w:r w:rsidR="00FC19B1">
        <w:t>ed</w:t>
      </w:r>
      <w:r w:rsidR="00D860B8">
        <w:t xml:space="preserve"> dynamic spectrum sharing </w:t>
      </w:r>
      <w:r w:rsidR="0064566F">
        <w:t>through</w:t>
      </w:r>
      <w:r w:rsidR="00FC19B1">
        <w:t xml:space="preserve"> </w:t>
      </w:r>
      <w:r w:rsidR="00F97F54">
        <w:t>a</w:t>
      </w:r>
      <w:r w:rsidR="00D860B8">
        <w:t xml:space="preserve"> three-tiered framework to coordinate shared use of the band</w:t>
      </w:r>
      <w:r w:rsidR="00006AAA">
        <w:t xml:space="preserve"> </w:t>
      </w:r>
      <w:r w:rsidR="00B62567">
        <w:t xml:space="preserve">among </w:t>
      </w:r>
      <w:r w:rsidR="00006AAA">
        <w:t>incumbents, Priority Access Licenses (PAL) and General Authorized Access (GAA) users</w:t>
      </w:r>
      <w:r w:rsidR="001A6D51">
        <w:t>.</w:t>
      </w:r>
      <w:r>
        <w:rPr>
          <w:rStyle w:val="FootnoteReference"/>
        </w:rPr>
        <w:footnoteReference w:id="7"/>
      </w:r>
      <w:r>
        <w:t xml:space="preserve"> </w:t>
      </w:r>
      <w:r w:rsidR="0097498E">
        <w:t xml:space="preserve"> </w:t>
      </w:r>
      <w:r w:rsidR="00FC19B1">
        <w:t>I</w:t>
      </w:r>
      <w:r w:rsidR="00B93258">
        <w:t>n the 3650</w:t>
      </w:r>
      <w:r w:rsidR="00006AAA">
        <w:t>-3700 MHz band</w:t>
      </w:r>
      <w:r w:rsidR="00EC2266">
        <w:t>,</w:t>
      </w:r>
      <w:r w:rsidR="00006AAA">
        <w:t xml:space="preserve"> </w:t>
      </w:r>
      <w:r w:rsidR="00FC19B1">
        <w:t xml:space="preserve">however, </w:t>
      </w:r>
      <w:r w:rsidR="00006AAA">
        <w:t>only</w:t>
      </w:r>
      <w:r w:rsidR="00EC2266">
        <w:t xml:space="preserve"> GAA users and </w:t>
      </w:r>
      <w:r w:rsidR="00E33D5B">
        <w:t>G</w:t>
      </w:r>
      <w:r w:rsidR="00EC2266">
        <w:t>randfathered</w:t>
      </w:r>
      <w:r w:rsidR="00A92FCF">
        <w:t xml:space="preserve"> </w:t>
      </w:r>
      <w:r w:rsidR="00E33D5B">
        <w:t>W</w:t>
      </w:r>
      <w:r w:rsidR="00A92FCF">
        <w:t xml:space="preserve">ireless </w:t>
      </w:r>
      <w:r w:rsidR="00E33D5B">
        <w:t>B</w:t>
      </w:r>
      <w:r w:rsidR="00A92FCF">
        <w:t xml:space="preserve">roadband </w:t>
      </w:r>
      <w:r w:rsidR="00E33D5B">
        <w:t>L</w:t>
      </w:r>
      <w:r w:rsidR="00A92FCF">
        <w:t xml:space="preserve">icensees </w:t>
      </w:r>
      <w:r w:rsidR="00EB353B">
        <w:t>are</w:t>
      </w:r>
      <w:r w:rsidR="00006AAA">
        <w:t xml:space="preserve"> permitted</w:t>
      </w:r>
      <w:r w:rsidR="00016807">
        <w:t xml:space="preserve"> to operate</w:t>
      </w:r>
      <w:r w:rsidR="00006AAA">
        <w:t>.</w:t>
      </w:r>
      <w:r>
        <w:rPr>
          <w:rStyle w:val="FootnoteReference"/>
        </w:rPr>
        <w:footnoteReference w:id="8"/>
      </w:r>
      <w:r w:rsidR="00DB6215">
        <w:t xml:space="preserve"> </w:t>
      </w:r>
      <w:r w:rsidR="0097498E">
        <w:t xml:space="preserve"> </w:t>
      </w:r>
      <w:r w:rsidR="00DB6215">
        <w:t>Incumbents</w:t>
      </w:r>
      <w:r w:rsidR="00006AAA">
        <w:t xml:space="preserve"> across the 3.5 GHz band</w:t>
      </w:r>
      <w:r w:rsidR="00DB6215">
        <w:t xml:space="preserve"> include federal users, Fixed Satellite Service earth stations and, for a limited </w:t>
      </w:r>
      <w:r w:rsidR="00787B87">
        <w:t>period</w:t>
      </w:r>
      <w:r w:rsidR="00DB6215">
        <w:t xml:space="preserve">, </w:t>
      </w:r>
      <w:r w:rsidR="001634BE">
        <w:t>G</w:t>
      </w:r>
      <w:r w:rsidR="00DB6215">
        <w:t xml:space="preserve">randfathered </w:t>
      </w:r>
      <w:r w:rsidR="001634BE">
        <w:t>W</w:t>
      </w:r>
      <w:r w:rsidR="00DB6215">
        <w:t>ireless</w:t>
      </w:r>
      <w:r w:rsidR="001634BE">
        <w:t xml:space="preserve"> Broadband</w:t>
      </w:r>
      <w:r w:rsidR="00DB6215">
        <w:t xml:space="preserve"> </w:t>
      </w:r>
      <w:r w:rsidR="001634BE">
        <w:t>L</w:t>
      </w:r>
      <w:r w:rsidR="00DB6215">
        <w:t xml:space="preserve">icenses in the 3650-3700 </w:t>
      </w:r>
      <w:r w:rsidR="00721118">
        <w:t xml:space="preserve">MHz </w:t>
      </w:r>
      <w:r w:rsidR="00DB6215">
        <w:t>band.</w:t>
      </w:r>
      <w:r>
        <w:rPr>
          <w:rStyle w:val="FootnoteReference"/>
        </w:rPr>
        <w:footnoteReference w:id="9"/>
      </w:r>
    </w:p>
    <w:p w:rsidR="008A76D2" w:rsidP="005A2CB3" w14:paraId="556DDF47" w14:textId="5CA5EE25">
      <w:pPr>
        <w:pStyle w:val="ParaNum"/>
      </w:pPr>
      <w:r>
        <w:t>At the same time</w:t>
      </w:r>
      <w:r w:rsidR="00AB53D4">
        <w:t xml:space="preserve">, the Commission </w:t>
      </w:r>
      <w:r>
        <w:t>adopted</w:t>
      </w:r>
      <w:r w:rsidR="00AB53D4">
        <w:t xml:space="preserve"> a transition period </w:t>
      </w:r>
      <w:r>
        <w:t xml:space="preserve">for certain part 90 incumbent </w:t>
      </w:r>
      <w:r w:rsidR="00E33D5B">
        <w:t>G</w:t>
      </w:r>
      <w:r>
        <w:t xml:space="preserve">randfathered </w:t>
      </w:r>
      <w:r w:rsidR="00E33D5B">
        <w:t>W</w:t>
      </w:r>
      <w:r>
        <w:t xml:space="preserve">ireless </w:t>
      </w:r>
      <w:r w:rsidR="00E33D5B">
        <w:t>B</w:t>
      </w:r>
      <w:r>
        <w:t xml:space="preserve">roadband </w:t>
      </w:r>
      <w:r w:rsidR="00E33D5B">
        <w:t>L</w:t>
      </w:r>
      <w:r>
        <w:t>icensees in the 3650-3700 MHz band</w:t>
      </w:r>
      <w:r w:rsidR="00730291">
        <w:t xml:space="preserve"> to </w:t>
      </w:r>
      <w:r w:rsidR="00B62567">
        <w:t xml:space="preserve">transition </w:t>
      </w:r>
      <w:r w:rsidR="00730291">
        <w:t>to part 96 rules.</w:t>
      </w:r>
      <w:r>
        <w:rPr>
          <w:rStyle w:val="FootnoteReference"/>
        </w:rPr>
        <w:footnoteReference w:id="10"/>
      </w:r>
      <w:r w:rsidR="00F97F54">
        <w:t xml:space="preserve"> </w:t>
      </w:r>
      <w:r w:rsidR="0097498E">
        <w:t xml:space="preserve"> </w:t>
      </w:r>
      <w:r>
        <w:t>Wireless broadband licensees in the 3650-3700 MHz band operate under part 90, subpart Z, on a nationwide, non-exclusive basis.</w:t>
      </w:r>
      <w:r>
        <w:rPr>
          <w:rStyle w:val="FootnoteReference"/>
        </w:rPr>
        <w:footnoteReference w:id="11"/>
      </w:r>
      <w:r w:rsidR="00DA7193">
        <w:t xml:space="preserve"> </w:t>
      </w:r>
      <w:r>
        <w:t xml:space="preserve"> </w:t>
      </w:r>
      <w:r w:rsidR="00F97F54">
        <w:t xml:space="preserve">To qualify </w:t>
      </w:r>
      <w:r w:rsidR="00730291">
        <w:t xml:space="preserve">as a </w:t>
      </w:r>
      <w:r w:rsidR="00E33D5B">
        <w:t>G</w:t>
      </w:r>
      <w:r w:rsidR="00730291">
        <w:t xml:space="preserve">randfathered </w:t>
      </w:r>
      <w:r w:rsidR="00E33D5B">
        <w:t>W</w:t>
      </w:r>
      <w:r w:rsidR="00730291">
        <w:t xml:space="preserve">ireless </w:t>
      </w:r>
      <w:r w:rsidR="00E33D5B">
        <w:t>B</w:t>
      </w:r>
      <w:r w:rsidR="00730291">
        <w:t xml:space="preserve">roadband </w:t>
      </w:r>
      <w:r w:rsidR="00E33D5B">
        <w:t>L</w:t>
      </w:r>
      <w:r w:rsidR="00730291">
        <w:t>icensee, the</w:t>
      </w:r>
      <w:r w:rsidR="00F97F54">
        <w:t xml:space="preserve"> licensee must have registered </w:t>
      </w:r>
      <w:r w:rsidR="00005B83">
        <w:t xml:space="preserve">its </w:t>
      </w:r>
      <w:r w:rsidR="00F97F54">
        <w:t>stations on or before April 17, 2015</w:t>
      </w:r>
      <w:r w:rsidR="006B6DC1">
        <w:t xml:space="preserve">, and registered stations must </w:t>
      </w:r>
      <w:r w:rsidR="00005B83">
        <w:t xml:space="preserve">have </w:t>
      </w:r>
      <w:r w:rsidR="00BE6833">
        <w:t>be</w:t>
      </w:r>
      <w:r w:rsidR="00005B83">
        <w:t>en</w:t>
      </w:r>
      <w:r w:rsidR="00BE6833">
        <w:t xml:space="preserve"> “</w:t>
      </w:r>
      <w:r w:rsidR="006B6DC1">
        <w:t>constructed, in service, and fully compliant with</w:t>
      </w:r>
      <w:r w:rsidR="00730291">
        <w:t xml:space="preserve"> the rules in</w:t>
      </w:r>
      <w:r w:rsidR="006B6DC1">
        <w:t xml:space="preserve"> Part 90, subpart Z</w:t>
      </w:r>
      <w:r w:rsidR="00730291">
        <w:t xml:space="preserve"> as of </w:t>
      </w:r>
      <w:r w:rsidR="006B6DC1">
        <w:t>April 17, 2016.”</w:t>
      </w:r>
      <w:r>
        <w:rPr>
          <w:rStyle w:val="FootnoteReference"/>
        </w:rPr>
        <w:footnoteReference w:id="12"/>
      </w:r>
      <w:r w:rsidR="00F97F54">
        <w:t xml:space="preserve"> </w:t>
      </w:r>
      <w:r w:rsidR="006B6DC1">
        <w:t xml:space="preserve"> </w:t>
      </w:r>
      <w:r w:rsidR="00730291">
        <w:t xml:space="preserve">The transition periods for grandfathered 3650-3700 MHz band wireless broadband licensees ends between </w:t>
      </w:r>
      <w:r w:rsidR="00D15A63">
        <w:t>October 17, 2020 and January 8, 2023, depending on the grant and expiration dates of each individual license.</w:t>
      </w:r>
      <w:r>
        <w:rPr>
          <w:rStyle w:val="FootnoteReference"/>
        </w:rPr>
        <w:footnoteReference w:id="13"/>
      </w:r>
      <w:r w:rsidR="009B765B">
        <w:t xml:space="preserve"> </w:t>
      </w:r>
      <w:r w:rsidR="00D15A63">
        <w:t xml:space="preserve"> </w:t>
      </w:r>
      <w:r w:rsidR="006B6DC1">
        <w:t>During the transition period, grandfathered licensees are granted incumbent status with respect to Citizens Broadband Radio Service operations in their protection zones.</w:t>
      </w:r>
      <w:r>
        <w:rPr>
          <w:rStyle w:val="FootnoteReference"/>
        </w:rPr>
        <w:footnoteReference w:id="14"/>
      </w:r>
      <w:r w:rsidR="006B6DC1">
        <w:t xml:space="preserve"> </w:t>
      </w:r>
      <w:r w:rsidR="0097498E">
        <w:t xml:space="preserve"> </w:t>
      </w:r>
      <w:r w:rsidR="00D15A63">
        <w:t>Non-grandfathered licensees, i.e., part 90 licensees that chose not to apply for grandfathered status or did not have qualifying sites, have the right to operate at existing registered sites under part 90 (on a non-exclusive, unprotected basis) until the date for which each licensee would have qualified for grandfathered status had they applied.</w:t>
      </w:r>
      <w:r>
        <w:rPr>
          <w:rStyle w:val="FootnoteReference"/>
        </w:rPr>
        <w:footnoteReference w:id="15"/>
      </w:r>
      <w:r w:rsidR="00D15A63">
        <w:t xml:space="preserve">  </w:t>
      </w:r>
      <w:r w:rsidR="0024368A">
        <w:t xml:space="preserve">For most </w:t>
      </w:r>
      <w:r w:rsidR="00D15A63">
        <w:t>of these licensees, this date is the same as the end of their license term.</w:t>
      </w:r>
      <w:r>
        <w:rPr>
          <w:rStyle w:val="FootnoteReference"/>
        </w:rPr>
        <w:footnoteReference w:id="16"/>
      </w:r>
      <w:r w:rsidR="0024368A">
        <w:t xml:space="preserve"> </w:t>
      </w:r>
      <w:r w:rsidR="000A0CF0">
        <w:t xml:space="preserve"> </w:t>
      </w:r>
      <w:r w:rsidR="00D15A63">
        <w:t>F</w:t>
      </w:r>
      <w:r w:rsidR="009F3365">
        <w:t>or any license issued or renewed after January 8, 201</w:t>
      </w:r>
      <w:r w:rsidR="000A0CF0">
        <w:t>3, grandfathered status</w:t>
      </w:r>
      <w:r w:rsidR="009F3365">
        <w:t xml:space="preserve"> </w:t>
      </w:r>
      <w:r w:rsidR="000A0CF0">
        <w:t xml:space="preserve">(and </w:t>
      </w:r>
      <w:r w:rsidR="009F3365">
        <w:t xml:space="preserve">the right to </w:t>
      </w:r>
      <w:r w:rsidR="000A0CF0">
        <w:t xml:space="preserve">operate </w:t>
      </w:r>
      <w:r w:rsidR="009F3365">
        <w:t>under part 90</w:t>
      </w:r>
      <w:r w:rsidR="000A0CF0">
        <w:t>)</w:t>
      </w:r>
      <w:r w:rsidR="009F3365">
        <w:t xml:space="preserve"> extends </w:t>
      </w:r>
      <w:r w:rsidR="000547DE">
        <w:t xml:space="preserve">only </w:t>
      </w:r>
      <w:r w:rsidR="009F3365">
        <w:t>until October 17, 2020</w:t>
      </w:r>
      <w:r w:rsidR="003D5ABA">
        <w:t>, regardless of when each license terminates.</w:t>
      </w:r>
      <w:r>
        <w:rPr>
          <w:rStyle w:val="FootnoteReference"/>
        </w:rPr>
        <w:footnoteReference w:id="17"/>
      </w:r>
      <w:r w:rsidR="00AB53D4">
        <w:t xml:space="preserve"> </w:t>
      </w:r>
      <w:r w:rsidR="00405F3D">
        <w:t xml:space="preserve"> </w:t>
      </w:r>
    </w:p>
    <w:p w:rsidR="00BE6833" w:rsidP="005A2CB3" w14:paraId="5B7B3DEE" w14:textId="684EE39B">
      <w:pPr>
        <w:pStyle w:val="ParaNum"/>
      </w:pPr>
      <w:r>
        <w:t xml:space="preserve">LCI was issued a </w:t>
      </w:r>
      <w:r w:rsidR="008A61E0">
        <w:t xml:space="preserve">3650 MHz </w:t>
      </w:r>
      <w:r>
        <w:t xml:space="preserve">license </w:t>
      </w:r>
      <w:r w:rsidR="008A61E0">
        <w:t xml:space="preserve">on </w:t>
      </w:r>
      <w:r>
        <w:t>March 23, 2011</w:t>
      </w:r>
      <w:r w:rsidR="006E72B2">
        <w:t>,</w:t>
      </w:r>
      <w:r w:rsidR="008A61E0">
        <w:t xml:space="preserve"> </w:t>
      </w:r>
      <w:r>
        <w:t xml:space="preserve">and its license expires </w:t>
      </w:r>
      <w:r w:rsidR="00016807">
        <w:t xml:space="preserve">on </w:t>
      </w:r>
      <w:r>
        <w:t>March 23, 2021.</w:t>
      </w:r>
      <w:r>
        <w:rPr>
          <w:rStyle w:val="FootnoteReference"/>
        </w:rPr>
        <w:footnoteReference w:id="18"/>
      </w:r>
      <w:r>
        <w:t xml:space="preserve">  </w:t>
      </w:r>
      <w:r w:rsidR="008A61E0">
        <w:t>LCI did not register for grandfathered status by the April 17, 2015 deadline.</w:t>
      </w:r>
      <w:r>
        <w:rPr>
          <w:rStyle w:val="FootnoteReference"/>
        </w:rPr>
        <w:footnoteReference w:id="19"/>
      </w:r>
      <w:r w:rsidR="008A61E0">
        <w:t xml:space="preserve">  </w:t>
      </w:r>
      <w:r>
        <w:t xml:space="preserve">LCI has requested a waiver </w:t>
      </w:r>
      <w:r w:rsidR="00BD4698">
        <w:t xml:space="preserve">of </w:t>
      </w:r>
      <w:r w:rsidR="006C7E7A">
        <w:t xml:space="preserve">47 CFR </w:t>
      </w:r>
      <w:r w:rsidR="006C7E7A">
        <w:rPr>
          <w:rFonts w:ascii="TimesNewRomanPSMT" w:hAnsi="TimesNewRomanPSMT" w:cs="TimesNewRomanPSMT"/>
        </w:rPr>
        <w:t>§ 90.1338</w:t>
      </w:r>
      <w:r w:rsidR="006C7E7A">
        <w:t xml:space="preserve"> </w:t>
      </w:r>
      <w:r>
        <w:t>to</w:t>
      </w:r>
      <w:r w:rsidR="0019662A">
        <w:t xml:space="preserve"> </w:t>
      </w:r>
      <w:r w:rsidR="006B5A23">
        <w:t>obtain</w:t>
      </w:r>
      <w:r w:rsidR="00EE2C7E">
        <w:t xml:space="preserve"> </w:t>
      </w:r>
      <w:r>
        <w:t>grandfathered status</w:t>
      </w:r>
      <w:r w:rsidR="00565050">
        <w:t>.</w:t>
      </w:r>
      <w:r>
        <w:rPr>
          <w:rStyle w:val="FootnoteReference"/>
        </w:rPr>
        <w:footnoteReference w:id="20"/>
      </w:r>
      <w:r w:rsidR="00565050">
        <w:t xml:space="preserve"> </w:t>
      </w:r>
      <w:r w:rsidR="0097498E">
        <w:t xml:space="preserve"> </w:t>
      </w:r>
      <w:r w:rsidR="00565050">
        <w:t xml:space="preserve">Additionally, LCI has requested </w:t>
      </w:r>
      <w:r w:rsidR="000520F6">
        <w:t xml:space="preserve">a waiver </w:t>
      </w:r>
      <w:r w:rsidR="006C7E7A">
        <w:t xml:space="preserve">of 47 CFR </w:t>
      </w:r>
      <w:r w:rsidR="006C7E7A">
        <w:rPr>
          <w:rFonts w:ascii="TimesNewRomanPSMT" w:hAnsi="TimesNewRomanPSMT" w:cs="TimesNewRomanPSMT"/>
        </w:rPr>
        <w:t xml:space="preserve">§ 90.1307(b) </w:t>
      </w:r>
      <w:r w:rsidR="000520F6">
        <w:t>to permit</w:t>
      </w:r>
      <w:r w:rsidR="00565050">
        <w:t xml:space="preserve"> renew</w:t>
      </w:r>
      <w:r w:rsidR="000520F6">
        <w:t xml:space="preserve">al of </w:t>
      </w:r>
      <w:r w:rsidR="00CA44D0">
        <w:t>its</w:t>
      </w:r>
      <w:r w:rsidR="00565050">
        <w:t xml:space="preserve"> license in the 3650-3700 MHz band.</w:t>
      </w:r>
      <w:r>
        <w:rPr>
          <w:rStyle w:val="FootnoteReference"/>
        </w:rPr>
        <w:footnoteReference w:id="21"/>
      </w:r>
      <w:r w:rsidR="00565050">
        <w:t xml:space="preserve"> </w:t>
      </w:r>
      <w:r w:rsidR="0097498E">
        <w:t xml:space="preserve"> </w:t>
      </w:r>
      <w:r w:rsidR="00565050">
        <w:t xml:space="preserve">LCI </w:t>
      </w:r>
      <w:r w:rsidR="006E72B2">
        <w:t xml:space="preserve">claims that </w:t>
      </w:r>
      <w:r w:rsidR="00AE4C87">
        <w:t>grandfathered status and renewal</w:t>
      </w:r>
      <w:r w:rsidR="00565050">
        <w:t xml:space="preserve"> are essential to </w:t>
      </w:r>
      <w:r w:rsidR="00CA44D0">
        <w:t>providing</w:t>
      </w:r>
      <w:r w:rsidR="00565050">
        <w:t xml:space="preserve"> </w:t>
      </w:r>
      <w:r w:rsidR="0019662A">
        <w:t xml:space="preserve">fixed wireless service to customers </w:t>
      </w:r>
      <w:r w:rsidR="0019662A">
        <w:t xml:space="preserve">and </w:t>
      </w:r>
      <w:r w:rsidR="006E72B2">
        <w:t xml:space="preserve">that, </w:t>
      </w:r>
      <w:r w:rsidR="006C7E7A">
        <w:t>without the requested waiver relief</w:t>
      </w:r>
      <w:r w:rsidR="00834117">
        <w:t>,</w:t>
      </w:r>
      <w:r w:rsidR="00892423">
        <w:t xml:space="preserve"> local customers will not have a fixed wireless provider.</w:t>
      </w:r>
      <w:r>
        <w:rPr>
          <w:rStyle w:val="FootnoteReference"/>
        </w:rPr>
        <w:footnoteReference w:id="22"/>
      </w:r>
    </w:p>
    <w:p w:rsidR="007D262E" w:rsidP="005A2CB3" w14:paraId="604706FC" w14:textId="3EF0E018">
      <w:pPr>
        <w:pStyle w:val="ParaNum"/>
      </w:pPr>
      <w:r>
        <w:t>To obtain a waiver of the Commission’s rules, a petitioner must demonstrate either that: (</w:t>
      </w:r>
      <w:r>
        <w:t>i</w:t>
      </w:r>
      <w:r>
        <w:t xml:space="preserve">) the underlying purpose of the rule(s) would not be served or would be frustrated by application to the present case and that grant of the waiver would be in the public interest; or (ii) in view of the unique </w:t>
      </w:r>
      <w:r w:rsidRPr="007D262E">
        <w:t>or unusual factual circumstances of the instant case, application of the rule(s) would be inequitable, unduly burdensome, or contrary to the public interest, or the applicant has no reasonable alternative.</w:t>
      </w:r>
      <w:r>
        <w:rPr>
          <w:rStyle w:val="FootnoteReference"/>
        </w:rPr>
        <w:footnoteReference w:id="23"/>
      </w:r>
      <w:r w:rsidR="00FF43AA">
        <w:t xml:space="preserve"> </w:t>
      </w:r>
      <w:r w:rsidR="002371A0">
        <w:t xml:space="preserve"> </w:t>
      </w:r>
      <w:r w:rsidR="00FF43AA">
        <w:t>W</w:t>
      </w:r>
      <w:r w:rsidR="00EB6BDB">
        <w:t>hen seeking waiver of a rule, an applicant “must plead with particularity the facts and circumstances which warrant such action.”</w:t>
      </w:r>
      <w:r>
        <w:rPr>
          <w:rStyle w:val="FootnoteReference"/>
        </w:rPr>
        <w:footnoteReference w:id="24"/>
      </w:r>
      <w:r w:rsidR="00EB6BDB">
        <w:t xml:space="preserve">  </w:t>
      </w:r>
      <w:r w:rsidR="001737DF">
        <w:t>Moreover, it is well established that “an applicant for waiver faces a high hurdle even at the starting gate.”</w:t>
      </w:r>
      <w:r>
        <w:rPr>
          <w:rStyle w:val="FootnoteReference"/>
        </w:rPr>
        <w:footnoteReference w:id="25"/>
      </w:r>
      <w:r w:rsidR="001737DF">
        <w:t xml:space="preserve">  </w:t>
      </w:r>
      <w:r w:rsidR="003B0C59">
        <w:t>W</w:t>
      </w:r>
      <w:r w:rsidRPr="007D262E">
        <w:t xml:space="preserve">e find </w:t>
      </w:r>
      <w:r w:rsidR="00814B13">
        <w:t xml:space="preserve">that </w:t>
      </w:r>
      <w:r w:rsidR="003B0C59">
        <w:t>LCI has failed to meet either prong of the waiver standard</w:t>
      </w:r>
      <w:r w:rsidR="00AE4C87">
        <w:t xml:space="preserve"> for </w:t>
      </w:r>
      <w:r w:rsidR="00BD7ECC">
        <w:t xml:space="preserve">both </w:t>
      </w:r>
      <w:r w:rsidR="00AE4C87">
        <w:t>request</w:t>
      </w:r>
      <w:r w:rsidR="00BD7ECC">
        <w:t>s</w:t>
      </w:r>
      <w:r w:rsidR="000520F6">
        <w:t>.</w:t>
      </w:r>
    </w:p>
    <w:p w:rsidR="002A00A6" w:rsidP="00E61234" w14:paraId="6D626CFF" w14:textId="39D1C30C">
      <w:pPr>
        <w:pStyle w:val="ParaNum"/>
      </w:pPr>
      <w:r>
        <w:t>We conclude</w:t>
      </w:r>
      <w:r w:rsidR="00B64BCB">
        <w:t xml:space="preserve"> </w:t>
      </w:r>
      <w:r w:rsidR="00016807">
        <w:t>that LCI’s</w:t>
      </w:r>
      <w:r>
        <w:t xml:space="preserve"> </w:t>
      </w:r>
      <w:r w:rsidR="0043780A">
        <w:t>assertions</w:t>
      </w:r>
      <w:r>
        <w:t xml:space="preserve"> do not warrant a waiver of</w:t>
      </w:r>
      <w:r w:rsidR="004B4143">
        <w:t xml:space="preserve"> 47 CFR </w:t>
      </w:r>
      <w:r w:rsidR="004B4143">
        <w:rPr>
          <w:rFonts w:ascii="TimesNewRomanPSMT" w:hAnsi="TimesNewRomanPSMT" w:cs="TimesNewRomanPSMT"/>
        </w:rPr>
        <w:t>§ 90.1338</w:t>
      </w:r>
      <w:r w:rsidR="004622B4">
        <w:rPr>
          <w:rFonts w:ascii="TimesNewRomanPSMT" w:hAnsi="TimesNewRomanPSMT" w:cs="TimesNewRomanPSMT"/>
        </w:rPr>
        <w:t xml:space="preserve"> to grant it grandfathered status in the 3650-3700 MHz band</w:t>
      </w:r>
      <w:r>
        <w:t xml:space="preserve">. </w:t>
      </w:r>
      <w:r w:rsidR="0097498E">
        <w:t xml:space="preserve"> </w:t>
      </w:r>
      <w:r w:rsidR="00DC757F">
        <w:t xml:space="preserve">The purpose of </w:t>
      </w:r>
      <w:r w:rsidR="004B4143">
        <w:t xml:space="preserve">47 CFR </w:t>
      </w:r>
      <w:r w:rsidR="004B4143">
        <w:rPr>
          <w:rFonts w:ascii="TimesNewRomanPSMT" w:hAnsi="TimesNewRomanPSMT" w:cs="TimesNewRomanPSMT"/>
        </w:rPr>
        <w:t xml:space="preserve">§ 90.1338 </w:t>
      </w:r>
      <w:r w:rsidR="00DC757F">
        <w:t xml:space="preserve">is to </w:t>
      </w:r>
      <w:r w:rsidR="00575FCA">
        <w:t xml:space="preserve">protect existing investments </w:t>
      </w:r>
      <w:r w:rsidR="00664035">
        <w:t xml:space="preserve">in the 3650-3700 MHz band by permitting </w:t>
      </w:r>
      <w:r w:rsidR="00E33D5B">
        <w:t>G</w:t>
      </w:r>
      <w:r w:rsidR="00664035">
        <w:t xml:space="preserve">randfathered </w:t>
      </w:r>
      <w:r w:rsidR="00E33D5B">
        <w:t>W</w:t>
      </w:r>
      <w:r w:rsidR="00664035">
        <w:t xml:space="preserve">ireless </w:t>
      </w:r>
      <w:r w:rsidR="00E33D5B">
        <w:t>B</w:t>
      </w:r>
      <w:r w:rsidR="00664035">
        <w:t xml:space="preserve">roadband </w:t>
      </w:r>
      <w:r w:rsidR="00E33D5B">
        <w:t>L</w:t>
      </w:r>
      <w:r w:rsidR="00664035">
        <w:t>icensees the opportunity to continue operating under existing part 90 licenses for a fixed period of time</w:t>
      </w:r>
      <w:r w:rsidR="00B20E8C">
        <w:t>.</w:t>
      </w:r>
      <w:r>
        <w:rPr>
          <w:rStyle w:val="FootnoteReference"/>
        </w:rPr>
        <w:footnoteReference w:id="26"/>
      </w:r>
      <w:r w:rsidR="00DC757F">
        <w:t xml:space="preserve">  </w:t>
      </w:r>
      <w:r w:rsidR="00AD6F53">
        <w:t xml:space="preserve">Like all other licensees in the 3650-3700 MHz band, LCI had the </w:t>
      </w:r>
      <w:r w:rsidR="0005730E">
        <w:t>chance</w:t>
      </w:r>
      <w:r w:rsidR="00AD6F53">
        <w:t xml:space="preserve"> to apply for grandfathered status five years ago</w:t>
      </w:r>
      <w:r w:rsidR="00814B13">
        <w:t>,</w:t>
      </w:r>
      <w:r w:rsidR="00964FB3">
        <w:t xml:space="preserve"> and LCI chose not to avail itself of that opportunity</w:t>
      </w:r>
      <w:r w:rsidR="001737DF">
        <w:t xml:space="preserve">.  </w:t>
      </w:r>
      <w:r w:rsidR="00A94E5E">
        <w:t xml:space="preserve">LCI has not </w:t>
      </w:r>
      <w:r w:rsidR="001737DF">
        <w:t xml:space="preserve">presented any evidence to support its late-filed request for grandfathered status nor has it demonstrated how granting such a request would </w:t>
      </w:r>
      <w:r w:rsidR="00B34243">
        <w:t xml:space="preserve">be consistent with the </w:t>
      </w:r>
      <w:r w:rsidR="00B34243">
        <w:t>underlying purpose</w:t>
      </w:r>
      <w:r w:rsidR="00B34243">
        <w:t xml:space="preserve"> of the Commission’s rules.  </w:t>
      </w:r>
      <w:r w:rsidR="00537B82">
        <w:t xml:space="preserve"> </w:t>
      </w:r>
      <w:r w:rsidR="00B34243">
        <w:t xml:space="preserve">Moreover, LCI has not </w:t>
      </w:r>
      <w:r w:rsidR="00AD6F53">
        <w:t>explain</w:t>
      </w:r>
      <w:r w:rsidR="00B34243">
        <w:t>ed</w:t>
      </w:r>
      <w:r w:rsidR="00AD6F53">
        <w:t xml:space="preserve"> why a waiver is now needed </w:t>
      </w:r>
      <w:r w:rsidR="00814B13">
        <w:t xml:space="preserve">or </w:t>
      </w:r>
      <w:r w:rsidR="00AD6F53">
        <w:t>why it cannot transition its equipment from part 90</w:t>
      </w:r>
      <w:r w:rsidR="00BD7ECC">
        <w:t>-</w:t>
      </w:r>
      <w:r w:rsidR="00AD6F53">
        <w:t xml:space="preserve"> to part 96</w:t>
      </w:r>
      <w:r w:rsidR="00BD7ECC">
        <w:t>-based operations</w:t>
      </w:r>
      <w:r w:rsidR="00AD6F53">
        <w:t xml:space="preserve"> by the end of </w:t>
      </w:r>
      <w:r w:rsidR="00492839">
        <w:t>its</w:t>
      </w:r>
      <w:r w:rsidR="00AD6F53">
        <w:t xml:space="preserve"> license term, </w:t>
      </w:r>
      <w:r w:rsidR="00016807">
        <w:t xml:space="preserve">which is </w:t>
      </w:r>
      <w:r w:rsidR="00AD6F53">
        <w:t>March 23, 202</w:t>
      </w:r>
      <w:r w:rsidR="00E61234">
        <w:t>1.</w:t>
      </w:r>
      <w:r>
        <w:rPr>
          <w:rStyle w:val="FootnoteReference"/>
        </w:rPr>
        <w:footnoteReference w:id="27"/>
      </w:r>
      <w:r w:rsidR="00E61234">
        <w:t xml:space="preserve">  T</w:t>
      </w:r>
      <w:r w:rsidR="00AD6F53">
        <w:t>herefore, w</w:t>
      </w:r>
      <w:r w:rsidR="00DC757F">
        <w:t>e find</w:t>
      </w:r>
      <w:r w:rsidR="0061765C">
        <w:t xml:space="preserve"> a waiver would frustrate the underlying purpose of 47 CFR </w:t>
      </w:r>
      <w:r w:rsidRPr="00E61234" w:rsidR="0061765C">
        <w:rPr>
          <w:rFonts w:ascii="TimesNewRomanPSMT" w:hAnsi="TimesNewRomanPSMT" w:cs="TimesNewRomanPSMT"/>
        </w:rPr>
        <w:t>§ 90.1338</w:t>
      </w:r>
      <w:r w:rsidR="00B34243">
        <w:rPr>
          <w:rFonts w:ascii="TimesNewRomanPSMT" w:hAnsi="TimesNewRomanPSMT" w:cs="TimesNewRomanPSMT"/>
        </w:rPr>
        <w:t>.</w:t>
      </w:r>
    </w:p>
    <w:p w:rsidR="00CA19F6" w:rsidP="005A2CB3" w14:paraId="1A00D004" w14:textId="78EE366B">
      <w:pPr>
        <w:pStyle w:val="ParaNum"/>
      </w:pPr>
      <w:r>
        <w:t xml:space="preserve">LCI </w:t>
      </w:r>
      <w:r w:rsidR="00B34243">
        <w:t xml:space="preserve">also </w:t>
      </w:r>
      <w:r w:rsidR="008C47D2">
        <w:t>argues</w:t>
      </w:r>
      <w:r w:rsidR="00B34243">
        <w:t xml:space="preserve"> that</w:t>
      </w:r>
      <w:r w:rsidR="008C47D2">
        <w:t xml:space="preserve"> </w:t>
      </w:r>
      <w:r w:rsidR="004B4143">
        <w:t>a</w:t>
      </w:r>
      <w:r>
        <w:t xml:space="preserve"> waiver </w:t>
      </w:r>
      <w:r w:rsidR="004B4143">
        <w:t xml:space="preserve">of 47 CFR </w:t>
      </w:r>
      <w:r w:rsidR="004B4143">
        <w:rPr>
          <w:rFonts w:ascii="TimesNewRomanPSMT" w:hAnsi="TimesNewRomanPSMT" w:cs="TimesNewRomanPSMT"/>
        </w:rPr>
        <w:t>§ 90.1338</w:t>
      </w:r>
      <w:r>
        <w:t xml:space="preserve"> </w:t>
      </w:r>
      <w:r w:rsidR="00B34243">
        <w:t>would be</w:t>
      </w:r>
      <w:r>
        <w:t xml:space="preserve"> in the public interest because </w:t>
      </w:r>
      <w:r w:rsidR="002A00A6">
        <w:t xml:space="preserve">it </w:t>
      </w:r>
      <w:r>
        <w:t>w</w:t>
      </w:r>
      <w:r w:rsidR="00B34243">
        <w:t>ould</w:t>
      </w:r>
      <w:r>
        <w:t xml:space="preserve"> allow </w:t>
      </w:r>
      <w:r w:rsidR="00B34243">
        <w:t xml:space="preserve">LCI to </w:t>
      </w:r>
      <w:r w:rsidR="006B5A23">
        <w:t>continu</w:t>
      </w:r>
      <w:r w:rsidR="00B34243">
        <w:t>e</w:t>
      </w:r>
      <w:r>
        <w:t xml:space="preserve"> </w:t>
      </w:r>
      <w:r w:rsidR="00B34243">
        <w:t xml:space="preserve">to provide broadband </w:t>
      </w:r>
      <w:r>
        <w:t xml:space="preserve">service to </w:t>
      </w:r>
      <w:r w:rsidR="006B5A23">
        <w:t>its</w:t>
      </w:r>
      <w:r>
        <w:t xml:space="preserve"> customers</w:t>
      </w:r>
      <w:r w:rsidR="00B34243">
        <w:t xml:space="preserve">, many of whom have limited </w:t>
      </w:r>
      <w:r w:rsidR="00814B13">
        <w:t xml:space="preserve">available </w:t>
      </w:r>
      <w:r w:rsidR="00B34243">
        <w:t>alternatives</w:t>
      </w:r>
      <w:r>
        <w:t>.</w:t>
      </w:r>
      <w:r>
        <w:rPr>
          <w:rStyle w:val="FootnoteReference"/>
        </w:rPr>
        <w:footnoteReference w:id="28"/>
      </w:r>
      <w:r w:rsidR="0005730E">
        <w:t xml:space="preserve"> </w:t>
      </w:r>
      <w:r w:rsidR="0097498E">
        <w:t xml:space="preserve"> </w:t>
      </w:r>
      <w:r w:rsidR="00B34243">
        <w:t>As d</w:t>
      </w:r>
      <w:r w:rsidR="00016807">
        <w:t>iscussed</w:t>
      </w:r>
      <w:r w:rsidR="00B34243">
        <w:t xml:space="preserve">, the Commission established a transition window for all wireless broadband licensees in the 3650-3700 MHz band to facilitate a smooth </w:t>
      </w:r>
      <w:r w:rsidR="00FF699D">
        <w:t xml:space="preserve">and timely </w:t>
      </w:r>
      <w:r w:rsidR="00B34243">
        <w:t xml:space="preserve">transition from the </w:t>
      </w:r>
      <w:r w:rsidR="00BD7ECC">
        <w:t xml:space="preserve">part </w:t>
      </w:r>
      <w:r w:rsidR="00B34243">
        <w:t xml:space="preserve">90 licensing regime to the </w:t>
      </w:r>
      <w:r w:rsidR="00BD7ECC">
        <w:t xml:space="preserve">part </w:t>
      </w:r>
      <w:r w:rsidR="00B34243">
        <w:t xml:space="preserve">96 licensing regime.  </w:t>
      </w:r>
      <w:r w:rsidR="00B84171">
        <w:t xml:space="preserve">LCI </w:t>
      </w:r>
      <w:r w:rsidR="00BB7E3E">
        <w:t xml:space="preserve">has </w:t>
      </w:r>
      <w:r w:rsidR="00B84171">
        <w:t>not establish</w:t>
      </w:r>
      <w:r w:rsidR="00BB7E3E">
        <w:t>ed</w:t>
      </w:r>
      <w:r w:rsidR="00B84171">
        <w:t xml:space="preserve"> </w:t>
      </w:r>
      <w:r w:rsidR="00016807">
        <w:t>that it is unable</w:t>
      </w:r>
      <w:r w:rsidR="00B84171">
        <w:t xml:space="preserve"> to provide service to its customers absent a waiver</w:t>
      </w:r>
      <w:r w:rsidR="00B96DAD">
        <w:t>,</w:t>
      </w:r>
      <w:r w:rsidR="00B84171">
        <w:t xml:space="preserve"> nor does it </w:t>
      </w:r>
      <w:r w:rsidR="00B34243">
        <w:t>presen</w:t>
      </w:r>
      <w:r w:rsidR="00B84171">
        <w:t>t</w:t>
      </w:r>
      <w:r w:rsidR="00B34243">
        <w:t xml:space="preserve"> facts uniquely applicable to LCI </w:t>
      </w:r>
      <w:r w:rsidR="00B84171">
        <w:t xml:space="preserve">to </w:t>
      </w:r>
      <w:r w:rsidR="001262C3">
        <w:t xml:space="preserve">demonstrate </w:t>
      </w:r>
      <w:r w:rsidR="00B84171">
        <w:t xml:space="preserve">that waiving </w:t>
      </w:r>
      <w:r w:rsidR="00B34243">
        <w:t xml:space="preserve">47 CFR </w:t>
      </w:r>
      <w:r w:rsidR="00B34243">
        <w:rPr>
          <w:rFonts w:ascii="TimesNewRomanPSMT" w:hAnsi="TimesNewRomanPSMT" w:cs="TimesNewRomanPSMT"/>
        </w:rPr>
        <w:t xml:space="preserve">§ 90.1338 </w:t>
      </w:r>
      <w:r w:rsidR="00B84171">
        <w:rPr>
          <w:rFonts w:ascii="TimesNewRomanPSMT" w:hAnsi="TimesNewRomanPSMT" w:cs="TimesNewRomanPSMT"/>
        </w:rPr>
        <w:t>would be</w:t>
      </w:r>
      <w:r w:rsidR="00B34243">
        <w:rPr>
          <w:rFonts w:ascii="TimesNewRomanPSMT" w:hAnsi="TimesNewRomanPSMT" w:cs="TimesNewRomanPSMT"/>
        </w:rPr>
        <w:t xml:space="preserve"> in the public interest</w:t>
      </w:r>
      <w:r w:rsidR="00B34243">
        <w:t>.</w:t>
      </w:r>
      <w:r>
        <w:rPr>
          <w:rStyle w:val="FootnoteReference"/>
        </w:rPr>
        <w:footnoteReference w:id="29"/>
      </w:r>
      <w:r w:rsidR="001262C3">
        <w:t xml:space="preserve">  </w:t>
      </w:r>
      <w:r>
        <w:t xml:space="preserve">We find </w:t>
      </w:r>
      <w:r w:rsidR="001262C3">
        <w:t xml:space="preserve">that—far from serving the public interest—granting the requested waiver </w:t>
      </w:r>
      <w:r w:rsidR="00BE3E82">
        <w:t xml:space="preserve">would undermine the Commission’s intent </w:t>
      </w:r>
      <w:r w:rsidR="001262C3">
        <w:t>to facilitate a smooth and timely transition</w:t>
      </w:r>
      <w:r w:rsidR="00BE3E82">
        <w:t xml:space="preserve"> and </w:t>
      </w:r>
      <w:r w:rsidR="00EB353B">
        <w:t>would</w:t>
      </w:r>
      <w:r w:rsidR="00B84171">
        <w:t xml:space="preserve"> </w:t>
      </w:r>
      <w:r w:rsidR="001262C3">
        <w:t xml:space="preserve">impede </w:t>
      </w:r>
      <w:r w:rsidR="00FF699D">
        <w:t xml:space="preserve">investment </w:t>
      </w:r>
      <w:r w:rsidR="001262C3">
        <w:t xml:space="preserve">in </w:t>
      </w:r>
      <w:r w:rsidR="00EB353B">
        <w:t>the</w:t>
      </w:r>
      <w:r w:rsidR="00BE3E82">
        <w:t xml:space="preserve"> Citizens Broadband Radio Service.</w:t>
      </w:r>
      <w:r>
        <w:rPr>
          <w:rStyle w:val="FootnoteReference"/>
        </w:rPr>
        <w:footnoteReference w:id="30"/>
      </w:r>
      <w:r w:rsidR="00BE3E82">
        <w:t xml:space="preserve">  </w:t>
      </w:r>
    </w:p>
    <w:p w:rsidR="009D53D4" w14:paraId="6BD1257E" w14:textId="7AEF7964">
      <w:pPr>
        <w:pStyle w:val="ParaNum"/>
      </w:pPr>
      <w:r>
        <w:t xml:space="preserve">We </w:t>
      </w:r>
      <w:r w:rsidR="001262C3">
        <w:t>also deny</w:t>
      </w:r>
      <w:r>
        <w:t xml:space="preserve"> LCI’s </w:t>
      </w:r>
      <w:r w:rsidR="00CA44D0">
        <w:t xml:space="preserve">request </w:t>
      </w:r>
      <w:r w:rsidR="008C47D2">
        <w:t>to</w:t>
      </w:r>
      <w:r w:rsidR="00A172B8">
        <w:t xml:space="preserve"> waive</w:t>
      </w:r>
      <w:r w:rsidR="00572197">
        <w:t xml:space="preserve"> 47 CFR </w:t>
      </w:r>
      <w:r w:rsidR="00572197">
        <w:rPr>
          <w:rFonts w:ascii="TimesNewRomanPSMT" w:hAnsi="TimesNewRomanPSMT" w:cs="TimesNewRomanPSMT"/>
        </w:rPr>
        <w:t>§ 90.1307(b)</w:t>
      </w:r>
      <w:r w:rsidR="00300EFD">
        <w:rPr>
          <w:rFonts w:ascii="TimesNewRomanPSMT" w:hAnsi="TimesNewRomanPSMT" w:cs="TimesNewRomanPSMT"/>
        </w:rPr>
        <w:t>, which prohibits Part 90 license renewals in the 3650-3700 MHz band.</w:t>
      </w:r>
      <w:r>
        <w:rPr>
          <w:rStyle w:val="FootnoteReference"/>
        </w:rPr>
        <w:footnoteReference w:id="31"/>
      </w:r>
      <w:r w:rsidR="009B3A84">
        <w:t xml:space="preserve">  </w:t>
      </w:r>
      <w:r w:rsidR="00300EFD">
        <w:t>The purpose</w:t>
      </w:r>
      <w:r w:rsidR="009B3A84">
        <w:t xml:space="preserve"> of 47 CFR </w:t>
      </w:r>
      <w:r w:rsidR="009B3A84">
        <w:rPr>
          <w:rFonts w:ascii="TimesNewRomanPSMT" w:hAnsi="TimesNewRomanPSMT" w:cs="TimesNewRomanPSMT"/>
        </w:rPr>
        <w:t>§ 90.1307(b)</w:t>
      </w:r>
      <w:r w:rsidR="00300EFD">
        <w:t xml:space="preserve"> is</w:t>
      </w:r>
      <w:r w:rsidR="00C76770">
        <w:t xml:space="preserve"> to</w:t>
      </w:r>
      <w:r w:rsidR="009F4E9C">
        <w:t xml:space="preserve"> ensure</w:t>
      </w:r>
      <w:r w:rsidR="00E92C3B">
        <w:t xml:space="preserve"> a clear </w:t>
      </w:r>
      <w:r w:rsidR="00E92C3B">
        <w:t xml:space="preserve">transition </w:t>
      </w:r>
      <w:r w:rsidR="00FF43AA">
        <w:t xml:space="preserve">from </w:t>
      </w:r>
      <w:r w:rsidR="00300EFD">
        <w:t>P</w:t>
      </w:r>
      <w:r w:rsidR="00FF43AA">
        <w:t>art 90</w:t>
      </w:r>
      <w:r w:rsidR="004A67CC">
        <w:t xml:space="preserve"> wireless broadband licensees</w:t>
      </w:r>
      <w:r>
        <w:t xml:space="preserve"> to</w:t>
      </w:r>
      <w:r w:rsidR="00BA0B6A">
        <w:t xml:space="preserve"> </w:t>
      </w:r>
      <w:r w:rsidR="00300EFD">
        <w:t>P</w:t>
      </w:r>
      <w:r w:rsidR="00BA0B6A">
        <w:t>art 96</w:t>
      </w:r>
      <w:r w:rsidR="004A67CC">
        <w:t xml:space="preserve"> Citizens Broadband Radio Service </w:t>
      </w:r>
      <w:r w:rsidR="00BA0B6A">
        <w:t>rule</w:t>
      </w:r>
      <w:r w:rsidR="00C76770">
        <w:t>s</w:t>
      </w:r>
      <w:r w:rsidR="00BA0B6A">
        <w:t>.</w:t>
      </w:r>
      <w:r>
        <w:rPr>
          <w:rStyle w:val="FootnoteReference"/>
        </w:rPr>
        <w:footnoteReference w:id="32"/>
      </w:r>
      <w:r>
        <w:t xml:space="preserve"> </w:t>
      </w:r>
      <w:r w:rsidR="0097498E">
        <w:t xml:space="preserve"> </w:t>
      </w:r>
      <w:r w:rsidR="00BD7ECC">
        <w:t xml:space="preserve">As the Commission made clear in the rules, renewals were generally disfavored; in the limited instance where the rules provide for a renewal opportunity the Commission may only renew that license “for a term ending no later than </w:t>
      </w:r>
      <w:r w:rsidR="001634BE">
        <w:t xml:space="preserve">[October] </w:t>
      </w:r>
      <w:r w:rsidR="00BD7ECC">
        <w:t>17, 2020,”</w:t>
      </w:r>
      <w:r>
        <w:rPr>
          <w:rStyle w:val="FootnoteReference"/>
        </w:rPr>
        <w:footnoteReference w:id="33"/>
      </w:r>
      <w:r w:rsidR="00BD7ECC">
        <w:t xml:space="preserve"> further evidencing the Commission’s desire to quickly transition the band for part 96 operations.  </w:t>
      </w:r>
      <w:r w:rsidR="009B3A84">
        <w:rPr>
          <w:rFonts w:ascii="TimesNewRomanPSMT" w:hAnsi="TimesNewRomanPSMT" w:cs="TimesNewRomanPSMT"/>
        </w:rPr>
        <w:t xml:space="preserve">LCI </w:t>
      </w:r>
      <w:r w:rsidR="00B4411C">
        <w:rPr>
          <w:rFonts w:ascii="TimesNewRomanPSMT" w:hAnsi="TimesNewRomanPSMT" w:cs="TimesNewRomanPSMT"/>
        </w:rPr>
        <w:t xml:space="preserve">has not </w:t>
      </w:r>
      <w:r w:rsidR="009B3A84">
        <w:rPr>
          <w:rFonts w:ascii="TimesNewRomanPSMT" w:hAnsi="TimesNewRomanPSMT" w:cs="TimesNewRomanPSMT"/>
        </w:rPr>
        <w:t xml:space="preserve">demonstrated how granting such a request would be consistent with the </w:t>
      </w:r>
      <w:r w:rsidR="009B3A84">
        <w:rPr>
          <w:rFonts w:ascii="TimesNewRomanPSMT" w:hAnsi="TimesNewRomanPSMT" w:cs="TimesNewRomanPSMT"/>
        </w:rPr>
        <w:t>underlying purpose</w:t>
      </w:r>
      <w:r w:rsidR="009B3A84">
        <w:rPr>
          <w:rFonts w:ascii="TimesNewRomanPSMT" w:hAnsi="TimesNewRomanPSMT" w:cs="TimesNewRomanPSMT"/>
        </w:rPr>
        <w:t xml:space="preserve"> of the Commission’s rules.</w:t>
      </w:r>
      <w:r w:rsidR="00537B82">
        <w:rPr>
          <w:rFonts w:ascii="TimesNewRomanPSMT" w:hAnsi="TimesNewRomanPSMT" w:cs="TimesNewRomanPSMT"/>
        </w:rPr>
        <w:t xml:space="preserve">  </w:t>
      </w:r>
      <w:r>
        <w:rPr>
          <w:rFonts w:ascii="TimesNewRomanPSMT" w:hAnsi="TimesNewRomanPSMT" w:cs="TimesNewRomanPSMT"/>
        </w:rPr>
        <w:t xml:space="preserve">Therefore, we find a waiver would frustrate the </w:t>
      </w:r>
      <w:r>
        <w:rPr>
          <w:rFonts w:ascii="TimesNewRomanPSMT" w:hAnsi="TimesNewRomanPSMT" w:cs="TimesNewRomanPSMT"/>
        </w:rPr>
        <w:t>underlying purpose</w:t>
      </w:r>
      <w:r>
        <w:rPr>
          <w:rFonts w:ascii="TimesNewRomanPSMT" w:hAnsi="TimesNewRomanPSMT" w:cs="TimesNewRomanPSMT"/>
        </w:rPr>
        <w:t xml:space="preserve"> of </w:t>
      </w:r>
      <w:r>
        <w:t xml:space="preserve">47 CFR </w:t>
      </w:r>
      <w:r w:rsidRPr="00E43FB1">
        <w:rPr>
          <w:rFonts w:ascii="TimesNewRomanPSMT" w:hAnsi="TimesNewRomanPSMT" w:cs="TimesNewRomanPSMT"/>
        </w:rPr>
        <w:t>§ 90.1307(b)</w:t>
      </w:r>
      <w:r>
        <w:rPr>
          <w:rFonts w:ascii="TimesNewRomanPSMT" w:hAnsi="TimesNewRomanPSMT" w:cs="TimesNewRomanPSMT"/>
        </w:rPr>
        <w:t>.</w:t>
      </w:r>
      <w:r w:rsidR="00537B82">
        <w:rPr>
          <w:rFonts w:ascii="TimesNewRomanPSMT" w:hAnsi="TimesNewRomanPSMT" w:cs="TimesNewRomanPSMT"/>
        </w:rPr>
        <w:t xml:space="preserve">  </w:t>
      </w:r>
      <w:r w:rsidR="009B5FE9">
        <w:t xml:space="preserve">Additionally, a waiver of 47 CFR </w:t>
      </w:r>
      <w:r w:rsidRPr="00E43FB1" w:rsidR="009B5FE9">
        <w:rPr>
          <w:rFonts w:ascii="TimesNewRomanPSMT" w:hAnsi="TimesNewRomanPSMT" w:cs="TimesNewRomanPSMT"/>
        </w:rPr>
        <w:t>§ 90.1307(b)</w:t>
      </w:r>
      <w:r w:rsidRPr="009B5FE9" w:rsidR="00975E53">
        <w:rPr>
          <w:rFonts w:ascii="TimesNewRomanPSMT" w:hAnsi="TimesNewRomanPSMT" w:cs="TimesNewRomanPSMT"/>
        </w:rPr>
        <w:t xml:space="preserve"> would</w:t>
      </w:r>
      <w:r w:rsidR="009B5FE9">
        <w:rPr>
          <w:rFonts w:ascii="TimesNewRomanPSMT" w:hAnsi="TimesNewRomanPSMT" w:cs="TimesNewRomanPSMT"/>
        </w:rPr>
        <w:t xml:space="preserve"> not</w:t>
      </w:r>
      <w:r w:rsidRPr="009B5FE9" w:rsidR="00975E53">
        <w:rPr>
          <w:rFonts w:ascii="TimesNewRomanPSMT" w:hAnsi="TimesNewRomanPSMT" w:cs="TimesNewRomanPSMT"/>
        </w:rPr>
        <w:t xml:space="preserve"> be in the public interest because it would</w:t>
      </w:r>
      <w:r w:rsidR="009B5FE9">
        <w:rPr>
          <w:rFonts w:ascii="TimesNewRomanPSMT" w:hAnsi="TimesNewRomanPSMT" w:cs="TimesNewRomanPSMT"/>
        </w:rPr>
        <w:t xml:space="preserve"> disrupt the transition to </w:t>
      </w:r>
      <w:r w:rsidR="00BD7ECC">
        <w:rPr>
          <w:rFonts w:ascii="TimesNewRomanPSMT" w:hAnsi="TimesNewRomanPSMT" w:cs="TimesNewRomanPSMT"/>
        </w:rPr>
        <w:t xml:space="preserve">part </w:t>
      </w:r>
      <w:r w:rsidR="009B5FE9">
        <w:rPr>
          <w:rFonts w:ascii="TimesNewRomanPSMT" w:hAnsi="TimesNewRomanPSMT" w:cs="TimesNewRomanPSMT"/>
        </w:rPr>
        <w:t>96 rules by extending the transition deadline and hindering investment in the 3.5 GHz band.</w:t>
      </w:r>
      <w:r>
        <w:rPr>
          <w:rStyle w:val="FootnoteReference"/>
          <w:rFonts w:cs="TimesNewRomanPSMT"/>
        </w:rPr>
        <w:footnoteReference w:id="34"/>
      </w:r>
      <w:r w:rsidRPr="009B5FE9" w:rsidR="00975E53">
        <w:rPr>
          <w:rFonts w:ascii="TimesNewRomanPSMT" w:hAnsi="TimesNewRomanPSMT" w:cs="TimesNewRomanPSMT"/>
        </w:rPr>
        <w:t xml:space="preserve">  LCI has not established </w:t>
      </w:r>
      <w:r w:rsidR="00016807">
        <w:rPr>
          <w:rFonts w:ascii="TimesNewRomanPSMT" w:hAnsi="TimesNewRomanPSMT" w:cs="TimesNewRomanPSMT"/>
        </w:rPr>
        <w:t>that it is</w:t>
      </w:r>
      <w:r w:rsidR="00BB7E3E">
        <w:rPr>
          <w:rFonts w:ascii="TimesNewRomanPSMT" w:hAnsi="TimesNewRomanPSMT" w:cs="TimesNewRomanPSMT"/>
        </w:rPr>
        <w:t xml:space="preserve"> </w:t>
      </w:r>
      <w:r w:rsidR="00016807">
        <w:rPr>
          <w:rFonts w:ascii="TimesNewRomanPSMT" w:hAnsi="TimesNewRomanPSMT" w:cs="TimesNewRomanPSMT"/>
        </w:rPr>
        <w:t>unable</w:t>
      </w:r>
      <w:r w:rsidRPr="009B5FE9" w:rsidR="00016807">
        <w:rPr>
          <w:rFonts w:ascii="TimesNewRomanPSMT" w:hAnsi="TimesNewRomanPSMT" w:cs="TimesNewRomanPSMT"/>
        </w:rPr>
        <w:t xml:space="preserve"> </w:t>
      </w:r>
      <w:r w:rsidRPr="009B5FE9" w:rsidR="00975E53">
        <w:rPr>
          <w:rFonts w:ascii="TimesNewRomanPSMT" w:hAnsi="TimesNewRomanPSMT" w:cs="TimesNewRomanPSMT"/>
        </w:rPr>
        <w:t>to provide service to its customers absent a waiver</w:t>
      </w:r>
      <w:r w:rsidR="00016807">
        <w:rPr>
          <w:rFonts w:ascii="TimesNewRomanPSMT" w:hAnsi="TimesNewRomanPSMT" w:cs="TimesNewRomanPSMT"/>
        </w:rPr>
        <w:t>,</w:t>
      </w:r>
      <w:r w:rsidRPr="009B5FE9" w:rsidR="00975E53">
        <w:rPr>
          <w:rFonts w:ascii="TimesNewRomanPSMT" w:hAnsi="TimesNewRomanPSMT" w:cs="TimesNewRomanPSMT"/>
        </w:rPr>
        <w:t xml:space="preserve"> nor does it present facts uniquely applicable to LCI to demonstrate that waiving </w:t>
      </w:r>
      <w:r w:rsidR="00975E53">
        <w:t xml:space="preserve">47 CFR </w:t>
      </w:r>
      <w:r w:rsidRPr="009B5FE9" w:rsidR="00975E53">
        <w:rPr>
          <w:rFonts w:ascii="TimesNewRomanPSMT" w:hAnsi="TimesNewRomanPSMT" w:cs="TimesNewRomanPSMT"/>
        </w:rPr>
        <w:t>§ 90.1307(b) would be in the public interest.</w:t>
      </w:r>
      <w:r>
        <w:rPr>
          <w:rStyle w:val="FootnoteReference"/>
          <w:rFonts w:cs="TimesNewRomanPSMT"/>
        </w:rPr>
        <w:footnoteReference w:id="35"/>
      </w:r>
      <w:r w:rsidRPr="009B5FE9" w:rsidR="00975E53">
        <w:rPr>
          <w:rFonts w:ascii="TimesNewRomanPSMT" w:hAnsi="TimesNewRomanPSMT" w:cs="TimesNewRomanPSMT"/>
        </w:rPr>
        <w:t xml:space="preserve">  </w:t>
      </w:r>
      <w:r w:rsidR="009B5FE9">
        <w:t xml:space="preserve">Therefore, we also find </w:t>
      </w:r>
      <w:r w:rsidR="00016807">
        <w:t xml:space="preserve">that </w:t>
      </w:r>
      <w:r w:rsidR="009B5FE9">
        <w:t>the requested waiver is not in the public interest.</w:t>
      </w:r>
      <w:r>
        <w:t xml:space="preserve">  </w:t>
      </w:r>
    </w:p>
    <w:p w:rsidR="00EA4E60" w:rsidP="005A2CB3" w14:paraId="75287F82" w14:textId="7833518D">
      <w:pPr>
        <w:pStyle w:val="ParaNum"/>
      </w:pPr>
      <w:r>
        <w:t xml:space="preserve">Accordingly, IT IS ORDERED, pursuant to </w:t>
      </w:r>
      <w:r w:rsidR="00714561">
        <w:t>section 4(</w:t>
      </w:r>
      <w:r w:rsidR="00714561">
        <w:t>i</w:t>
      </w:r>
      <w:r w:rsidR="00714561">
        <w:t xml:space="preserve">) of the Communications Act of 1934, as amended, 47 U.S.C. </w:t>
      </w:r>
      <w:r w:rsidRPr="00EA4E60" w:rsidR="00714561">
        <w:t>§</w:t>
      </w:r>
      <w:r w:rsidR="00714561">
        <w:t xml:space="preserve"> 154(</w:t>
      </w:r>
      <w:r w:rsidR="00714561">
        <w:t>i</w:t>
      </w:r>
      <w:r w:rsidR="00714561">
        <w:t xml:space="preserve">), and section 1.925 of the Commission’s rules, 47 CFR </w:t>
      </w:r>
      <w:r w:rsidRPr="00EA4E60" w:rsidR="00714561">
        <w:t>§</w:t>
      </w:r>
      <w:r w:rsidR="00714561">
        <w:t xml:space="preserve"> 1.925,</w:t>
      </w:r>
      <w:r>
        <w:t xml:space="preserve"> that the Waiver Request</w:t>
      </w:r>
      <w:r w:rsidR="00714561">
        <w:t>s</w:t>
      </w:r>
      <w:r>
        <w:t xml:space="preserve"> filed on June 19, 2020, in association with application FCC File No. </w:t>
      </w:r>
      <w:r w:rsidRPr="00EA4E60">
        <w:t xml:space="preserve">0009119762 </w:t>
      </w:r>
      <w:r w:rsidR="00A234B4">
        <w:t>ARE</w:t>
      </w:r>
      <w:r>
        <w:t xml:space="preserve"> DENIED and application FCC File No. </w:t>
      </w:r>
      <w:r w:rsidRPr="00EA4E60">
        <w:t xml:space="preserve">0009119762 </w:t>
      </w:r>
      <w:r>
        <w:t>IS DISMISSED.</w:t>
      </w:r>
    </w:p>
    <w:p w:rsidR="00EA4E60" w:rsidP="005A2CB3" w14:paraId="6833F2D8" w14:textId="1EA18BBC">
      <w:pPr>
        <w:pStyle w:val="ParaNum"/>
      </w:pPr>
      <w:r>
        <w:t xml:space="preserve">This action is taken under delegated authority pursuant to sections 0.131 and 0.331 of the Commission’s rules, 47 CFR </w:t>
      </w:r>
      <w:r w:rsidRPr="00EA4E60">
        <w:t>§§ 0.131, 0.331.</w:t>
      </w:r>
    </w:p>
    <w:p w:rsidR="00924AED" w:rsidP="00F65719" w14:paraId="367A758D" w14:textId="12FC7C4A">
      <w:pPr>
        <w:pStyle w:val="ParaNum"/>
        <w:numPr>
          <w:ilvl w:val="0"/>
          <w:numId w:val="0"/>
        </w:numPr>
        <w:ind w:firstLine="720"/>
      </w:pPr>
    </w:p>
    <w:p w:rsidR="00F65719" w:rsidP="00F65719" w14:paraId="4FEB26EB" w14:textId="62A84883">
      <w:pPr>
        <w:pStyle w:val="ParaNum"/>
        <w:numPr>
          <w:ilvl w:val="0"/>
          <w:numId w:val="0"/>
        </w:numPr>
        <w:spacing w:after="0"/>
        <w:ind w:left="3600" w:firstLine="720"/>
        <w:jc w:val="both"/>
      </w:pPr>
      <w:r>
        <w:t>FEDERAL COMMUNICATIONS COMMISSION</w:t>
      </w:r>
    </w:p>
    <w:p w:rsidR="00F65719" w:rsidP="00F65719" w14:paraId="6F030A1F" w14:textId="6CF2B02A">
      <w:pPr>
        <w:pStyle w:val="ParaNum"/>
        <w:numPr>
          <w:ilvl w:val="0"/>
          <w:numId w:val="0"/>
        </w:numPr>
        <w:spacing w:after="0"/>
        <w:ind w:left="3600" w:firstLine="720"/>
        <w:jc w:val="both"/>
      </w:pPr>
    </w:p>
    <w:p w:rsidR="00F65719" w:rsidP="00F65719" w14:paraId="355D2EA6" w14:textId="77777777">
      <w:pPr>
        <w:pStyle w:val="ParaNum"/>
        <w:numPr>
          <w:ilvl w:val="0"/>
          <w:numId w:val="0"/>
        </w:numPr>
        <w:spacing w:after="0"/>
        <w:ind w:left="3600" w:firstLine="720"/>
        <w:jc w:val="both"/>
      </w:pPr>
    </w:p>
    <w:p w:rsidR="00F65719" w:rsidP="00F65719" w14:paraId="54A8964D" w14:textId="77777777">
      <w:pPr>
        <w:pStyle w:val="ParaNum"/>
        <w:numPr>
          <w:ilvl w:val="0"/>
          <w:numId w:val="0"/>
        </w:numPr>
        <w:spacing w:after="0"/>
        <w:ind w:left="3600" w:firstLine="720"/>
        <w:jc w:val="both"/>
      </w:pPr>
    </w:p>
    <w:p w:rsidR="00F65719" w:rsidP="00F65719" w14:paraId="49FEF6D2" w14:textId="77777777">
      <w:pPr>
        <w:pStyle w:val="ParaNum"/>
        <w:numPr>
          <w:ilvl w:val="0"/>
          <w:numId w:val="0"/>
        </w:numPr>
        <w:spacing w:after="0"/>
        <w:ind w:left="3600" w:firstLine="720"/>
        <w:jc w:val="both"/>
      </w:pPr>
      <w:r>
        <w:t>Roger S. Noel</w:t>
      </w:r>
    </w:p>
    <w:p w:rsidR="00F65719" w:rsidP="00F65719" w14:paraId="6EEC4F1F" w14:textId="77777777">
      <w:pPr>
        <w:pStyle w:val="ParaNum"/>
        <w:numPr>
          <w:ilvl w:val="0"/>
          <w:numId w:val="0"/>
        </w:numPr>
        <w:spacing w:after="0"/>
        <w:ind w:left="3600" w:firstLine="720"/>
        <w:jc w:val="both"/>
      </w:pPr>
      <w:r>
        <w:t xml:space="preserve">Chief, </w:t>
      </w:r>
      <w:r w:rsidR="004D657F">
        <w:t>Mobility Division</w:t>
      </w:r>
    </w:p>
    <w:p w:rsidR="00924AED" w:rsidRPr="005A2CB3" w:rsidP="00F65719" w14:paraId="064E3C40" w14:textId="554FBC01">
      <w:pPr>
        <w:pStyle w:val="ParaNum"/>
        <w:numPr>
          <w:ilvl w:val="0"/>
          <w:numId w:val="0"/>
        </w:numPr>
        <w:spacing w:after="0"/>
        <w:ind w:left="3600" w:firstLine="720"/>
        <w:jc w:val="both"/>
      </w:pPr>
      <w:r>
        <w:t>Wireless Telecommunications Bureau</w:t>
      </w:r>
    </w:p>
    <w:sectPr w:rsidSect="0041025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489C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B0D0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C4755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79F1A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6A10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2CB3" w14:paraId="4A3864DE" w14:textId="77777777">
      <w:r>
        <w:separator/>
      </w:r>
    </w:p>
  </w:footnote>
  <w:footnote w:type="continuationSeparator" w:id="1">
    <w:p w:rsidR="005A2CB3" w:rsidP="00C721AC" w14:paraId="57243A72" w14:textId="77777777">
      <w:pPr>
        <w:spacing w:before="120"/>
        <w:rPr>
          <w:sz w:val="20"/>
        </w:rPr>
      </w:pPr>
      <w:r>
        <w:rPr>
          <w:sz w:val="20"/>
        </w:rPr>
        <w:t xml:space="preserve">(Continued from previous page)  </w:t>
      </w:r>
      <w:r>
        <w:rPr>
          <w:sz w:val="20"/>
        </w:rPr>
        <w:separator/>
      </w:r>
    </w:p>
  </w:footnote>
  <w:footnote w:type="continuationNotice" w:id="2">
    <w:p w:rsidR="005A2CB3" w:rsidP="00C721AC" w14:paraId="5571FAC5" w14:textId="77777777">
      <w:pPr>
        <w:jc w:val="right"/>
        <w:rPr>
          <w:sz w:val="20"/>
        </w:rPr>
      </w:pPr>
      <w:r>
        <w:rPr>
          <w:sz w:val="20"/>
        </w:rPr>
        <w:t>(continued….)</w:t>
      </w:r>
    </w:p>
  </w:footnote>
  <w:footnote w:id="3">
    <w:p w:rsidR="0064566F" w:rsidP="0064566F" w14:paraId="6F4344B6" w14:textId="77777777">
      <w:pPr>
        <w:pStyle w:val="FootnoteText"/>
      </w:pPr>
      <w:r>
        <w:rPr>
          <w:rStyle w:val="FootnoteReference"/>
        </w:rPr>
        <w:footnoteRef/>
      </w:r>
      <w:r>
        <w:t xml:space="preserve"> We interpret LCI’s request as two separate waiver requests due to language in the request stating, “I respectfully request that we are granted a grandfathered status and are allowed to renew our license in order to provide these critical services that our clients depend on.”  Requests for Waiver of 3650 MHz Grandfathered and Renewal Rules, FCC File No. 0009119762 (filed June 19, 2020) (Waiver Request).</w:t>
      </w:r>
    </w:p>
  </w:footnote>
  <w:footnote w:id="4">
    <w:p w:rsidR="00016807" w:rsidP="00016807" w14:paraId="410760F7" w14:textId="77777777">
      <w:pPr>
        <w:pStyle w:val="FootnoteText"/>
      </w:pPr>
      <w:r>
        <w:rPr>
          <w:rStyle w:val="FootnoteReference"/>
        </w:rPr>
        <w:footnoteRef/>
      </w:r>
      <w:r>
        <w:t xml:space="preserve"> 47 CFR § 1.925(b)(3).</w:t>
      </w:r>
    </w:p>
  </w:footnote>
  <w:footnote w:id="5">
    <w:p w:rsidR="00FB5074" w:rsidRPr="00024DD8" w14:paraId="0EE920CC" w14:textId="08BD2723">
      <w:pPr>
        <w:pStyle w:val="FootnoteText"/>
      </w:pPr>
      <w:r>
        <w:rPr>
          <w:rStyle w:val="FootnoteReference"/>
        </w:rPr>
        <w:footnoteRef/>
      </w:r>
      <w:r>
        <w:t xml:space="preserve"> </w:t>
      </w:r>
      <w:r w:rsidR="00E4409A">
        <w:rPr>
          <w:i/>
          <w:iCs/>
        </w:rPr>
        <w:t xml:space="preserve">See </w:t>
      </w:r>
      <w:r w:rsidR="00273373">
        <w:t>Waiver Request</w:t>
      </w:r>
      <w:r w:rsidRPr="00024DD8" w:rsidR="00024DD8">
        <w:rPr>
          <w:i/>
          <w:iCs/>
        </w:rPr>
        <w:t>.</w:t>
      </w:r>
    </w:p>
  </w:footnote>
  <w:footnote w:id="6">
    <w:p w:rsidR="00FB5074" w:rsidRPr="00024DD8" w14:paraId="50318409" w14:textId="703B697D">
      <w:pPr>
        <w:pStyle w:val="FootnoteText"/>
      </w:pPr>
      <w:r>
        <w:rPr>
          <w:rStyle w:val="FootnoteReference"/>
        </w:rPr>
        <w:footnoteRef/>
      </w:r>
      <w:r>
        <w:t xml:space="preserve"> </w:t>
      </w:r>
      <w:r w:rsidR="00E4409A">
        <w:rPr>
          <w:i/>
          <w:iCs/>
        </w:rPr>
        <w:t xml:space="preserve">See </w:t>
      </w:r>
      <w:r w:rsidR="00B64BCB">
        <w:rPr>
          <w:i/>
          <w:iCs/>
        </w:rPr>
        <w:t>i</w:t>
      </w:r>
      <w:r w:rsidR="00024DD8">
        <w:rPr>
          <w:i/>
          <w:iCs/>
        </w:rPr>
        <w:t>d</w:t>
      </w:r>
      <w:r w:rsidRPr="00024DD8" w:rsidR="00024DD8">
        <w:rPr>
          <w:i/>
          <w:iCs/>
        </w:rPr>
        <w:t>.</w:t>
      </w:r>
    </w:p>
  </w:footnote>
  <w:footnote w:id="7">
    <w:p w:rsidR="00FB5074" w14:paraId="1BA2170A" w14:textId="6B5F6AEA">
      <w:pPr>
        <w:pStyle w:val="FootnoteText"/>
      </w:pPr>
      <w:r>
        <w:rPr>
          <w:rStyle w:val="FootnoteReference"/>
        </w:rPr>
        <w:footnoteRef/>
      </w:r>
      <w:r>
        <w:t xml:space="preserve"> </w:t>
      </w:r>
      <w:r w:rsidR="00E1596C">
        <w:rPr>
          <w:i/>
          <w:iCs/>
        </w:rPr>
        <w:t xml:space="preserve">See Amendment of the Commission’s Rules </w:t>
      </w:r>
      <w:r w:rsidR="00E1596C">
        <w:rPr>
          <w:i/>
          <w:iCs/>
        </w:rPr>
        <w:t>with Regard to</w:t>
      </w:r>
      <w:r w:rsidR="00E1596C">
        <w:rPr>
          <w:i/>
          <w:iCs/>
        </w:rPr>
        <w:t xml:space="preserve"> Commercial Operations in the 3550-3650 MHz </w:t>
      </w:r>
      <w:r w:rsidRPr="00E1596C" w:rsidR="00E1596C">
        <w:t>Band</w:t>
      </w:r>
      <w:r w:rsidR="00E1596C">
        <w:t xml:space="preserve">, GN Docket No. 12-354, Report and Order and Second Further Notice of Proposed Rulemaking, 30 FCC </w:t>
      </w:r>
      <w:r w:rsidR="00E1596C">
        <w:t>Rcd</w:t>
      </w:r>
      <w:r w:rsidR="00E1596C">
        <w:t xml:space="preserve"> 3959</w:t>
      </w:r>
      <w:r w:rsidR="00740379">
        <w:t>, 3962, para. 4</w:t>
      </w:r>
      <w:r w:rsidR="00E1596C">
        <w:t xml:space="preserve"> (2015) (</w:t>
      </w:r>
      <w:r w:rsidR="00E1596C">
        <w:rPr>
          <w:i/>
          <w:iCs/>
        </w:rPr>
        <w:t xml:space="preserve">2015 Report and Order and 2015 </w:t>
      </w:r>
      <w:r w:rsidRPr="00E1596C" w:rsidR="00E1596C">
        <w:t>FNPRM</w:t>
      </w:r>
      <w:r w:rsidR="00E1596C">
        <w:t xml:space="preserve">, respectively). </w:t>
      </w:r>
    </w:p>
  </w:footnote>
  <w:footnote w:id="8">
    <w:p w:rsidR="00FB5074" w:rsidRPr="00E17EC9" w14:paraId="449CCD73" w14:textId="6C5D77E8">
      <w:pPr>
        <w:pStyle w:val="FootnoteText"/>
      </w:pPr>
      <w:r>
        <w:rPr>
          <w:rStyle w:val="FootnoteReference"/>
        </w:rPr>
        <w:footnoteRef/>
      </w:r>
      <w:r>
        <w:t xml:space="preserve"> </w:t>
      </w:r>
      <w:r w:rsidR="009D3357">
        <w:t xml:space="preserve">47 CFR </w:t>
      </w:r>
      <w:r w:rsidR="009D3357">
        <w:rPr>
          <w:rFonts w:ascii="TimesNewRomanPSMT" w:hAnsi="TimesNewRomanPSMT" w:cs="TimesNewRomanPSMT"/>
        </w:rPr>
        <w:t>§ 96.11</w:t>
      </w:r>
      <w:r w:rsidR="00A92FCF">
        <w:t xml:space="preserve">; </w:t>
      </w:r>
      <w:r w:rsidR="00A92FCF">
        <w:rPr>
          <w:i/>
          <w:iCs/>
        </w:rPr>
        <w:t>see also</w:t>
      </w:r>
      <w:r w:rsidRPr="004439FB" w:rsidR="004439FB">
        <w:rPr>
          <w:i/>
          <w:iCs/>
        </w:rPr>
        <w:t xml:space="preserve"> </w:t>
      </w:r>
      <w:r w:rsidR="004439FB">
        <w:rPr>
          <w:i/>
          <w:iCs/>
        </w:rPr>
        <w:t>2015 Report and Order</w:t>
      </w:r>
      <w:r w:rsidR="004439FB">
        <w:t xml:space="preserve">, 30 FCC </w:t>
      </w:r>
      <w:r w:rsidR="004439FB">
        <w:t>Rcd</w:t>
      </w:r>
      <w:r w:rsidR="004439FB">
        <w:t xml:space="preserve"> at 3978, para. 54.</w:t>
      </w:r>
    </w:p>
  </w:footnote>
  <w:footnote w:id="9">
    <w:p w:rsidR="00FB5074" w:rsidRPr="004021A6" w:rsidP="007132E3" w14:paraId="7C8ACB07" w14:textId="3364F42E">
      <w:pPr>
        <w:pStyle w:val="FootnoteText"/>
        <w:spacing w:before="240"/>
      </w:pPr>
      <w:r>
        <w:rPr>
          <w:rStyle w:val="FootnoteReference"/>
        </w:rPr>
        <w:footnoteRef/>
      </w:r>
      <w:r w:rsidR="00D17F4A">
        <w:t xml:space="preserve"> </w:t>
      </w:r>
      <w:r w:rsidR="00D45AD7">
        <w:rPr>
          <w:i/>
          <w:iCs/>
        </w:rPr>
        <w:t>See</w:t>
      </w:r>
      <w:r w:rsidR="009B7745">
        <w:rPr>
          <w:i/>
          <w:iCs/>
        </w:rPr>
        <w:t xml:space="preserve"> </w:t>
      </w:r>
      <w:r w:rsidR="009B7745">
        <w:rPr>
          <w:i/>
          <w:iCs/>
        </w:rPr>
        <w:t>T</w:t>
      </w:r>
      <w:r w:rsidRPr="00D45AD7" w:rsidR="009B7745">
        <w:rPr>
          <w:i/>
          <w:iCs/>
        </w:rPr>
        <w:t>he</w:t>
      </w:r>
      <w:r w:rsidRPr="00D45AD7" w:rsidR="00D45AD7">
        <w:rPr>
          <w:i/>
          <w:iCs/>
        </w:rPr>
        <w:t xml:space="preserve"> Wireless Internet Service Providers Association and the Utilities Technology Council Request for Waiver of Sections 90.1307(c) and (d) and Sections 90.1338(a) and (b) of the Commission’s Rules</w:t>
      </w:r>
      <w:r w:rsidR="00D45AD7">
        <w:t xml:space="preserve">, </w:t>
      </w:r>
      <w:r w:rsidR="001252E6">
        <w:t xml:space="preserve">WT Docket No. 18-353, Order, </w:t>
      </w:r>
      <w:r w:rsidR="00EC29D9">
        <w:t xml:space="preserve">35 FCC </w:t>
      </w:r>
      <w:r w:rsidR="00EC29D9">
        <w:t>Rcd</w:t>
      </w:r>
      <w:r w:rsidR="00EC29D9">
        <w:t xml:space="preserve"> 2750</w:t>
      </w:r>
      <w:r w:rsidR="00D45AD7">
        <w:t>,</w:t>
      </w:r>
      <w:r w:rsidR="00EC29D9">
        <w:t xml:space="preserve"> 2751, para. 4</w:t>
      </w:r>
      <w:r w:rsidR="00D45AD7">
        <w:t xml:space="preserve"> (2020)</w:t>
      </w:r>
      <w:r w:rsidR="007132E3">
        <w:t xml:space="preserve"> (</w:t>
      </w:r>
      <w:r w:rsidR="007132E3">
        <w:rPr>
          <w:i/>
          <w:iCs/>
        </w:rPr>
        <w:t xml:space="preserve">2020 </w:t>
      </w:r>
      <w:r w:rsidR="00EC29D9">
        <w:rPr>
          <w:i/>
          <w:iCs/>
        </w:rPr>
        <w:t>3.65 GHz Deadline Extension</w:t>
      </w:r>
      <w:r w:rsidR="007132E3">
        <w:t>)</w:t>
      </w:r>
      <w:r w:rsidR="004021A6">
        <w:t xml:space="preserve">; </w:t>
      </w:r>
      <w:r w:rsidR="004021A6">
        <w:rPr>
          <w:i/>
          <w:iCs/>
        </w:rPr>
        <w:t>see also</w:t>
      </w:r>
      <w:r w:rsidR="004021A6">
        <w:t xml:space="preserve"> 47 CFR </w:t>
      </w:r>
      <w:r w:rsidR="004021A6">
        <w:rPr>
          <w:rFonts w:ascii="TimesNewRomanPSMT" w:hAnsi="TimesNewRomanPSMT" w:cs="TimesNewRomanPSMT"/>
        </w:rPr>
        <w:t>§ 96.3.</w:t>
      </w:r>
    </w:p>
  </w:footnote>
  <w:footnote w:id="10">
    <w:p w:rsidR="00D17F4A" w:rsidRPr="00B64B0D" w14:paraId="5B3FE033" w14:textId="0E21F079">
      <w:pPr>
        <w:pStyle w:val="FootnoteText"/>
      </w:pPr>
      <w:r>
        <w:rPr>
          <w:rStyle w:val="FootnoteReference"/>
        </w:rPr>
        <w:footnoteRef/>
      </w:r>
      <w:r>
        <w:t xml:space="preserve"> </w:t>
      </w:r>
      <w:r w:rsidR="00DE6BE1">
        <w:rPr>
          <w:i/>
          <w:iCs/>
        </w:rPr>
        <w:t xml:space="preserve">See </w:t>
      </w:r>
      <w:r w:rsidRPr="007132E3" w:rsidR="007132E3">
        <w:rPr>
          <w:i/>
          <w:iCs/>
        </w:rPr>
        <w:t xml:space="preserve">2020 </w:t>
      </w:r>
      <w:r w:rsidR="00EC29D9">
        <w:rPr>
          <w:i/>
          <w:iCs/>
        </w:rPr>
        <w:t>3.65 GHz Deadline Extension</w:t>
      </w:r>
      <w:r w:rsidR="007132E3">
        <w:t xml:space="preserve">, </w:t>
      </w:r>
      <w:r w:rsidR="00EC29D9">
        <w:t xml:space="preserve">35 FCC </w:t>
      </w:r>
      <w:r w:rsidR="00EC29D9">
        <w:t>Rcd</w:t>
      </w:r>
      <w:r w:rsidR="00EC29D9">
        <w:t xml:space="preserve"> </w:t>
      </w:r>
      <w:r w:rsidRPr="007132E3" w:rsidR="00DE6BE1">
        <w:t>at</w:t>
      </w:r>
      <w:r w:rsidR="00DE6BE1">
        <w:t xml:space="preserve"> </w:t>
      </w:r>
      <w:r w:rsidR="00EC29D9">
        <w:t>2755</w:t>
      </w:r>
      <w:r w:rsidR="00DE6BE1">
        <w:t>, para. 12</w:t>
      </w:r>
      <w:r w:rsidR="00B64B0D">
        <w:t xml:space="preserve">; </w:t>
      </w:r>
      <w:r w:rsidR="00B64B0D">
        <w:rPr>
          <w:i/>
          <w:iCs/>
        </w:rPr>
        <w:t xml:space="preserve">see also </w:t>
      </w:r>
      <w:r w:rsidR="00B64B0D">
        <w:t xml:space="preserve">47 CFR </w:t>
      </w:r>
      <w:r w:rsidR="00B64B0D">
        <w:rPr>
          <w:rFonts w:ascii="TimesNewRomanPSMT" w:hAnsi="TimesNewRomanPSMT" w:cs="TimesNewRomanPSMT"/>
        </w:rPr>
        <w:t>§90.1307, 90.1311, 90.1338.</w:t>
      </w:r>
    </w:p>
  </w:footnote>
  <w:footnote w:id="11">
    <w:p w:rsidR="00730291" w14:paraId="004D9C4F" w14:textId="60898B11">
      <w:pPr>
        <w:pStyle w:val="FootnoteText"/>
      </w:pPr>
      <w:r>
        <w:rPr>
          <w:rStyle w:val="FootnoteReference"/>
        </w:rPr>
        <w:footnoteRef/>
      </w:r>
      <w:r>
        <w:t xml:space="preserve"> 47 CFR </w:t>
      </w:r>
      <w:r>
        <w:rPr>
          <w:rFonts w:ascii="TimesNewRomanPSMT" w:hAnsi="TimesNewRomanPSMT" w:cs="TimesNewRomanPSMT"/>
        </w:rPr>
        <w:t>§ 90.1307(a).</w:t>
      </w:r>
    </w:p>
  </w:footnote>
  <w:footnote w:id="12">
    <w:p w:rsidR="00D17F4A" w14:paraId="740C2AF1" w14:textId="06CD7A6E">
      <w:pPr>
        <w:pStyle w:val="FootnoteText"/>
      </w:pPr>
      <w:r>
        <w:rPr>
          <w:rStyle w:val="FootnoteReference"/>
        </w:rPr>
        <w:footnoteRef/>
      </w:r>
      <w:r>
        <w:t xml:space="preserve"> </w:t>
      </w:r>
      <w:r w:rsidR="00F57A91">
        <w:t xml:space="preserve">47 CFR </w:t>
      </w:r>
      <w:r w:rsidR="00F57A91">
        <w:rPr>
          <w:rFonts w:ascii="TimesNewRomanPSMT" w:hAnsi="TimesNewRomanPSMT" w:cs="TimesNewRomanPSMT"/>
        </w:rPr>
        <w:t xml:space="preserve">§ </w:t>
      </w:r>
      <w:r w:rsidR="00B0771F">
        <w:t>90.1338(a)</w:t>
      </w:r>
      <w:r w:rsidR="00F57A91">
        <w:t>.</w:t>
      </w:r>
    </w:p>
  </w:footnote>
  <w:footnote w:id="13">
    <w:p w:rsidR="00D15A63" w:rsidRPr="00027A45" w14:paraId="5B257096" w14:textId="015A57FF">
      <w:pPr>
        <w:pStyle w:val="FootnoteText"/>
      </w:pPr>
      <w:r>
        <w:rPr>
          <w:rStyle w:val="FootnoteReference"/>
        </w:rPr>
        <w:footnoteRef/>
      </w:r>
      <w:r>
        <w:t xml:space="preserve"> </w:t>
      </w:r>
      <w:r w:rsidR="005E2127">
        <w:t xml:space="preserve">To ensure customers are able to stay connected to broadband and essential services during the declared state of national emergency because of the COVID-19 pandemic, all licensees in the 3650-3700 MHz band that would have had to transition from part 90 to part 96 rules between April 17, 2020 and October 17, 2020 </w:t>
      </w:r>
      <w:r w:rsidR="00721118">
        <w:t>must now</w:t>
      </w:r>
      <w:r w:rsidR="005E2127">
        <w:t xml:space="preserve"> </w:t>
      </w:r>
      <w:r w:rsidR="00721118">
        <w:t xml:space="preserve">transition by </w:t>
      </w:r>
      <w:r w:rsidR="005E2127">
        <w:t xml:space="preserve">October 17, 2020. </w:t>
      </w:r>
      <w:r w:rsidR="00F871D9">
        <w:t xml:space="preserve"> </w:t>
      </w:r>
      <w:r w:rsidR="005E2127">
        <w:rPr>
          <w:rFonts w:ascii="TimesNewRomanPSMT" w:hAnsi="TimesNewRomanPSMT" w:cs="TimesNewRomanPSMT"/>
          <w:i/>
          <w:iCs/>
        </w:rPr>
        <w:t>See 2020 3.65 GHz Deadline Extension</w:t>
      </w:r>
      <w:r w:rsidR="005E2127">
        <w:rPr>
          <w:rFonts w:ascii="TimesNewRomanPSMT" w:hAnsi="TimesNewRomanPSMT" w:cs="TimesNewRomanPSMT"/>
        </w:rPr>
        <w:t xml:space="preserve">, 35 FCC </w:t>
      </w:r>
      <w:r w:rsidR="005E2127">
        <w:rPr>
          <w:rFonts w:ascii="TimesNewRomanPSMT" w:hAnsi="TimesNewRomanPSMT" w:cs="TimesNewRomanPSMT"/>
        </w:rPr>
        <w:t>Rcd</w:t>
      </w:r>
      <w:r w:rsidR="005E2127">
        <w:rPr>
          <w:rFonts w:ascii="TimesNewRomanPSMT" w:hAnsi="TimesNewRomanPSMT" w:cs="TimesNewRomanPSMT"/>
        </w:rPr>
        <w:t xml:space="preserve"> at 2750, para. 1</w:t>
      </w:r>
      <w:r w:rsidR="00F871D9">
        <w:rPr>
          <w:rFonts w:ascii="TimesNewRomanPSMT" w:hAnsi="TimesNewRomanPSMT" w:cs="TimesNewRomanPSMT"/>
        </w:rPr>
        <w:t xml:space="preserve">; </w:t>
      </w:r>
      <w:r w:rsidR="00F871D9">
        <w:rPr>
          <w:rFonts w:ascii="TimesNewRomanPSMT" w:hAnsi="TimesNewRomanPSMT" w:cs="TimesNewRomanPSMT"/>
          <w:i/>
          <w:iCs/>
        </w:rPr>
        <w:t>s</w:t>
      </w:r>
      <w:r w:rsidR="005E2127">
        <w:rPr>
          <w:rFonts w:ascii="TimesNewRomanPSMT" w:hAnsi="TimesNewRomanPSMT" w:cs="TimesNewRomanPSMT"/>
          <w:i/>
          <w:iCs/>
        </w:rPr>
        <w:t>ee also</w:t>
      </w:r>
      <w:r w:rsidR="005E2127">
        <w:rPr>
          <w:rFonts w:ascii="TimesNewRomanPSMT" w:hAnsi="TimesNewRomanPSMT" w:cs="TimesNewRomanPSMT"/>
        </w:rPr>
        <w:t xml:space="preserve"> </w:t>
      </w:r>
      <w:r>
        <w:t xml:space="preserve">47 CFR </w:t>
      </w:r>
      <w:r>
        <w:rPr>
          <w:rFonts w:ascii="TimesNewRomanPSMT" w:hAnsi="TimesNewRomanPSMT" w:cs="TimesNewRomanPSMT"/>
        </w:rPr>
        <w:t>§ 90.1307, 90.1311, 90.1338.</w:t>
      </w:r>
      <w:r w:rsidR="00027A45">
        <w:rPr>
          <w:rFonts w:ascii="TimesNewRomanPSMT" w:hAnsi="TimesNewRomanPSMT" w:cs="TimesNewRomanPSMT"/>
        </w:rPr>
        <w:t xml:space="preserve"> </w:t>
      </w:r>
    </w:p>
  </w:footnote>
  <w:footnote w:id="14">
    <w:p w:rsidR="00D17F4A" w:rsidRPr="00AD2FE6" w14:paraId="4AC962DE" w14:textId="11FD7C72">
      <w:pPr>
        <w:pStyle w:val="FootnoteText"/>
      </w:pPr>
      <w:r>
        <w:rPr>
          <w:rStyle w:val="FootnoteReference"/>
        </w:rPr>
        <w:footnoteRef/>
      </w:r>
      <w:r>
        <w:t xml:space="preserve"> </w:t>
      </w:r>
      <w:r w:rsidR="00AD2FE6">
        <w:rPr>
          <w:i/>
          <w:iCs/>
        </w:rPr>
        <w:t>See</w:t>
      </w:r>
      <w:r w:rsidR="00AD2FE6">
        <w:t xml:space="preserve"> </w:t>
      </w:r>
      <w:r w:rsidR="009924A4">
        <w:rPr>
          <w:i/>
          <w:iCs/>
        </w:rPr>
        <w:t>2015 Report and Order</w:t>
      </w:r>
      <w:r w:rsidR="009924A4">
        <w:t>,</w:t>
      </w:r>
      <w:r w:rsidR="00740379">
        <w:t xml:space="preserve"> 30 FCC </w:t>
      </w:r>
      <w:r w:rsidR="00740379">
        <w:t>Rcd</w:t>
      </w:r>
      <w:r w:rsidR="00AD2FE6">
        <w:t xml:space="preserve"> at </w:t>
      </w:r>
      <w:r w:rsidR="00740379">
        <w:t>4076</w:t>
      </w:r>
      <w:r w:rsidR="00AD2FE6">
        <w:t>, para. 402.</w:t>
      </w:r>
    </w:p>
  </w:footnote>
  <w:footnote w:id="15">
    <w:p w:rsidR="00D15A63" w14:paraId="68C2E9C2" w14:textId="476EB678">
      <w:pPr>
        <w:pStyle w:val="FootnoteText"/>
      </w:pPr>
      <w:r>
        <w:rPr>
          <w:rStyle w:val="FootnoteReference"/>
        </w:rPr>
        <w:footnoteRef/>
      </w:r>
      <w:r>
        <w:t xml:space="preserve"> </w:t>
      </w:r>
      <w:r w:rsidRPr="00D15A63">
        <w:rPr>
          <w:i/>
          <w:iCs/>
        </w:rPr>
        <w:t>See</w:t>
      </w:r>
      <w:r w:rsidR="0003554D">
        <w:rPr>
          <w:i/>
          <w:iCs/>
        </w:rPr>
        <w:t xml:space="preserve"> 2020 3.65 GHz Deadline Extension</w:t>
      </w:r>
      <w:r w:rsidR="0003554D">
        <w:t xml:space="preserve">, 35 FCC </w:t>
      </w:r>
      <w:r w:rsidR="0003554D">
        <w:t>Rcd</w:t>
      </w:r>
      <w:r w:rsidR="0003554D">
        <w:t xml:space="preserve"> at 2752</w:t>
      </w:r>
      <w:r w:rsidR="00024DD8">
        <w:t>-53</w:t>
      </w:r>
      <w:r w:rsidR="0003554D">
        <w:t>, para. 5</w:t>
      </w:r>
      <w:r>
        <w:t>.</w:t>
      </w:r>
    </w:p>
  </w:footnote>
  <w:footnote w:id="16">
    <w:p w:rsidR="00207F2F" w:rsidRPr="00024DD8" w14:paraId="20DF69F6" w14:textId="04CD3E14">
      <w:pPr>
        <w:pStyle w:val="FootnoteText"/>
      </w:pPr>
      <w:r>
        <w:rPr>
          <w:rStyle w:val="FootnoteReference"/>
        </w:rPr>
        <w:footnoteRef/>
      </w:r>
      <w:r>
        <w:t xml:space="preserve"> </w:t>
      </w:r>
      <w:r>
        <w:rPr>
          <w:i/>
          <w:iCs/>
        </w:rPr>
        <w:t xml:space="preserve">See </w:t>
      </w:r>
      <w:r w:rsidR="00B64BCB">
        <w:rPr>
          <w:i/>
          <w:iCs/>
        </w:rPr>
        <w:t>i</w:t>
      </w:r>
      <w:r w:rsidR="00024DD8">
        <w:rPr>
          <w:i/>
          <w:iCs/>
        </w:rPr>
        <w:t>d</w:t>
      </w:r>
      <w:r w:rsidRPr="00024DD8" w:rsidR="00024DD8">
        <w:rPr>
          <w:i/>
          <w:iCs/>
        </w:rPr>
        <w:t>.</w:t>
      </w:r>
    </w:p>
  </w:footnote>
  <w:footnote w:id="17">
    <w:p w:rsidR="00D17F4A" w14:paraId="797F96D3" w14:textId="4F7D01FE">
      <w:pPr>
        <w:pStyle w:val="FootnoteText"/>
      </w:pPr>
      <w:r>
        <w:rPr>
          <w:rStyle w:val="FootnoteReference"/>
        </w:rPr>
        <w:footnoteRef/>
      </w:r>
      <w:r>
        <w:t xml:space="preserve"> </w:t>
      </w:r>
      <w:r w:rsidR="000A0CF0">
        <w:rPr>
          <w:i/>
          <w:iCs/>
        </w:rPr>
        <w:t xml:space="preserve">See </w:t>
      </w:r>
      <w:r w:rsidR="00B64BCB">
        <w:rPr>
          <w:i/>
          <w:iCs/>
        </w:rPr>
        <w:t>i</w:t>
      </w:r>
      <w:r w:rsidR="00024DD8">
        <w:rPr>
          <w:i/>
          <w:iCs/>
        </w:rPr>
        <w:t xml:space="preserve">d. </w:t>
      </w:r>
      <w:r w:rsidRPr="00024DD8" w:rsidR="000A0CF0">
        <w:t>at</w:t>
      </w:r>
      <w:r w:rsidR="00EC29D9">
        <w:t xml:space="preserve"> 2756</w:t>
      </w:r>
      <w:r w:rsidR="000A0CF0">
        <w:t>, para. 1</w:t>
      </w:r>
      <w:r w:rsidR="00872D76">
        <w:t>3</w:t>
      </w:r>
      <w:r w:rsidR="000A0CF0">
        <w:t>.</w:t>
      </w:r>
    </w:p>
  </w:footnote>
  <w:footnote w:id="18">
    <w:p w:rsidR="001A5831" w14:paraId="164CE855" w14:textId="56B45819">
      <w:pPr>
        <w:pStyle w:val="FootnoteText"/>
      </w:pPr>
      <w:r>
        <w:rPr>
          <w:rStyle w:val="FootnoteReference"/>
        </w:rPr>
        <w:footnoteRef/>
      </w:r>
      <w:r>
        <w:t xml:space="preserve"> 47 CFR </w:t>
      </w:r>
      <w:r>
        <w:rPr>
          <w:rFonts w:ascii="TimesNewRomanPSMT" w:hAnsi="TimesNewRomanPSMT" w:cs="TimesNewRomanPSMT"/>
        </w:rPr>
        <w:t>§ 90.1311.</w:t>
      </w:r>
    </w:p>
  </w:footnote>
  <w:footnote w:id="19">
    <w:p w:rsidR="008A61E0" w14:paraId="7165D640" w14:textId="3FED7006">
      <w:pPr>
        <w:pStyle w:val="FootnoteText"/>
      </w:pPr>
      <w:r>
        <w:rPr>
          <w:rStyle w:val="FootnoteReference"/>
        </w:rPr>
        <w:footnoteRef/>
      </w:r>
      <w:r>
        <w:t xml:space="preserve"> 47 CFR </w:t>
      </w:r>
      <w:r>
        <w:rPr>
          <w:rFonts w:ascii="TimesNewRomanPSMT" w:hAnsi="TimesNewRomanPSMT" w:cs="TimesNewRomanPSMT"/>
        </w:rPr>
        <w:t xml:space="preserve">§ </w:t>
      </w:r>
      <w:r>
        <w:t>90.1338(a).</w:t>
      </w:r>
    </w:p>
  </w:footnote>
  <w:footnote w:id="20">
    <w:p w:rsidR="00B9701C" w14:paraId="4FFBE744" w14:textId="360E9777">
      <w:pPr>
        <w:pStyle w:val="FootnoteText"/>
      </w:pPr>
      <w:r>
        <w:rPr>
          <w:rStyle w:val="FootnoteReference"/>
        </w:rPr>
        <w:footnoteRef/>
      </w:r>
      <w:r>
        <w:t xml:space="preserve"> </w:t>
      </w:r>
      <w:r w:rsidR="008A61E0">
        <w:rPr>
          <w:i/>
          <w:iCs/>
        </w:rPr>
        <w:t>Id.</w:t>
      </w:r>
    </w:p>
  </w:footnote>
  <w:footnote w:id="21">
    <w:p w:rsidR="00B9701C" w14:paraId="3B7EA8B9" w14:textId="608C7F45">
      <w:pPr>
        <w:pStyle w:val="FootnoteText"/>
      </w:pPr>
      <w:r>
        <w:rPr>
          <w:rStyle w:val="FootnoteReference"/>
        </w:rPr>
        <w:footnoteRef/>
      </w:r>
      <w:r>
        <w:t xml:space="preserve"> </w:t>
      </w:r>
      <w:r w:rsidR="00840DE0">
        <w:t xml:space="preserve">47 CFR </w:t>
      </w:r>
      <w:r w:rsidR="00840DE0">
        <w:rPr>
          <w:rFonts w:ascii="TimesNewRomanPSMT" w:hAnsi="TimesNewRomanPSMT" w:cs="TimesNewRomanPSMT"/>
        </w:rPr>
        <w:t>§</w:t>
      </w:r>
      <w:r w:rsidR="00840DE0">
        <w:t xml:space="preserve"> 90.1307(b)</w:t>
      </w:r>
      <w:r w:rsidR="005B410D">
        <w:t>.</w:t>
      </w:r>
    </w:p>
  </w:footnote>
  <w:footnote w:id="22">
    <w:p w:rsidR="00B9701C" w14:paraId="25398358" w14:textId="21EB9878">
      <w:pPr>
        <w:pStyle w:val="FootnoteText"/>
      </w:pPr>
      <w:r>
        <w:rPr>
          <w:rStyle w:val="FootnoteReference"/>
        </w:rPr>
        <w:footnoteRef/>
      </w:r>
      <w:r>
        <w:t xml:space="preserve"> </w:t>
      </w:r>
      <w:r w:rsidR="00E4409A">
        <w:rPr>
          <w:i/>
          <w:iCs/>
        </w:rPr>
        <w:t xml:space="preserve">See </w:t>
      </w:r>
      <w:r w:rsidR="005B410D">
        <w:t>Waiver Request at 1.</w:t>
      </w:r>
    </w:p>
  </w:footnote>
  <w:footnote w:id="23">
    <w:p w:rsidR="00AC47F0" w14:paraId="1BD767BE" w14:textId="66C4BDC8">
      <w:pPr>
        <w:pStyle w:val="FootnoteText"/>
      </w:pPr>
      <w:r>
        <w:rPr>
          <w:rStyle w:val="FootnoteReference"/>
        </w:rPr>
        <w:footnoteRef/>
      </w:r>
      <w:r>
        <w:t xml:space="preserve"> 47 CFR § 1.925(b)(3)</w:t>
      </w:r>
      <w:r w:rsidR="007D42A7">
        <w:t>.</w:t>
      </w:r>
    </w:p>
  </w:footnote>
  <w:footnote w:id="24">
    <w:p w:rsidR="00EB6BDB" w:rsidRPr="00EB6BDB" w14:paraId="03ACF834" w14:textId="02C96D51">
      <w:pPr>
        <w:pStyle w:val="FootnoteText"/>
      </w:pPr>
      <w:r>
        <w:rPr>
          <w:rStyle w:val="FootnoteReference"/>
        </w:rPr>
        <w:footnoteRef/>
      </w:r>
      <w:r>
        <w:t xml:space="preserve"> </w:t>
      </w:r>
      <w:r>
        <w:rPr>
          <w:i/>
          <w:iCs/>
        </w:rPr>
        <w:t>Rio Grande Family Radio Fellowship, Inc. v. FCC</w:t>
      </w:r>
      <w:r>
        <w:t>, 406 F.2d 664, 666 (D.C. Cir 1968).</w:t>
      </w:r>
    </w:p>
  </w:footnote>
  <w:footnote w:id="25">
    <w:p w:rsidR="001737DF" w:rsidP="001737DF" w14:paraId="4B63C723" w14:textId="5DBE6F58">
      <w:pPr>
        <w:pStyle w:val="FootnoteText"/>
      </w:pPr>
      <w:r>
        <w:rPr>
          <w:rStyle w:val="FootnoteReference"/>
        </w:rPr>
        <w:footnoteRef/>
      </w:r>
      <w:r>
        <w:t xml:space="preserve"> </w:t>
      </w:r>
      <w:r>
        <w:rPr>
          <w:i/>
          <w:iCs/>
        </w:rPr>
        <w:t>See WAIT Radio v. FCC</w:t>
      </w:r>
      <w:r>
        <w:t xml:space="preserve">, 418 F.2d 1153, 1157 (D.C. </w:t>
      </w:r>
      <w:r w:rsidR="00BD7ECC">
        <w:t xml:space="preserve">Cir. </w:t>
      </w:r>
      <w:r>
        <w:t>1969).</w:t>
      </w:r>
    </w:p>
  </w:footnote>
  <w:footnote w:id="26">
    <w:p w:rsidR="00DC757F" w:rsidRPr="00664035" w:rsidP="00DC757F" w14:paraId="414C55B4" w14:textId="2A665364">
      <w:pPr>
        <w:pStyle w:val="FootnoteText"/>
      </w:pPr>
      <w:r>
        <w:rPr>
          <w:rStyle w:val="FootnoteReference"/>
        </w:rPr>
        <w:footnoteRef/>
      </w:r>
      <w:r>
        <w:t xml:space="preserve"> 47 CFR </w:t>
      </w:r>
      <w:r w:rsidRPr="00EA4E60">
        <w:t>§</w:t>
      </w:r>
      <w:r>
        <w:t xml:space="preserve"> 90.1338(a)</w:t>
      </w:r>
      <w:r w:rsidR="00664035">
        <w:t xml:space="preserve">; </w:t>
      </w:r>
      <w:r w:rsidR="00664035">
        <w:rPr>
          <w:i/>
          <w:iCs/>
        </w:rPr>
        <w:t>see also 2015 Report and Order</w:t>
      </w:r>
      <w:r w:rsidR="00664035">
        <w:t xml:space="preserve">, 30 FCC </w:t>
      </w:r>
      <w:r w:rsidR="00664035">
        <w:t>Rcd</w:t>
      </w:r>
      <w:r w:rsidR="00664035">
        <w:t xml:space="preserve"> at 4075-76, para. </w:t>
      </w:r>
      <w:r w:rsidR="00DA7193">
        <w:t>400.</w:t>
      </w:r>
    </w:p>
  </w:footnote>
  <w:footnote w:id="27">
    <w:p w:rsidR="00E61234" w14:paraId="7A92573D" w14:textId="7B40A95E">
      <w:pPr>
        <w:pStyle w:val="FootnoteText"/>
      </w:pPr>
      <w:r>
        <w:rPr>
          <w:rStyle w:val="FootnoteReference"/>
        </w:rPr>
        <w:footnoteRef/>
      </w:r>
      <w:r>
        <w:t xml:space="preserve"> </w:t>
      </w:r>
      <w:r>
        <w:rPr>
          <w:snapToGrid w:val="0"/>
        </w:rPr>
        <w:t>47 CFR § 90.1338(a)-(b).</w:t>
      </w:r>
    </w:p>
  </w:footnote>
  <w:footnote w:id="28">
    <w:p w:rsidR="00E61234" w14:paraId="154F2420" w14:textId="4A29FC1C">
      <w:pPr>
        <w:pStyle w:val="FootnoteText"/>
      </w:pPr>
      <w:r>
        <w:rPr>
          <w:rStyle w:val="FootnoteReference"/>
        </w:rPr>
        <w:footnoteRef/>
      </w:r>
      <w:r>
        <w:t xml:space="preserve"> </w:t>
      </w:r>
      <w:r>
        <w:rPr>
          <w:i/>
          <w:iCs/>
          <w:snapToGrid w:val="0"/>
        </w:rPr>
        <w:t xml:space="preserve">See </w:t>
      </w:r>
      <w:r>
        <w:rPr>
          <w:snapToGrid w:val="0"/>
        </w:rPr>
        <w:t>Waiver Request at 1.</w:t>
      </w:r>
    </w:p>
  </w:footnote>
  <w:footnote w:id="29">
    <w:p w:rsidR="00B34243" w:rsidP="00B34243" w14:paraId="5D41C3F3" w14:textId="7DBBA46E">
      <w:pPr>
        <w:pStyle w:val="FootnoteText"/>
      </w:pPr>
      <w:r>
        <w:rPr>
          <w:rStyle w:val="FootnoteReference"/>
        </w:rPr>
        <w:footnoteRef/>
      </w:r>
      <w:r>
        <w:t xml:space="preserve"> </w:t>
      </w:r>
      <w:r>
        <w:rPr>
          <w:i/>
          <w:iCs/>
        </w:rPr>
        <w:t xml:space="preserve">See </w:t>
      </w:r>
      <w:r w:rsidR="00077001">
        <w:rPr>
          <w:i/>
          <w:iCs/>
        </w:rPr>
        <w:t>i</w:t>
      </w:r>
      <w:r w:rsidR="00025BCA">
        <w:rPr>
          <w:i/>
          <w:iCs/>
        </w:rPr>
        <w:t>d.</w:t>
      </w:r>
    </w:p>
  </w:footnote>
  <w:footnote w:id="30">
    <w:p w:rsidR="00A234B4" w:rsidRPr="00A234B4" w14:paraId="5883E741" w14:textId="76043416">
      <w:pPr>
        <w:pStyle w:val="FootnoteText"/>
      </w:pPr>
      <w:r>
        <w:rPr>
          <w:rStyle w:val="FootnoteReference"/>
        </w:rPr>
        <w:footnoteRef/>
      </w:r>
      <w:r>
        <w:t xml:space="preserve"> </w:t>
      </w:r>
      <w:r>
        <w:rPr>
          <w:i/>
          <w:iCs/>
        </w:rPr>
        <w:t>See 2015 Report and Order</w:t>
      </w:r>
      <w:r>
        <w:t xml:space="preserve">, 30 FCC </w:t>
      </w:r>
      <w:r>
        <w:t>Rcd</w:t>
      </w:r>
      <w:r>
        <w:t xml:space="preserve"> at 4079-4080, para. 412.</w:t>
      </w:r>
    </w:p>
  </w:footnote>
  <w:footnote w:id="31">
    <w:p w:rsidR="009B7745" w14:paraId="4C17E9CF" w14:textId="77A8B6B6">
      <w:pPr>
        <w:pStyle w:val="FootnoteText"/>
      </w:pPr>
      <w:r>
        <w:rPr>
          <w:rStyle w:val="FootnoteReference"/>
        </w:rPr>
        <w:footnoteRef/>
      </w:r>
      <w:r>
        <w:t xml:space="preserve"> 47 CFR </w:t>
      </w:r>
      <w:r w:rsidRPr="00EA4E60">
        <w:t>§</w:t>
      </w:r>
      <w:r>
        <w:t xml:space="preserve"> 90.1307(b).</w:t>
      </w:r>
    </w:p>
  </w:footnote>
  <w:footnote w:id="32">
    <w:p w:rsidR="00AC47F0" w14:paraId="1D6A9614" w14:textId="739AA204">
      <w:pPr>
        <w:pStyle w:val="FootnoteText"/>
      </w:pPr>
      <w:r>
        <w:rPr>
          <w:rStyle w:val="FootnoteReference"/>
        </w:rPr>
        <w:footnoteRef/>
      </w:r>
      <w:r>
        <w:t xml:space="preserve"> </w:t>
      </w:r>
      <w:r w:rsidR="005C5268">
        <w:rPr>
          <w:i/>
          <w:iCs/>
        </w:rPr>
        <w:t xml:space="preserve">See </w:t>
      </w:r>
      <w:r w:rsidR="0005384A">
        <w:rPr>
          <w:i/>
          <w:iCs/>
        </w:rPr>
        <w:t>2015 Report and Order</w:t>
      </w:r>
      <w:r w:rsidR="00EC29D9">
        <w:t>, 3</w:t>
      </w:r>
      <w:r w:rsidR="0005384A">
        <w:t>0</w:t>
      </w:r>
      <w:r w:rsidR="00EC29D9">
        <w:t xml:space="preserve"> FCC </w:t>
      </w:r>
      <w:r w:rsidR="00EC29D9">
        <w:t>Rcd</w:t>
      </w:r>
      <w:r w:rsidR="00EC29D9">
        <w:t xml:space="preserve"> </w:t>
      </w:r>
      <w:r w:rsidR="005C5268">
        <w:t xml:space="preserve">at </w:t>
      </w:r>
      <w:r w:rsidR="0005384A">
        <w:t>4079-4080</w:t>
      </w:r>
      <w:r w:rsidR="005C5268">
        <w:t xml:space="preserve">, para. </w:t>
      </w:r>
      <w:r w:rsidR="0005384A">
        <w:t>412</w:t>
      </w:r>
      <w:r w:rsidR="005C5268">
        <w:t>.</w:t>
      </w:r>
    </w:p>
  </w:footnote>
  <w:footnote w:id="33">
    <w:p w:rsidR="00BD7ECC" w:rsidP="00BD7ECC" w14:paraId="515F474E" w14:textId="4260A6C9">
      <w:pPr>
        <w:pStyle w:val="FootnoteText"/>
      </w:pPr>
      <w:r>
        <w:rPr>
          <w:rStyle w:val="FootnoteReference"/>
        </w:rPr>
        <w:footnoteRef/>
      </w:r>
      <w:r>
        <w:rPr>
          <w:i/>
          <w:iCs/>
        </w:rPr>
        <w:t xml:space="preserve"> </w:t>
      </w:r>
      <w:r>
        <w:t>47 CFR § 90.1307(c)</w:t>
      </w:r>
      <w:r w:rsidR="001634BE">
        <w:t xml:space="preserve">; </w:t>
      </w:r>
      <w:r w:rsidR="001634BE">
        <w:rPr>
          <w:rFonts w:ascii="TimesNewRomanPSMT" w:hAnsi="TimesNewRomanPSMT" w:cs="TimesNewRomanPSMT"/>
          <w:i/>
          <w:iCs/>
        </w:rPr>
        <w:t>2020 3.65 GHz Deadline Extension</w:t>
      </w:r>
      <w:r w:rsidR="001634BE">
        <w:rPr>
          <w:rFonts w:ascii="TimesNewRomanPSMT" w:hAnsi="TimesNewRomanPSMT" w:cs="TimesNewRomanPSMT"/>
        </w:rPr>
        <w:t>,</w:t>
      </w:r>
      <w:r w:rsidR="001634BE">
        <w:rPr>
          <w:rFonts w:ascii="TimesNewRomanPSMT" w:hAnsi="TimesNewRomanPSMT" w:cs="TimesNewRomanPSMT"/>
          <w:i/>
          <w:iCs/>
        </w:rPr>
        <w:t xml:space="preserve"> </w:t>
      </w:r>
      <w:r w:rsidR="001634BE">
        <w:t xml:space="preserve">35 FCC </w:t>
      </w:r>
      <w:r w:rsidR="001634BE">
        <w:t>Rcd</w:t>
      </w:r>
      <w:r w:rsidR="001634BE">
        <w:t xml:space="preserve"> at</w:t>
      </w:r>
      <w:r w:rsidR="00B4411C">
        <w:t xml:space="preserve"> 2756, para. 16</w:t>
      </w:r>
      <w:r>
        <w:t>.</w:t>
      </w:r>
    </w:p>
  </w:footnote>
  <w:footnote w:id="34">
    <w:p w:rsidR="00F9721D" w14:paraId="3C37F1D3" w14:textId="5053ECCF">
      <w:pPr>
        <w:pStyle w:val="FootnoteText"/>
      </w:pPr>
      <w:r>
        <w:rPr>
          <w:rStyle w:val="FootnoteReference"/>
        </w:rPr>
        <w:footnoteRef/>
      </w:r>
      <w:r>
        <w:t xml:space="preserve"> </w:t>
      </w:r>
      <w:r w:rsidR="00025BCA">
        <w:rPr>
          <w:i/>
          <w:iCs/>
        </w:rPr>
        <w:t>See 2015 Report and Order</w:t>
      </w:r>
      <w:r w:rsidR="00025BCA">
        <w:t xml:space="preserve">, 30 FCC </w:t>
      </w:r>
      <w:r w:rsidR="00025BCA">
        <w:t>Rcd</w:t>
      </w:r>
      <w:r w:rsidR="00025BCA">
        <w:t xml:space="preserve"> at 4079-4080, para. 412.</w:t>
      </w:r>
    </w:p>
  </w:footnote>
  <w:footnote w:id="35">
    <w:p w:rsidR="00F9721D" w14:paraId="0B281B22" w14:textId="292C37EC">
      <w:pPr>
        <w:pStyle w:val="FootnoteText"/>
      </w:pPr>
      <w:r>
        <w:rPr>
          <w:rStyle w:val="FootnoteReference"/>
        </w:rPr>
        <w:footnoteRef/>
      </w:r>
      <w:r>
        <w:t xml:space="preserve"> </w:t>
      </w:r>
      <w:r>
        <w:rPr>
          <w:i/>
          <w:iCs/>
          <w:snapToGrid w:val="0"/>
        </w:rPr>
        <w:t xml:space="preserve">See </w:t>
      </w:r>
      <w:r w:rsidR="00025BCA">
        <w:rPr>
          <w:snapToGrid w:val="0"/>
        </w:rPr>
        <w:t>Waiver Request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5C7E0F" w14:textId="1810E73C">
    <w:pPr>
      <w:pStyle w:val="Header"/>
      <w:rPr>
        <w:b w:val="0"/>
      </w:rPr>
    </w:pPr>
    <w:r>
      <w:tab/>
      <w:t>Federal Communications Commission</w:t>
    </w:r>
    <w:r>
      <w:tab/>
    </w:r>
    <w:r w:rsidR="00410258">
      <w:t xml:space="preserve">DA </w:t>
    </w:r>
    <w:r w:rsidR="005455EF">
      <w:t>20-944</w:t>
    </w:r>
  </w:p>
  <w:p w:rsidR="00D25FB5" w14:paraId="215CE104" w14:textId="080E576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33108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91CDF7" w14:textId="0C18248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A2CB3">
      <w:rPr>
        <w:spacing w:val="-2"/>
      </w:rPr>
      <w:t>DA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3"/>
    <w:rsid w:val="0000003E"/>
    <w:rsid w:val="00005B83"/>
    <w:rsid w:val="00006AAA"/>
    <w:rsid w:val="00016807"/>
    <w:rsid w:val="0002086C"/>
    <w:rsid w:val="00024DD8"/>
    <w:rsid w:val="00025BCA"/>
    <w:rsid w:val="00025F0D"/>
    <w:rsid w:val="00027A45"/>
    <w:rsid w:val="0003413B"/>
    <w:rsid w:val="0003554D"/>
    <w:rsid w:val="00036039"/>
    <w:rsid w:val="00037F90"/>
    <w:rsid w:val="000407FA"/>
    <w:rsid w:val="000520F6"/>
    <w:rsid w:val="0005384A"/>
    <w:rsid w:val="000547DE"/>
    <w:rsid w:val="0005730E"/>
    <w:rsid w:val="000652FF"/>
    <w:rsid w:val="00077001"/>
    <w:rsid w:val="000875BF"/>
    <w:rsid w:val="0009005D"/>
    <w:rsid w:val="00096D8C"/>
    <w:rsid w:val="000A0CF0"/>
    <w:rsid w:val="000B7732"/>
    <w:rsid w:val="000C0B65"/>
    <w:rsid w:val="000C7177"/>
    <w:rsid w:val="000E05FE"/>
    <w:rsid w:val="000E3D42"/>
    <w:rsid w:val="00122BD5"/>
    <w:rsid w:val="001252E6"/>
    <w:rsid w:val="001262C3"/>
    <w:rsid w:val="00133F79"/>
    <w:rsid w:val="00134181"/>
    <w:rsid w:val="00137E2E"/>
    <w:rsid w:val="0014481C"/>
    <w:rsid w:val="001634BE"/>
    <w:rsid w:val="001737DF"/>
    <w:rsid w:val="00194A66"/>
    <w:rsid w:val="0019662A"/>
    <w:rsid w:val="001A1F02"/>
    <w:rsid w:val="001A5831"/>
    <w:rsid w:val="001A6D51"/>
    <w:rsid w:val="001C2C2B"/>
    <w:rsid w:val="001D60BB"/>
    <w:rsid w:val="001D6BCF"/>
    <w:rsid w:val="001E01CA"/>
    <w:rsid w:val="001F3615"/>
    <w:rsid w:val="001F3C97"/>
    <w:rsid w:val="00207F2F"/>
    <w:rsid w:val="00223186"/>
    <w:rsid w:val="00234AE8"/>
    <w:rsid w:val="002371A0"/>
    <w:rsid w:val="00237B46"/>
    <w:rsid w:val="0024368A"/>
    <w:rsid w:val="00273373"/>
    <w:rsid w:val="00275CF5"/>
    <w:rsid w:val="0028301F"/>
    <w:rsid w:val="00285017"/>
    <w:rsid w:val="00287CF4"/>
    <w:rsid w:val="002949C4"/>
    <w:rsid w:val="002A00A6"/>
    <w:rsid w:val="002A2D2E"/>
    <w:rsid w:val="002C00E8"/>
    <w:rsid w:val="002C2DB4"/>
    <w:rsid w:val="002E5E27"/>
    <w:rsid w:val="002F0AB4"/>
    <w:rsid w:val="00300EFD"/>
    <w:rsid w:val="00301CE8"/>
    <w:rsid w:val="0030227A"/>
    <w:rsid w:val="003404A1"/>
    <w:rsid w:val="00343749"/>
    <w:rsid w:val="003442CD"/>
    <w:rsid w:val="003660ED"/>
    <w:rsid w:val="003B0550"/>
    <w:rsid w:val="003B0C59"/>
    <w:rsid w:val="003B694F"/>
    <w:rsid w:val="003C1D8F"/>
    <w:rsid w:val="003D5ABA"/>
    <w:rsid w:val="003E74DA"/>
    <w:rsid w:val="003F171C"/>
    <w:rsid w:val="004021A6"/>
    <w:rsid w:val="00402215"/>
    <w:rsid w:val="00404242"/>
    <w:rsid w:val="00405F3D"/>
    <w:rsid w:val="00410258"/>
    <w:rsid w:val="00410B6D"/>
    <w:rsid w:val="00412FC5"/>
    <w:rsid w:val="00422276"/>
    <w:rsid w:val="004242F1"/>
    <w:rsid w:val="0043353E"/>
    <w:rsid w:val="0043780A"/>
    <w:rsid w:val="004439FB"/>
    <w:rsid w:val="00445A00"/>
    <w:rsid w:val="00451B0F"/>
    <w:rsid w:val="004622B4"/>
    <w:rsid w:val="00462656"/>
    <w:rsid w:val="0046751C"/>
    <w:rsid w:val="00467D4F"/>
    <w:rsid w:val="004713D4"/>
    <w:rsid w:val="0047456D"/>
    <w:rsid w:val="00492839"/>
    <w:rsid w:val="004A2BE1"/>
    <w:rsid w:val="004A67CC"/>
    <w:rsid w:val="004B4143"/>
    <w:rsid w:val="004C2EE3"/>
    <w:rsid w:val="004D657F"/>
    <w:rsid w:val="004E4A22"/>
    <w:rsid w:val="004F48E2"/>
    <w:rsid w:val="004F77A4"/>
    <w:rsid w:val="00504676"/>
    <w:rsid w:val="00511968"/>
    <w:rsid w:val="00515AAA"/>
    <w:rsid w:val="00536A20"/>
    <w:rsid w:val="00537B82"/>
    <w:rsid w:val="005455EF"/>
    <w:rsid w:val="00553234"/>
    <w:rsid w:val="0055614C"/>
    <w:rsid w:val="00565050"/>
    <w:rsid w:val="00566D06"/>
    <w:rsid w:val="00572197"/>
    <w:rsid w:val="00575FCA"/>
    <w:rsid w:val="005868D6"/>
    <w:rsid w:val="00591786"/>
    <w:rsid w:val="005A2CB3"/>
    <w:rsid w:val="005B410D"/>
    <w:rsid w:val="005C26EC"/>
    <w:rsid w:val="005C5268"/>
    <w:rsid w:val="005D2024"/>
    <w:rsid w:val="005E02F3"/>
    <w:rsid w:val="005E14C2"/>
    <w:rsid w:val="005E2127"/>
    <w:rsid w:val="005E46FA"/>
    <w:rsid w:val="005E5F2B"/>
    <w:rsid w:val="005E7BC9"/>
    <w:rsid w:val="00605E34"/>
    <w:rsid w:val="006078B6"/>
    <w:rsid w:val="00607BA5"/>
    <w:rsid w:val="0061180A"/>
    <w:rsid w:val="0061765C"/>
    <w:rsid w:val="00626EB6"/>
    <w:rsid w:val="0063015A"/>
    <w:rsid w:val="006351A5"/>
    <w:rsid w:val="0064566F"/>
    <w:rsid w:val="00655D03"/>
    <w:rsid w:val="00664035"/>
    <w:rsid w:val="00674A42"/>
    <w:rsid w:val="00683388"/>
    <w:rsid w:val="00683F84"/>
    <w:rsid w:val="00697B30"/>
    <w:rsid w:val="006A0D8E"/>
    <w:rsid w:val="006A6A81"/>
    <w:rsid w:val="006B5A23"/>
    <w:rsid w:val="006B6DC1"/>
    <w:rsid w:val="006C7E7A"/>
    <w:rsid w:val="006E72B2"/>
    <w:rsid w:val="006F7393"/>
    <w:rsid w:val="0070224F"/>
    <w:rsid w:val="00710713"/>
    <w:rsid w:val="007115F7"/>
    <w:rsid w:val="007132E3"/>
    <w:rsid w:val="00714561"/>
    <w:rsid w:val="00721118"/>
    <w:rsid w:val="00730291"/>
    <w:rsid w:val="00740379"/>
    <w:rsid w:val="0077394E"/>
    <w:rsid w:val="00785689"/>
    <w:rsid w:val="00785E90"/>
    <w:rsid w:val="00787B87"/>
    <w:rsid w:val="0079385E"/>
    <w:rsid w:val="0079754B"/>
    <w:rsid w:val="00797C56"/>
    <w:rsid w:val="007A1E6D"/>
    <w:rsid w:val="007B0EB2"/>
    <w:rsid w:val="007D262E"/>
    <w:rsid w:val="007D42A7"/>
    <w:rsid w:val="007D5FC0"/>
    <w:rsid w:val="007D7567"/>
    <w:rsid w:val="007F70B5"/>
    <w:rsid w:val="00810B6F"/>
    <w:rsid w:val="00814B13"/>
    <w:rsid w:val="00822CE0"/>
    <w:rsid w:val="00834117"/>
    <w:rsid w:val="008376EA"/>
    <w:rsid w:val="00840DE0"/>
    <w:rsid w:val="00841AB1"/>
    <w:rsid w:val="008666A1"/>
    <w:rsid w:val="0087093E"/>
    <w:rsid w:val="00872717"/>
    <w:rsid w:val="008729C1"/>
    <w:rsid w:val="00872D76"/>
    <w:rsid w:val="00880DE5"/>
    <w:rsid w:val="0088446D"/>
    <w:rsid w:val="00885AC6"/>
    <w:rsid w:val="00892423"/>
    <w:rsid w:val="008A61E0"/>
    <w:rsid w:val="008A76D2"/>
    <w:rsid w:val="008C47D2"/>
    <w:rsid w:val="008C68F1"/>
    <w:rsid w:val="008D580C"/>
    <w:rsid w:val="008E0A0A"/>
    <w:rsid w:val="00921803"/>
    <w:rsid w:val="00923E79"/>
    <w:rsid w:val="00924AED"/>
    <w:rsid w:val="00924DBB"/>
    <w:rsid w:val="00926503"/>
    <w:rsid w:val="00934DD7"/>
    <w:rsid w:val="00955A08"/>
    <w:rsid w:val="00964FB3"/>
    <w:rsid w:val="00965FAE"/>
    <w:rsid w:val="0097061A"/>
    <w:rsid w:val="009726D8"/>
    <w:rsid w:val="00972F92"/>
    <w:rsid w:val="0097498E"/>
    <w:rsid w:val="00975E53"/>
    <w:rsid w:val="00986E11"/>
    <w:rsid w:val="009924A4"/>
    <w:rsid w:val="009936C3"/>
    <w:rsid w:val="009A4607"/>
    <w:rsid w:val="009B3A84"/>
    <w:rsid w:val="009B5FE9"/>
    <w:rsid w:val="009B765B"/>
    <w:rsid w:val="009B7745"/>
    <w:rsid w:val="009B79E4"/>
    <w:rsid w:val="009D3357"/>
    <w:rsid w:val="009D53D4"/>
    <w:rsid w:val="009D7308"/>
    <w:rsid w:val="009E1C4C"/>
    <w:rsid w:val="009E7ABA"/>
    <w:rsid w:val="009F3365"/>
    <w:rsid w:val="009F4E9C"/>
    <w:rsid w:val="009F76DB"/>
    <w:rsid w:val="00A05744"/>
    <w:rsid w:val="00A10FA0"/>
    <w:rsid w:val="00A15CE8"/>
    <w:rsid w:val="00A172B8"/>
    <w:rsid w:val="00A234B4"/>
    <w:rsid w:val="00A23F3E"/>
    <w:rsid w:val="00A319A4"/>
    <w:rsid w:val="00A32C3B"/>
    <w:rsid w:val="00A42449"/>
    <w:rsid w:val="00A44133"/>
    <w:rsid w:val="00A45F4F"/>
    <w:rsid w:val="00A600A9"/>
    <w:rsid w:val="00A63813"/>
    <w:rsid w:val="00A75448"/>
    <w:rsid w:val="00A92FCF"/>
    <w:rsid w:val="00A94E5E"/>
    <w:rsid w:val="00AA55B7"/>
    <w:rsid w:val="00AA5B9E"/>
    <w:rsid w:val="00AB2407"/>
    <w:rsid w:val="00AB53D4"/>
    <w:rsid w:val="00AB53DF"/>
    <w:rsid w:val="00AC47F0"/>
    <w:rsid w:val="00AD0760"/>
    <w:rsid w:val="00AD2FE6"/>
    <w:rsid w:val="00AD6F53"/>
    <w:rsid w:val="00AE4C87"/>
    <w:rsid w:val="00AF4891"/>
    <w:rsid w:val="00B04343"/>
    <w:rsid w:val="00B0771F"/>
    <w:rsid w:val="00B07E5C"/>
    <w:rsid w:val="00B20E8C"/>
    <w:rsid w:val="00B34243"/>
    <w:rsid w:val="00B4411C"/>
    <w:rsid w:val="00B62567"/>
    <w:rsid w:val="00B64B0D"/>
    <w:rsid w:val="00B64BCB"/>
    <w:rsid w:val="00B811F7"/>
    <w:rsid w:val="00B84171"/>
    <w:rsid w:val="00B93258"/>
    <w:rsid w:val="00B96DAD"/>
    <w:rsid w:val="00B9701C"/>
    <w:rsid w:val="00BA0AAE"/>
    <w:rsid w:val="00BA0B6A"/>
    <w:rsid w:val="00BA5DC6"/>
    <w:rsid w:val="00BA6196"/>
    <w:rsid w:val="00BB00AE"/>
    <w:rsid w:val="00BB7E3E"/>
    <w:rsid w:val="00BC4204"/>
    <w:rsid w:val="00BC593C"/>
    <w:rsid w:val="00BC6D8C"/>
    <w:rsid w:val="00BD4698"/>
    <w:rsid w:val="00BD6154"/>
    <w:rsid w:val="00BD7ECC"/>
    <w:rsid w:val="00BE3E82"/>
    <w:rsid w:val="00BE6833"/>
    <w:rsid w:val="00C24624"/>
    <w:rsid w:val="00C34006"/>
    <w:rsid w:val="00C36B4C"/>
    <w:rsid w:val="00C36F81"/>
    <w:rsid w:val="00C37A33"/>
    <w:rsid w:val="00C426B1"/>
    <w:rsid w:val="00C66160"/>
    <w:rsid w:val="00C721AC"/>
    <w:rsid w:val="00C722C0"/>
    <w:rsid w:val="00C75E9E"/>
    <w:rsid w:val="00C7651D"/>
    <w:rsid w:val="00C76716"/>
    <w:rsid w:val="00C76770"/>
    <w:rsid w:val="00C774AE"/>
    <w:rsid w:val="00C85E13"/>
    <w:rsid w:val="00C90D6A"/>
    <w:rsid w:val="00C949FE"/>
    <w:rsid w:val="00CA19F6"/>
    <w:rsid w:val="00CA247E"/>
    <w:rsid w:val="00CA44D0"/>
    <w:rsid w:val="00CA6D21"/>
    <w:rsid w:val="00CC72B6"/>
    <w:rsid w:val="00D0218D"/>
    <w:rsid w:val="00D11D6F"/>
    <w:rsid w:val="00D1501B"/>
    <w:rsid w:val="00D15A63"/>
    <w:rsid w:val="00D17F4A"/>
    <w:rsid w:val="00D23693"/>
    <w:rsid w:val="00D25BA4"/>
    <w:rsid w:val="00D25FB5"/>
    <w:rsid w:val="00D35DF5"/>
    <w:rsid w:val="00D44223"/>
    <w:rsid w:val="00D45AD7"/>
    <w:rsid w:val="00D53AEE"/>
    <w:rsid w:val="00D55296"/>
    <w:rsid w:val="00D860B8"/>
    <w:rsid w:val="00DA2529"/>
    <w:rsid w:val="00DA7193"/>
    <w:rsid w:val="00DB130A"/>
    <w:rsid w:val="00DB2EBB"/>
    <w:rsid w:val="00DB6215"/>
    <w:rsid w:val="00DC10A1"/>
    <w:rsid w:val="00DC655F"/>
    <w:rsid w:val="00DC757F"/>
    <w:rsid w:val="00DD0B59"/>
    <w:rsid w:val="00DD5B70"/>
    <w:rsid w:val="00DD7EBD"/>
    <w:rsid w:val="00DE6BE1"/>
    <w:rsid w:val="00DF62B6"/>
    <w:rsid w:val="00E07225"/>
    <w:rsid w:val="00E1596C"/>
    <w:rsid w:val="00E17EC9"/>
    <w:rsid w:val="00E33D5B"/>
    <w:rsid w:val="00E43FB1"/>
    <w:rsid w:val="00E4409A"/>
    <w:rsid w:val="00E5409F"/>
    <w:rsid w:val="00E61234"/>
    <w:rsid w:val="00E72425"/>
    <w:rsid w:val="00E92C3B"/>
    <w:rsid w:val="00EA4E60"/>
    <w:rsid w:val="00EB353B"/>
    <w:rsid w:val="00EB6543"/>
    <w:rsid w:val="00EB6BDB"/>
    <w:rsid w:val="00EC2266"/>
    <w:rsid w:val="00EC29D9"/>
    <w:rsid w:val="00EE2C7E"/>
    <w:rsid w:val="00EE6488"/>
    <w:rsid w:val="00F021FA"/>
    <w:rsid w:val="00F06B54"/>
    <w:rsid w:val="00F332FA"/>
    <w:rsid w:val="00F52688"/>
    <w:rsid w:val="00F57A91"/>
    <w:rsid w:val="00F62E97"/>
    <w:rsid w:val="00F64209"/>
    <w:rsid w:val="00F65719"/>
    <w:rsid w:val="00F86824"/>
    <w:rsid w:val="00F871D9"/>
    <w:rsid w:val="00F93BF5"/>
    <w:rsid w:val="00F93FA3"/>
    <w:rsid w:val="00F9721D"/>
    <w:rsid w:val="00F97F54"/>
    <w:rsid w:val="00FA524B"/>
    <w:rsid w:val="00FB5074"/>
    <w:rsid w:val="00FC19B1"/>
    <w:rsid w:val="00FD2CE8"/>
    <w:rsid w:val="00FD7E72"/>
    <w:rsid w:val="00FE0B69"/>
    <w:rsid w:val="00FF43AA"/>
    <w:rsid w:val="00FF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C1B96E-DCEE-496E-8640-511D1945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basedOn w:val="DefaultParagraphFont"/>
    <w:rsid w:val="001A1F02"/>
    <w:rPr>
      <w:sz w:val="16"/>
      <w:szCs w:val="16"/>
    </w:rPr>
  </w:style>
  <w:style w:type="paragraph" w:styleId="CommentText">
    <w:name w:val="annotation text"/>
    <w:basedOn w:val="Normal"/>
    <w:link w:val="CommentTextChar"/>
    <w:rsid w:val="001A1F02"/>
    <w:rPr>
      <w:sz w:val="20"/>
    </w:rPr>
  </w:style>
  <w:style w:type="character" w:customStyle="1" w:styleId="CommentTextChar">
    <w:name w:val="Comment Text Char"/>
    <w:basedOn w:val="DefaultParagraphFont"/>
    <w:link w:val="CommentText"/>
    <w:rsid w:val="001A1F02"/>
    <w:rPr>
      <w:snapToGrid w:val="0"/>
      <w:kern w:val="28"/>
    </w:rPr>
  </w:style>
  <w:style w:type="paragraph" w:styleId="CommentSubject">
    <w:name w:val="annotation subject"/>
    <w:basedOn w:val="CommentText"/>
    <w:next w:val="CommentText"/>
    <w:link w:val="CommentSubjectChar"/>
    <w:rsid w:val="001A1F02"/>
    <w:rPr>
      <w:b/>
      <w:bCs/>
    </w:rPr>
  </w:style>
  <w:style w:type="character" w:customStyle="1" w:styleId="CommentSubjectChar">
    <w:name w:val="Comment Subject Char"/>
    <w:basedOn w:val="CommentTextChar"/>
    <w:link w:val="CommentSubject"/>
    <w:rsid w:val="001A1F02"/>
    <w:rPr>
      <w:b/>
      <w:bCs/>
      <w:snapToGrid w:val="0"/>
      <w:kern w:val="28"/>
    </w:rPr>
  </w:style>
  <w:style w:type="paragraph" w:styleId="BalloonText">
    <w:name w:val="Balloon Text"/>
    <w:basedOn w:val="Normal"/>
    <w:link w:val="BalloonTextChar"/>
    <w:rsid w:val="001A1F02"/>
    <w:rPr>
      <w:rFonts w:ascii="Segoe UI" w:hAnsi="Segoe UI" w:cs="Segoe UI"/>
      <w:sz w:val="18"/>
      <w:szCs w:val="18"/>
    </w:rPr>
  </w:style>
  <w:style w:type="character" w:customStyle="1" w:styleId="BalloonTextChar">
    <w:name w:val="Balloon Text Char"/>
    <w:basedOn w:val="DefaultParagraphFont"/>
    <w:link w:val="BalloonText"/>
    <w:rsid w:val="001A1F02"/>
    <w:rPr>
      <w:rFonts w:ascii="Segoe UI" w:hAnsi="Segoe UI" w:cs="Segoe UI"/>
      <w:snapToGrid w:val="0"/>
      <w:kern w:val="28"/>
      <w:sz w:val="18"/>
      <w:szCs w:val="18"/>
    </w:rPr>
  </w:style>
  <w:style w:type="paragraph" w:styleId="Revision">
    <w:name w:val="Revision"/>
    <w:hidden/>
    <w:uiPriority w:val="99"/>
    <w:semiHidden/>
    <w:rsid w:val="00492839"/>
    <w:rPr>
      <w:snapToGrid w:val="0"/>
      <w:kern w:val="28"/>
      <w:sz w:val="22"/>
    </w:rPr>
  </w:style>
  <w:style w:type="character" w:customStyle="1" w:styleId="FootnoteTextChar">
    <w:name w:val="Footnote Text Char"/>
    <w:basedOn w:val="DefaultParagraphFont"/>
    <w:link w:val="FootnoteText"/>
    <w:rsid w:val="0001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