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BA233D" w14:paraId="7C4EFE36" w14:textId="00033E45">
      <w:pPr>
        <w:jc w:val="right"/>
        <w:rPr>
          <w:b/>
          <w:szCs w:val="22"/>
        </w:rPr>
      </w:pPr>
      <w:r>
        <w:rPr>
          <w:b/>
          <w:szCs w:val="22"/>
        </w:rPr>
        <w:t>DA 20-</w:t>
      </w:r>
      <w:r w:rsidR="00497599">
        <w:rPr>
          <w:b/>
          <w:szCs w:val="22"/>
        </w:rPr>
        <w:t>949</w:t>
      </w:r>
    </w:p>
    <w:p w:rsidR="00BA233D" w14:paraId="7D7B635C" w14:textId="566AC572">
      <w:pPr>
        <w:spacing w:before="60"/>
        <w:jc w:val="right"/>
        <w:rPr>
          <w:b/>
          <w:szCs w:val="22"/>
        </w:rPr>
      </w:pPr>
      <w:r>
        <w:rPr>
          <w:b/>
          <w:szCs w:val="22"/>
        </w:rPr>
        <w:t>August 2</w:t>
      </w:r>
      <w:r w:rsidR="00A74705">
        <w:rPr>
          <w:b/>
          <w:szCs w:val="22"/>
        </w:rPr>
        <w:t>6</w:t>
      </w:r>
      <w:r>
        <w:rPr>
          <w:b/>
          <w:szCs w:val="22"/>
        </w:rPr>
        <w:t>, 2020</w:t>
      </w:r>
    </w:p>
    <w:p w:rsidR="00BA233D" w14:paraId="019FC978" w14:textId="77777777">
      <w:pPr>
        <w:jc w:val="right"/>
        <w:rPr>
          <w:szCs w:val="22"/>
        </w:rPr>
      </w:pPr>
    </w:p>
    <w:p w:rsidR="00BA233D" w14:paraId="6A00BC9C" w14:textId="77777777">
      <w:pPr>
        <w:jc w:val="center"/>
        <w:rPr>
          <w:b/>
          <w:caps/>
          <w:szCs w:val="22"/>
        </w:rPr>
      </w:pPr>
      <w:r>
        <w:rPr>
          <w:b/>
          <w:caps/>
          <w:szCs w:val="22"/>
        </w:rPr>
        <w:t>Media bureau seeks comment on THE APTS and PBS petition for waiver</w:t>
      </w:r>
    </w:p>
    <w:p w:rsidR="00BA233D" w14:paraId="39509978" w14:textId="77777777">
      <w:pPr>
        <w:spacing w:after="240"/>
        <w:jc w:val="center"/>
        <w:rPr>
          <w:b/>
          <w:caps/>
          <w:szCs w:val="22"/>
        </w:rPr>
      </w:pPr>
      <w:r>
        <w:rPr>
          <w:b/>
          <w:caps/>
          <w:szCs w:val="22"/>
        </w:rPr>
        <w:t>of NCE TRANSLATOR BASELINE CARRIAGE NOTICE REQUIREMENTS</w:t>
      </w:r>
    </w:p>
    <w:p w:rsidR="00BA233D" w14:paraId="641C6C01" w14:textId="77777777">
      <w:pPr>
        <w:jc w:val="center"/>
        <w:rPr>
          <w:b/>
          <w:szCs w:val="22"/>
        </w:rPr>
      </w:pPr>
      <w:r>
        <w:rPr>
          <w:b/>
          <w:szCs w:val="22"/>
        </w:rPr>
        <w:t>MB Docket Nos. 17-105, 17-317</w:t>
      </w:r>
    </w:p>
    <w:p w:rsidR="00BA233D" w14:paraId="31685348" w14:textId="77777777">
      <w:pPr>
        <w:jc w:val="center"/>
        <w:rPr>
          <w:b/>
          <w:szCs w:val="22"/>
        </w:rPr>
      </w:pPr>
    </w:p>
    <w:p w:rsidR="00BA233D" w14:paraId="0A4FC0BC" w14:textId="77777777">
      <w:pPr>
        <w:rPr>
          <w:b/>
          <w:szCs w:val="22"/>
        </w:rPr>
      </w:pPr>
      <w:r>
        <w:rPr>
          <w:b/>
          <w:szCs w:val="22"/>
        </w:rPr>
        <w:t>Comments Due:  September 8, 2020</w:t>
      </w:r>
    </w:p>
    <w:p w:rsidR="00BA233D" w14:paraId="30A19C07" w14:textId="77777777">
      <w:pPr>
        <w:rPr>
          <w:b/>
          <w:szCs w:val="22"/>
        </w:rPr>
      </w:pPr>
      <w:r>
        <w:rPr>
          <w:b/>
          <w:szCs w:val="22"/>
        </w:rPr>
        <w:t>Reply Comments Due:  September 14, 2020</w:t>
      </w:r>
    </w:p>
    <w:p w:rsidR="00BA233D" w14:paraId="42EB8711" w14:textId="77777777">
      <w:pPr>
        <w:rPr>
          <w:b/>
          <w:szCs w:val="22"/>
        </w:rPr>
      </w:pPr>
    </w:p>
    <w:p w:rsidR="00BA233D" w14:paraId="60A97ECD" w14:textId="1AB4A8AF">
      <w:pPr>
        <w:ind w:firstLine="720"/>
        <w:rPr>
          <w:szCs w:val="22"/>
        </w:rPr>
      </w:pPr>
      <w:r>
        <w:rPr>
          <w:szCs w:val="22"/>
        </w:rPr>
        <w:t>America’s Public Television Stations (APTS) and the Public Broadcasting Service (PBS) (collectively, Petitioners) have filed a petition</w:t>
      </w:r>
      <w:r>
        <w:rPr>
          <w:rStyle w:val="FootnoteReference"/>
          <w:szCs w:val="22"/>
        </w:rPr>
        <w:footnoteReference w:id="3"/>
      </w:r>
      <w:r>
        <w:rPr>
          <w:szCs w:val="22"/>
        </w:rPr>
        <w:t xml:space="preserve"> requesting that the Media Bureau waive the Commission’s requirement that qualified noncommercial educational (NCE) television translators email a “baseline” carriage notice, no later than October 1, 2020, to multichannel video programming distributors (</w:t>
      </w:r>
      <w:r>
        <w:t>MVPDs) on which they will be seeking or expecting carriage in the 2021-2023 carriage cycle</w:t>
      </w:r>
      <w:r>
        <w:rPr>
          <w:szCs w:val="22"/>
        </w:rPr>
        <w:t>.</w:t>
      </w:r>
      <w:r>
        <w:rPr>
          <w:rStyle w:val="FootnoteReference"/>
          <w:szCs w:val="22"/>
        </w:rPr>
        <w:footnoteReference w:id="4"/>
      </w:r>
      <w:r>
        <w:rPr>
          <w:szCs w:val="22"/>
        </w:rPr>
        <w:t xml:space="preserve">  Petitioners request relief from this one-time obligation, </w:t>
      </w:r>
      <w:r w:rsidR="009249FC">
        <w:rPr>
          <w:szCs w:val="22"/>
        </w:rPr>
        <w:t>given the unique characteristics of NCE tran</w:t>
      </w:r>
      <w:r w:rsidR="001046BA">
        <w:rPr>
          <w:szCs w:val="22"/>
        </w:rPr>
        <w:t xml:space="preserve">slators. </w:t>
      </w:r>
    </w:p>
    <w:p w:rsidR="00BA233D" w14:paraId="61726054" w14:textId="77777777">
      <w:pPr>
        <w:rPr>
          <w:szCs w:val="22"/>
        </w:rPr>
      </w:pPr>
    </w:p>
    <w:p w:rsidR="00BA233D" w14:paraId="7BE658E5" w14:textId="33472334">
      <w:pPr>
        <w:ind w:firstLine="720"/>
        <w:rPr>
          <w:szCs w:val="22"/>
        </w:rPr>
      </w:pPr>
      <w:r>
        <w:rPr>
          <w:szCs w:val="22"/>
        </w:rPr>
        <w:t>In 2019, the Commission adopted rules modernizing the carriage election notice rules for full power broadcast stations and sought comment on adopting similar rules for qualified low power television (LPTV) stations and NCE translators.</w:t>
      </w:r>
      <w:r>
        <w:rPr>
          <w:rStyle w:val="FootnoteReference"/>
          <w:szCs w:val="22"/>
        </w:rPr>
        <w:footnoteReference w:id="5"/>
      </w:r>
      <w:r>
        <w:rPr>
          <w:szCs w:val="22"/>
        </w:rPr>
        <w:t xml:space="preserve">  Among other steps, these modernized rules </w:t>
      </w:r>
      <w:r w:rsidR="003F690E">
        <w:rPr>
          <w:szCs w:val="22"/>
        </w:rPr>
        <w:t>require</w:t>
      </w:r>
      <w:r>
        <w:rPr>
          <w:szCs w:val="22"/>
        </w:rPr>
        <w:t xml:space="preserve"> covered stations to send carriage notices to MVPDs via email and to place carriage election statements into their online public file</w:t>
      </w:r>
      <w:r w:rsidR="001D2DFA">
        <w:rPr>
          <w:szCs w:val="22"/>
        </w:rPr>
        <w:t>s</w:t>
      </w:r>
      <w:r>
        <w:rPr>
          <w:szCs w:val="22"/>
        </w:rPr>
        <w:t>.</w:t>
      </w:r>
      <w:r>
        <w:rPr>
          <w:rStyle w:val="FootnoteReference"/>
          <w:szCs w:val="22"/>
        </w:rPr>
        <w:footnoteReference w:id="6"/>
      </w:r>
      <w:r>
        <w:rPr>
          <w:szCs w:val="22"/>
        </w:rPr>
        <w:t xml:space="preserve">  In the </w:t>
      </w:r>
      <w:r>
        <w:rPr>
          <w:i/>
          <w:szCs w:val="22"/>
        </w:rPr>
        <w:t>2020 Report and Order</w:t>
      </w:r>
      <w:r>
        <w:rPr>
          <w:szCs w:val="22"/>
        </w:rPr>
        <w:t>, the Commission noted that qualified LPTV and NCE translator stations do not currently maintain online public files and found that it would be unduly burdensome to require them to do so.</w:t>
      </w:r>
      <w:r>
        <w:rPr>
          <w:rStyle w:val="FootnoteReference"/>
          <w:szCs w:val="22"/>
        </w:rPr>
        <w:footnoteReference w:id="7"/>
      </w:r>
      <w:r>
        <w:rPr>
          <w:szCs w:val="22"/>
        </w:rPr>
        <w:t xml:space="preserve">  In the alternative, in order to provide “baseline” information to MVPDs, the Commission directed both of these groups of stations to email one-time notifications, no later than October 1, 2020, to all MVPDs on which they expect to be carried in the 2021-2023 cycle.</w:t>
      </w:r>
    </w:p>
    <w:p w:rsidR="00BA233D" w14:paraId="4EED35FD" w14:textId="77777777">
      <w:pPr>
        <w:ind w:firstLine="720"/>
        <w:rPr>
          <w:szCs w:val="22"/>
        </w:rPr>
      </w:pPr>
    </w:p>
    <w:p w:rsidR="00BA233D" w14:paraId="7D3CFADB" w14:textId="6F0D07B8">
      <w:pPr>
        <w:rPr>
          <w:szCs w:val="22"/>
        </w:rPr>
      </w:pPr>
      <w:r>
        <w:rPr>
          <w:szCs w:val="22"/>
        </w:rPr>
        <w:tab/>
        <w:t>Petitioners note that, unlike qualified commercial LPTV stations, qualified NCE translators may only elect must carry</w:t>
      </w:r>
      <w:r w:rsidR="001046BA">
        <w:rPr>
          <w:szCs w:val="22"/>
        </w:rPr>
        <w:t xml:space="preserve"> under the Communications Act of 1934, as amended.</w:t>
      </w:r>
      <w:r>
        <w:rPr>
          <w:rStyle w:val="FootnoteReference"/>
          <w:szCs w:val="22"/>
        </w:rPr>
        <w:footnoteReference w:id="8"/>
      </w:r>
      <w:r w:rsidR="001046BA">
        <w:rPr>
          <w:szCs w:val="22"/>
        </w:rPr>
        <w:t xml:space="preserve">  Accordingly, </w:t>
      </w:r>
      <w:r>
        <w:rPr>
          <w:szCs w:val="22"/>
        </w:rPr>
        <w:t xml:space="preserve">under the </w:t>
      </w:r>
      <w:r>
        <w:rPr>
          <w:szCs w:val="22"/>
        </w:rPr>
        <w:t xml:space="preserve">status quo they are carried </w:t>
      </w:r>
      <w:r w:rsidR="001D2DFA">
        <w:rPr>
          <w:szCs w:val="22"/>
        </w:rPr>
        <w:t xml:space="preserve">by MVPDs serving </w:t>
      </w:r>
      <w:r>
        <w:rPr>
          <w:szCs w:val="22"/>
        </w:rPr>
        <w:t xml:space="preserve">millions of Americans without the need to contact or provide information to </w:t>
      </w:r>
      <w:r w:rsidR="001D2DFA">
        <w:rPr>
          <w:szCs w:val="22"/>
        </w:rPr>
        <w:t xml:space="preserve">those </w:t>
      </w:r>
      <w:r>
        <w:rPr>
          <w:szCs w:val="22"/>
        </w:rPr>
        <w:t>MVPDs.</w:t>
      </w:r>
      <w:r>
        <w:rPr>
          <w:rStyle w:val="FootnoteReference"/>
          <w:szCs w:val="22"/>
        </w:rPr>
        <w:footnoteReference w:id="9"/>
      </w:r>
      <w:r>
        <w:rPr>
          <w:szCs w:val="22"/>
        </w:rPr>
        <w:t xml:space="preserve">  Petitioners </w:t>
      </w:r>
      <w:r w:rsidR="001D2DFA">
        <w:rPr>
          <w:szCs w:val="22"/>
        </w:rPr>
        <w:t>assert</w:t>
      </w:r>
      <w:r>
        <w:rPr>
          <w:szCs w:val="22"/>
        </w:rPr>
        <w:t xml:space="preserve"> that NCE translators do not even know, in many cases, which MVPDs are carrying them, and that no resource exists to easily determine this information.</w:t>
      </w:r>
      <w:r>
        <w:rPr>
          <w:rStyle w:val="FootnoteReference"/>
          <w:szCs w:val="22"/>
        </w:rPr>
        <w:footnoteReference w:id="10"/>
      </w:r>
      <w:r>
        <w:rPr>
          <w:szCs w:val="22"/>
        </w:rPr>
        <w:t xml:space="preserve">  </w:t>
      </w:r>
      <w:bookmarkStart w:id="0" w:name="_GoBack"/>
      <w:bookmarkEnd w:id="0"/>
      <w:r>
        <w:rPr>
          <w:szCs w:val="22"/>
        </w:rPr>
        <w:t>As a result, Petitioners contend, even emailing a one-time notice would impose a substantial burden, while providing no benefit to the public, to MVPDs, or to the translators themselves, and could potentially result in a loss of service.</w:t>
      </w:r>
      <w:r>
        <w:rPr>
          <w:rStyle w:val="FootnoteReference"/>
          <w:szCs w:val="22"/>
        </w:rPr>
        <w:footnoteReference w:id="11"/>
      </w:r>
      <w:r>
        <w:rPr>
          <w:szCs w:val="22"/>
        </w:rPr>
        <w:t xml:space="preserve">  Therefore, Petitioners request that the Media Bureau waive the requirement that </w:t>
      </w:r>
      <w:r>
        <w:t>qualified NCE translator stations provide e-mail notice to all MVPDs that are or will be carrying the translator no later than October 1, 2020.</w:t>
      </w:r>
      <w:r>
        <w:rPr>
          <w:rStyle w:val="FootnoteReference"/>
        </w:rPr>
        <w:footnoteReference w:id="12"/>
      </w:r>
      <w:r>
        <w:rPr>
          <w:szCs w:val="22"/>
        </w:rPr>
        <w:t xml:space="preserve">  We seek comment on Petitioners’ request.</w:t>
      </w:r>
    </w:p>
    <w:p w:rsidR="00BA233D" w14:paraId="27709C7F" w14:textId="77777777">
      <w:pPr>
        <w:rPr>
          <w:szCs w:val="22"/>
        </w:rPr>
      </w:pPr>
    </w:p>
    <w:p w:rsidR="00BA233D" w14:paraId="26306E35" w14:textId="61EE1B0C">
      <w:pPr>
        <w:ind w:firstLine="720"/>
        <w:rPr>
          <w:szCs w:val="22"/>
        </w:rPr>
      </w:pPr>
      <w:r>
        <w:rPr>
          <w:szCs w:val="22"/>
        </w:rPr>
        <w:t xml:space="preserve">Pursuant to </w:t>
      </w:r>
      <w:r w:rsidR="009249FC">
        <w:rPr>
          <w:szCs w:val="22"/>
        </w:rPr>
        <w:t>s</w:t>
      </w:r>
      <w:r>
        <w:rPr>
          <w:szCs w:val="22"/>
        </w:rPr>
        <w:t>ections 1.415 and 1.419 of the Commission’s rules, 47 CFR §§ 1.415, 1.419, interested parties may file comments and reply comments on or before the dates indicated on the first page of this document.  Comments may be filed using the Commission’s Electronic Comment Filing System (ECFS).</w:t>
      </w:r>
      <w:r>
        <w:rPr>
          <w:rStyle w:val="FootnoteReference"/>
          <w:szCs w:val="22"/>
        </w:rPr>
        <w:footnoteReference w:id="13"/>
      </w:r>
    </w:p>
    <w:p w:rsidR="00BA233D" w14:paraId="2B00B854" w14:textId="77777777">
      <w:pPr>
        <w:ind w:firstLine="720"/>
        <w:rPr>
          <w:szCs w:val="22"/>
        </w:rPr>
      </w:pPr>
    </w:p>
    <w:p w:rsidR="00BA233D" w14:paraId="55AC3685" w14:textId="77777777">
      <w:pPr>
        <w:pStyle w:val="ListParagraph"/>
        <w:numPr>
          <w:ilvl w:val="0"/>
          <w:numId w:val="8"/>
        </w:numPr>
        <w:rPr>
          <w:szCs w:val="22"/>
        </w:rPr>
      </w:pPr>
      <w:r>
        <w:rPr>
          <w:szCs w:val="22"/>
        </w:rPr>
        <w:t xml:space="preserve">Electronic Filers:  Comments may be filed electronically using the Internet by accessing the ECFS: </w:t>
      </w:r>
      <w:hyperlink r:id="rId5" w:history="1">
        <w:r>
          <w:rPr>
            <w:rStyle w:val="Hyperlink"/>
            <w:szCs w:val="22"/>
          </w:rPr>
          <w:t>http://fjallfoss.fcc.gov/ecfs2/</w:t>
        </w:r>
      </w:hyperlink>
      <w:r>
        <w:rPr>
          <w:szCs w:val="22"/>
        </w:rPr>
        <w:t>.</w:t>
      </w:r>
    </w:p>
    <w:p w:rsidR="00BA233D" w14:paraId="4AB47B82" w14:textId="77777777">
      <w:pPr>
        <w:pStyle w:val="ListParagraph"/>
        <w:rPr>
          <w:szCs w:val="22"/>
        </w:rPr>
      </w:pPr>
    </w:p>
    <w:p w:rsidR="00BA233D" w14:paraId="08F31959" w14:textId="77777777">
      <w:pPr>
        <w:pStyle w:val="ListParagraph"/>
        <w:numPr>
          <w:ilvl w:val="0"/>
          <w:numId w:val="8"/>
        </w:numPr>
        <w:rPr>
          <w:szCs w:val="22"/>
        </w:rPr>
      </w:pPr>
      <w:r>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BA233D" w14:paraId="71202D1E" w14:textId="77777777">
      <w:pPr>
        <w:pStyle w:val="ListParagraph"/>
        <w:rPr>
          <w:szCs w:val="22"/>
        </w:rPr>
      </w:pPr>
    </w:p>
    <w:p w:rsidR="00BA233D" w14:paraId="7A6FC42B" w14:textId="77777777">
      <w:pPr>
        <w:pStyle w:val="ListParagraph"/>
        <w:rPr>
          <w:szCs w:val="22"/>
        </w:rPr>
      </w:pPr>
      <w:r>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BA233D" w14:paraId="2CC59198" w14:textId="77777777">
      <w:pPr>
        <w:pStyle w:val="ListParagraph"/>
        <w:rPr>
          <w:szCs w:val="22"/>
        </w:rPr>
      </w:pPr>
    </w:p>
    <w:p w:rsidR="00BA233D" w14:paraId="326F4451" w14:textId="77777777">
      <w:pPr>
        <w:pStyle w:val="ListParagraph"/>
        <w:numPr>
          <w:ilvl w:val="1"/>
          <w:numId w:val="8"/>
        </w:numPr>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Street,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w:t>
      </w:r>
    </w:p>
    <w:p w:rsidR="00BA233D" w14:paraId="719CB7EE" w14:textId="77777777">
      <w:pPr>
        <w:pStyle w:val="ListParagraph"/>
        <w:ind w:left="1440"/>
        <w:rPr>
          <w:szCs w:val="22"/>
        </w:rPr>
      </w:pPr>
    </w:p>
    <w:p w:rsidR="00BA233D" w14:paraId="244923DE" w14:textId="77777777">
      <w:pPr>
        <w:pStyle w:val="ListParagraph"/>
        <w:numPr>
          <w:ilvl w:val="1"/>
          <w:numId w:val="8"/>
        </w:numPr>
        <w:rPr>
          <w:szCs w:val="22"/>
        </w:rPr>
      </w:pPr>
      <w:r>
        <w:rPr>
          <w:szCs w:val="22"/>
        </w:rPr>
        <w:t>Commercial overnight mail (other than U.S. Postal Service Express Mail and Priority Mail) must be sent to 9050 Junction Drive, Annapolis Junction, MD 20701.</w:t>
      </w:r>
    </w:p>
    <w:p w:rsidR="00BA233D" w14:paraId="24F1BF9C" w14:textId="77777777">
      <w:pPr>
        <w:pStyle w:val="ListParagraph"/>
        <w:rPr>
          <w:szCs w:val="22"/>
        </w:rPr>
      </w:pPr>
    </w:p>
    <w:p w:rsidR="00BA233D" w14:paraId="695093D8" w14:textId="77777777">
      <w:pPr>
        <w:pStyle w:val="ListParagraph"/>
        <w:numPr>
          <w:ilvl w:val="1"/>
          <w:numId w:val="8"/>
        </w:numPr>
      </w:pPr>
      <w:r>
        <w:rPr>
          <w:szCs w:val="22"/>
        </w:rPr>
        <w:t>U.S. Postal Service first-class, Express, and Priority mail must be addressed to 445 12</w:t>
      </w:r>
      <w:r>
        <w:rPr>
          <w:szCs w:val="22"/>
          <w:vertAlign w:val="superscript"/>
        </w:rPr>
        <w:t>th</w:t>
      </w:r>
      <w:r>
        <w:rPr>
          <w:szCs w:val="22"/>
        </w:rPr>
        <w:t xml:space="preserve"> Street, SW, Washington, DC 20554.</w:t>
      </w:r>
      <w:bookmarkStart w:id="1" w:name="_Hlk36645380"/>
      <w:r>
        <w:t xml:space="preserve"> </w:t>
      </w:r>
    </w:p>
    <w:p w:rsidR="00BA233D" w14:paraId="5344ACF2" w14:textId="77777777">
      <w:pPr>
        <w:pStyle w:val="ListParagraph"/>
        <w:ind w:left="1440"/>
      </w:pPr>
    </w:p>
    <w:p w:rsidR="00BA233D" w14:paraId="0CAB93D6" w14:textId="77777777">
      <w:pPr>
        <w:pStyle w:val="ListParagraph"/>
        <w:numPr>
          <w:ilvl w:val="1"/>
          <w:numId w:val="8"/>
        </w:numPr>
        <w:rPr>
          <w:szCs w:val="22"/>
        </w:rPr>
      </w:pPr>
      <w:r>
        <w:t xml:space="preserve">Effective </w:t>
      </w:r>
      <w:r>
        <w:rPr>
          <w:szCs w:val="22"/>
        </w:rPr>
        <w:t>March</w:t>
      </w:r>
      <w:r>
        <w:t xml:space="preserve"> 19, 2020, and until further notice, the Commission no longer accepts any hand or messenger delivered filings. This is a temporary measure taken to help protect the health and safety of individuals, and to mitigate the transmission of COVID-19.  </w:t>
      </w:r>
      <w:r>
        <w:rPr>
          <w:i/>
          <w:iCs/>
        </w:rPr>
        <w:t>See FCC Announces Closure of FCC Headquarters Open Window and Change in Hand-Delivery Policy</w:t>
      </w:r>
      <w:r>
        <w:t xml:space="preserve">, Public Notice, DA 20-304 (Mar. 19, 2020) available at </w:t>
      </w:r>
      <w:hyperlink r:id="rId6" w:history="1">
        <w:r>
          <w:rPr>
            <w:rStyle w:val="Hyperlink"/>
          </w:rPr>
          <w:t>https://www.fcc.gov/document/fcc-closes-headquarters-open-window-and-changes-hand-delivery-policy</w:t>
        </w:r>
      </w:hyperlink>
      <w:r>
        <w:t>.</w:t>
      </w:r>
      <w:bookmarkEnd w:id="1"/>
    </w:p>
    <w:p w:rsidR="00BA233D" w14:paraId="2D533D01" w14:textId="77777777">
      <w:pPr>
        <w:pStyle w:val="ListParagraph"/>
        <w:rPr>
          <w:szCs w:val="22"/>
        </w:rPr>
      </w:pPr>
    </w:p>
    <w:p w:rsidR="00BA233D" w14:paraId="6D58150B" w14:textId="77777777">
      <w:pPr>
        <w:pStyle w:val="ListParagraph"/>
        <w:rPr>
          <w:szCs w:val="22"/>
        </w:rPr>
      </w:pPr>
      <w:r>
        <w:rPr>
          <w:szCs w:val="22"/>
        </w:rPr>
        <w:t xml:space="preserve">People with Disabilities:  To request materials in accessible formats for people with disabilities (braille, large print, electronic files, audio format), send an e-mail to </w:t>
      </w:r>
      <w:hyperlink r:id="rId7" w:history="1">
        <w:r>
          <w:rPr>
            <w:rStyle w:val="Hyperlink"/>
            <w:szCs w:val="22"/>
          </w:rPr>
          <w:t>fcc504@fcc.gov</w:t>
        </w:r>
      </w:hyperlink>
      <w:r>
        <w:rPr>
          <w:szCs w:val="22"/>
        </w:rPr>
        <w:t xml:space="preserve"> or call the Consumer &amp; Governmental Affairs Bureau at (202) 418-0530 (voice), (202) 418-0432 (TTY).</w:t>
      </w:r>
    </w:p>
    <w:p w:rsidR="00BA233D" w14:paraId="672C4459" w14:textId="77777777">
      <w:pPr>
        <w:pStyle w:val="ListParagraph"/>
        <w:rPr>
          <w:szCs w:val="22"/>
        </w:rPr>
      </w:pPr>
    </w:p>
    <w:p w:rsidR="00BA233D" w14:paraId="28470631" w14:textId="77777777">
      <w:pPr>
        <w:pStyle w:val="ListParagraph"/>
        <w:rPr>
          <w:szCs w:val="22"/>
        </w:rPr>
      </w:pPr>
      <w:r>
        <w:rPr>
          <w:szCs w:val="22"/>
        </w:rPr>
        <w:t>Filings are also available for public inspection and copying during regular business hours at the FCC Reference Information Center, Portals II, 445 12</w:t>
      </w:r>
      <w:r>
        <w:rPr>
          <w:szCs w:val="22"/>
          <w:vertAlign w:val="superscript"/>
        </w:rPr>
        <w:t>th</w:t>
      </w:r>
      <w:r>
        <w:rPr>
          <w:szCs w:val="22"/>
        </w:rPr>
        <w:t xml:space="preserve"> Street, SW, Room CY-A257, Washington, DC 20554, telephone (202) 418-0270.</w:t>
      </w:r>
    </w:p>
    <w:p w:rsidR="00BA233D" w14:paraId="47C542F1" w14:textId="77777777">
      <w:pPr>
        <w:pStyle w:val="ListParagraph"/>
        <w:rPr>
          <w:szCs w:val="22"/>
        </w:rPr>
      </w:pPr>
    </w:p>
    <w:p w:rsidR="00BA233D" w14:paraId="75A5F9C7" w14:textId="77777777">
      <w:pPr>
        <w:pStyle w:val="ListParagraph"/>
        <w:rPr>
          <w:szCs w:val="22"/>
        </w:rPr>
      </w:pPr>
      <w:r>
        <w:rPr>
          <w:szCs w:val="22"/>
        </w:rPr>
        <w:t xml:space="preserve">For further information, contact Lyle Elder at </w:t>
      </w:r>
      <w:r>
        <w:rPr>
          <w:rStyle w:val="Hyperlink"/>
          <w:szCs w:val="22"/>
        </w:rPr>
        <w:t>Lyle.Elder@fcc.gov</w:t>
      </w:r>
      <w:r>
        <w:rPr>
          <w:szCs w:val="22"/>
        </w:rPr>
        <w:t>.</w:t>
      </w:r>
    </w:p>
    <w:p w:rsidR="00BA233D" w14:paraId="7B6C4C83" w14:textId="77777777">
      <w:pPr>
        <w:pStyle w:val="ListParagraph"/>
        <w:rPr>
          <w:szCs w:val="22"/>
        </w:rPr>
      </w:pPr>
    </w:p>
    <w:p w:rsidR="00BA233D" w14:paraId="04C03C4C" w14:textId="77777777">
      <w:pPr>
        <w:pStyle w:val="ListParagraph"/>
        <w:jc w:val="center"/>
        <w:rPr>
          <w:szCs w:val="22"/>
        </w:rPr>
      </w:pPr>
      <w:r>
        <w:rPr>
          <w:szCs w:val="22"/>
        </w:rPr>
        <w:t>-FCC-</w:t>
      </w: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233D" w14:paraId="1AADC87D" w14:textId="77777777">
    <w:pPr>
      <w:pStyle w:val="Footer"/>
      <w:framePr w:wrap="around" w:vAnchor="text" w:hAnchor="margin" w:xAlign="center" w:y="1"/>
    </w:pPr>
    <w:r>
      <w:fldChar w:fldCharType="begin"/>
    </w:r>
    <w:r>
      <w:instrText xml:space="preserve">PAGE  </w:instrText>
    </w:r>
    <w:r>
      <w:fldChar w:fldCharType="separate"/>
    </w:r>
    <w:r>
      <w:fldChar w:fldCharType="end"/>
    </w:r>
  </w:p>
  <w:p w:rsidR="00BA233D" w14:paraId="17F12DF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233D" w14:paraId="4F19826E" w14:textId="77777777">
    <w:pPr>
      <w:pStyle w:val="Footer"/>
      <w:jc w:val="center"/>
    </w:pPr>
    <w:r>
      <w:fldChar w:fldCharType="begin"/>
    </w:r>
    <w:r>
      <w:instrText xml:space="preserve"> PAGE   \* MERGEFORMAT </w:instrText>
    </w:r>
    <w:r>
      <w:fldChar w:fldCharType="separate"/>
    </w:r>
    <w:r w:rsidR="00481821">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233D" w14:paraId="29A92AE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03D40" w14:paraId="0A98D4D3" w14:textId="77777777">
      <w:r>
        <w:separator/>
      </w:r>
    </w:p>
  </w:footnote>
  <w:footnote w:type="continuationSeparator" w:id="1">
    <w:p w:rsidR="00103D40" w14:paraId="5F8F7088" w14:textId="77777777">
      <w:pPr>
        <w:rPr>
          <w:sz w:val="20"/>
        </w:rPr>
      </w:pPr>
      <w:r>
        <w:rPr>
          <w:sz w:val="20"/>
        </w:rPr>
        <w:t xml:space="preserve">(Continued from previous page)  </w:t>
      </w:r>
      <w:r>
        <w:rPr>
          <w:sz w:val="20"/>
        </w:rPr>
        <w:separator/>
      </w:r>
    </w:p>
  </w:footnote>
  <w:footnote w:type="continuationNotice" w:id="2">
    <w:p w:rsidR="00103D40" w14:paraId="6430AAED" w14:textId="77777777">
      <w:pPr>
        <w:jc w:val="right"/>
        <w:rPr>
          <w:sz w:val="20"/>
        </w:rPr>
      </w:pPr>
      <w:r>
        <w:rPr>
          <w:sz w:val="20"/>
        </w:rPr>
        <w:t>(continued….)</w:t>
      </w:r>
    </w:p>
  </w:footnote>
  <w:footnote w:id="3">
    <w:p w:rsidR="00BA233D" w14:paraId="0E2916FC" w14:textId="58E6403F">
      <w:pPr>
        <w:pStyle w:val="FootnoteText"/>
      </w:pPr>
      <w:r>
        <w:rPr>
          <w:rStyle w:val="FootnoteReference"/>
          <w:sz w:val="20"/>
        </w:rPr>
        <w:footnoteRef/>
      </w:r>
      <w:r>
        <w:t xml:space="preserve"> Petition for Waiver America’s Public Television Stations and the Public Broadcasting Service, MB Docket Nos. 17-105 and 17-317 (filed Aug. 25, 2020) (Petition).</w:t>
      </w:r>
    </w:p>
  </w:footnote>
  <w:footnote w:id="4">
    <w:p w:rsidR="00BA233D" w14:paraId="59636BF4" w14:textId="77777777">
      <w:pPr>
        <w:pStyle w:val="FootnoteText"/>
      </w:pPr>
      <w:r>
        <w:rPr>
          <w:rStyle w:val="FootnoteReference"/>
          <w:sz w:val="20"/>
        </w:rPr>
        <w:footnoteRef/>
      </w:r>
      <w:r>
        <w:t xml:space="preserve"> </w:t>
      </w:r>
      <w:r>
        <w:rPr>
          <w:i/>
        </w:rPr>
        <w:t>Electronic Delivery of MVPD Communications; Modernization of Media Regulation Initiative</w:t>
      </w:r>
      <w:r>
        <w:t xml:space="preserve">, MB Docket Nos. 17-105 and 17-317, Report and Order, 35 FCC </w:t>
      </w:r>
      <w:r>
        <w:t>Rcd</w:t>
      </w:r>
      <w:r>
        <w:t xml:space="preserve"> 1636 (2020) (</w:t>
      </w:r>
      <w:r>
        <w:rPr>
          <w:i/>
        </w:rPr>
        <w:t>2020 Report and Order</w:t>
      </w:r>
      <w:r>
        <w:t>).  Petitioners request a waiver for good cause shown.  47 CFR § 1.3.</w:t>
      </w:r>
    </w:p>
  </w:footnote>
  <w:footnote w:id="5">
    <w:p w:rsidR="00BA233D" w14:paraId="56316880" w14:textId="77777777">
      <w:pPr>
        <w:pStyle w:val="FootnoteText"/>
      </w:pPr>
      <w:r>
        <w:rPr>
          <w:rStyle w:val="FootnoteReference"/>
        </w:rPr>
        <w:footnoteRef/>
      </w:r>
      <w:r>
        <w:t xml:space="preserve"> </w:t>
      </w:r>
      <w:r>
        <w:rPr>
          <w:i/>
        </w:rPr>
        <w:t>Electronic Delivery of MVPD Communications; Modernization of Media Regulation Initiative</w:t>
      </w:r>
      <w:r>
        <w:t xml:space="preserve">, MB Docket Nos. 17-105 and 17-317, Report and Order and Further Notice of Proposed Rulemaking, 34 FCC </w:t>
      </w:r>
      <w:r>
        <w:t>Rcd</w:t>
      </w:r>
      <w:r>
        <w:t xml:space="preserve"> 5922 (2019) (</w:t>
      </w:r>
      <w:r>
        <w:rPr>
          <w:i/>
        </w:rPr>
        <w:t>2019 Report and Order</w:t>
      </w:r>
      <w:r>
        <w:t xml:space="preserve"> and </w:t>
      </w:r>
      <w:r>
        <w:rPr>
          <w:i/>
          <w:iCs/>
        </w:rPr>
        <w:t>2019</w:t>
      </w:r>
      <w:r>
        <w:t xml:space="preserve"> </w:t>
      </w:r>
      <w:r>
        <w:rPr>
          <w:i/>
        </w:rPr>
        <w:t>Further Notice</w:t>
      </w:r>
      <w:r>
        <w:t>).</w:t>
      </w:r>
    </w:p>
  </w:footnote>
  <w:footnote w:id="6">
    <w:p w:rsidR="00BA233D" w14:paraId="4082CFD1" w14:textId="77777777">
      <w:pPr>
        <w:pStyle w:val="FootnoteText"/>
      </w:pPr>
      <w:r>
        <w:rPr>
          <w:rStyle w:val="FootnoteReference"/>
        </w:rPr>
        <w:footnoteRef/>
      </w:r>
      <w:r>
        <w:t xml:space="preserve"> </w:t>
      </w:r>
      <w:r>
        <w:rPr>
          <w:i/>
        </w:rPr>
        <w:t>Id</w:t>
      </w:r>
      <w:r>
        <w:t>.</w:t>
      </w:r>
    </w:p>
  </w:footnote>
  <w:footnote w:id="7">
    <w:p w:rsidR="00BA233D" w14:paraId="756B4C2E" w14:textId="143BA64D">
      <w:pPr>
        <w:pStyle w:val="FootnoteText"/>
      </w:pPr>
      <w:r>
        <w:rPr>
          <w:rStyle w:val="FootnoteReference"/>
        </w:rPr>
        <w:footnoteRef/>
      </w:r>
      <w:r>
        <w:t xml:space="preserve"> </w:t>
      </w:r>
      <w:r>
        <w:rPr>
          <w:i/>
        </w:rPr>
        <w:t>2020 Report and Order</w:t>
      </w:r>
      <w:r>
        <w:t xml:space="preserve">, 35 FCC </w:t>
      </w:r>
      <w:r>
        <w:t>Rcd</w:t>
      </w:r>
      <w:r>
        <w:t xml:space="preserve"> at </w:t>
      </w:r>
      <w:r w:rsidR="003F690E">
        <w:t>1640-4</w:t>
      </w:r>
      <w:r w:rsidRPr="006755FD" w:rsidR="003F690E">
        <w:t>2</w:t>
      </w:r>
      <w:r w:rsidRPr="006755FD">
        <w:t>,</w:t>
      </w:r>
      <w:r>
        <w:t xml:space="preserve"> paras. 10-13</w:t>
      </w:r>
      <w:r w:rsidR="003F690E">
        <w:t>.</w:t>
      </w:r>
      <w:r>
        <w:t xml:space="preserve"> </w:t>
      </w:r>
    </w:p>
  </w:footnote>
  <w:footnote w:id="8">
    <w:p w:rsidR="00481821" w14:paraId="3D3E04DB" w14:textId="21C13525">
      <w:pPr>
        <w:pStyle w:val="FootnoteText"/>
      </w:pPr>
      <w:r>
        <w:rPr>
          <w:rStyle w:val="FootnoteReference"/>
        </w:rPr>
        <w:footnoteRef/>
      </w:r>
      <w:r>
        <w:t xml:space="preserve"> 47 U.S.C. § 535(a).</w:t>
      </w:r>
    </w:p>
  </w:footnote>
  <w:footnote w:id="9">
    <w:p w:rsidR="00BA233D" w14:paraId="305676F3" w14:textId="77777777">
      <w:pPr>
        <w:pStyle w:val="FootnoteText"/>
      </w:pPr>
      <w:r>
        <w:rPr>
          <w:rStyle w:val="FootnoteReference"/>
        </w:rPr>
        <w:footnoteRef/>
      </w:r>
      <w:r>
        <w:t xml:space="preserve"> Petition at 3.</w:t>
      </w:r>
    </w:p>
  </w:footnote>
  <w:footnote w:id="10">
    <w:p w:rsidR="00BA233D" w14:paraId="001E1409" w14:textId="77777777">
      <w:pPr>
        <w:pStyle w:val="FootnoteText"/>
      </w:pPr>
      <w:r>
        <w:rPr>
          <w:rStyle w:val="FootnoteReference"/>
        </w:rPr>
        <w:footnoteRef/>
      </w:r>
      <w:r>
        <w:t xml:space="preserve"> </w:t>
      </w:r>
      <w:r>
        <w:rPr>
          <w:i/>
        </w:rPr>
        <w:t>Id</w:t>
      </w:r>
      <w:r>
        <w:t>.</w:t>
      </w:r>
    </w:p>
  </w:footnote>
  <w:footnote w:id="11">
    <w:p w:rsidR="00BA233D" w14:paraId="1CF342E3" w14:textId="0CB98BDB">
      <w:pPr>
        <w:pStyle w:val="FootnoteText"/>
      </w:pPr>
      <w:r>
        <w:rPr>
          <w:rStyle w:val="FootnoteReference"/>
        </w:rPr>
        <w:footnoteRef/>
      </w:r>
      <w:r>
        <w:t xml:space="preserve"> </w:t>
      </w:r>
      <w:r w:rsidRPr="006755FD">
        <w:rPr>
          <w:i/>
          <w:iCs/>
        </w:rPr>
        <w:t>Id</w:t>
      </w:r>
      <w:r>
        <w:t>. at 4, 3.</w:t>
      </w:r>
    </w:p>
  </w:footnote>
  <w:footnote w:id="12">
    <w:p w:rsidR="00BA233D" w14:paraId="3B59B8FC" w14:textId="4536FE57">
      <w:pPr>
        <w:pStyle w:val="FootnoteText"/>
      </w:pPr>
      <w:r>
        <w:rPr>
          <w:rStyle w:val="FootnoteReference"/>
        </w:rPr>
        <w:footnoteRef/>
      </w:r>
      <w:r>
        <w:t xml:space="preserve"> </w:t>
      </w:r>
      <w:r w:rsidRPr="006755FD">
        <w:rPr>
          <w:i/>
          <w:iCs/>
        </w:rPr>
        <w:t>Id</w:t>
      </w:r>
      <w:r>
        <w:t>. at 5.</w:t>
      </w:r>
    </w:p>
  </w:footnote>
  <w:footnote w:id="13">
    <w:p w:rsidR="00BA233D" w14:paraId="7C1A7E73" w14:textId="77777777">
      <w:pPr>
        <w:pStyle w:val="FootnoteText"/>
      </w:pPr>
      <w:r>
        <w:rPr>
          <w:rStyle w:val="FootnoteReference"/>
          <w:sz w:val="20"/>
        </w:rPr>
        <w:footnoteRef/>
      </w:r>
      <w:r>
        <w:t xml:space="preserve"> </w:t>
      </w:r>
      <w:r>
        <w:rPr>
          <w:i/>
        </w:rPr>
        <w:t>See Electronic Filing of Documents in Rulemaking Proceedings</w:t>
      </w:r>
      <w:r>
        <w:t>, 63 FR 24121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233D" w14:paraId="5FEC2AA5" w14:textId="08CC574A">
    <w:pPr>
      <w:tabs>
        <w:tab w:val="center" w:pos="4680"/>
        <w:tab w:val="right" w:pos="9360"/>
      </w:tabs>
    </w:pPr>
    <w:r>
      <w:rPr>
        <w:b/>
      </w:rPr>
      <w:tab/>
      <w:t>Federal Communications Commission</w:t>
    </w:r>
    <w:r>
      <w:rPr>
        <w:b/>
      </w:rPr>
      <w:tab/>
      <w:t xml:space="preserve">DA </w:t>
    </w:r>
    <w:r w:rsidR="00497599">
      <w:rPr>
        <w:b/>
      </w:rPr>
      <w:t>20-949</w:t>
    </w:r>
  </w:p>
  <w:p w:rsidR="00BA233D" w14:paraId="022CEAD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BA233D" w14:paraId="1039E6F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233D" w14:paraId="3BC070AC" w14:textId="77777777">
    <w:pPr>
      <w:spacing w:before="40"/>
      <w:rPr>
        <w:rFonts w:ascii="Arial" w:hAnsi="Arial" w:cs="Arial"/>
        <w:b/>
        <w:color w:val="000000" w:themeColor="text1"/>
        <w:sz w:val="96"/>
      </w:rPr>
    </w:pPr>
    <w:r>
      <w:rPr>
        <w:noProof/>
        <w:color w:val="000000" w:themeColor="text1"/>
      </w:rPr>
      <w:drawing>
        <wp:anchor distT="0" distB="0" distL="114300" distR="114300" simplePos="0" relativeHeight="251662336" behindDoc="0" locked="0" layoutInCell="0" allowOverlap="1">
          <wp:simplePos x="0" y="0"/>
          <wp:positionH relativeFrom="margin">
            <wp:align>left</wp:align>
          </wp:positionH>
          <wp:positionV relativeFrom="paragraph">
            <wp:posOffset>149801</wp:posOffset>
          </wp:positionV>
          <wp:extent cx="530225" cy="530225"/>
          <wp:effectExtent l="0" t="0" r="3175" b="3175"/>
          <wp:wrapSquare wrapText="bothSides"/>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778106"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rPr>
        <w:rFonts w:ascii="Arial" w:hAnsi="Arial" w:cs="Arial"/>
        <w:b/>
        <w:color w:val="000000" w:themeColor="text1"/>
        <w:sz w:val="96"/>
      </w:rPr>
      <w:t>PUBLIC NOTICE</w:t>
    </w:r>
  </w:p>
  <w:p w:rsidR="00BA233D" w14:paraId="60AF5857" w14:textId="77777777">
    <w:pPr>
      <w:spacing w:before="40"/>
      <w:rPr>
        <w:rFonts w:ascii="Arial" w:hAnsi="Arial" w:cs="Arial"/>
        <w:b/>
        <w:color w:val="000000" w:themeColor="text1"/>
        <w:sz w:val="96"/>
      </w:rPr>
    </w:pPr>
    <w:r>
      <w:rPr>
        <w:noProof/>
        <w:color w:val="000000" w:themeColor="text1"/>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paragraph">
                <wp:posOffset>102368</wp:posOffset>
              </wp:positionV>
              <wp:extent cx="3108960" cy="640080"/>
              <wp:effectExtent l="0" t="0" r="0" b="762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A233D" w14:paraId="7269DB72" w14:textId="77777777">
                          <w:pPr>
                            <w:rPr>
                              <w:rFonts w:ascii="Arial" w:hAnsi="Arial"/>
                              <w:b/>
                            </w:rPr>
                          </w:pPr>
                          <w:r>
                            <w:rPr>
                              <w:rFonts w:ascii="Arial" w:hAnsi="Arial"/>
                              <w:b/>
                            </w:rPr>
                            <w:t>Federal Communications Commission</w:t>
                          </w:r>
                        </w:p>
                        <w:p w:rsidR="00BA233D" w14:paraId="6214A6F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A233D" w14:paraId="4D552F36"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8.05pt;margin-left:0;mso-height-percent:0;mso-height-relative:page;mso-position-horizontal:left;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067456">
                    <w:pPr>
                      <w:rPr>
                        <w:rFonts w:ascii="Arial" w:hAnsi="Arial"/>
                        <w:b/>
                      </w:rPr>
                    </w:pPr>
                    <w:r>
                      <w:rPr>
                        <w:rFonts w:ascii="Arial" w:hAnsi="Arial"/>
                        <w:b/>
                      </w:rPr>
                      <w:t>Federal Communications Commission</w:t>
                    </w:r>
                  </w:p>
                  <w:p w:rsidR="0006745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67456">
                    <w:pPr>
                      <w:rPr>
                        <w:rFonts w:ascii="Arial" w:hAnsi="Arial"/>
                        <w:sz w:val="24"/>
                      </w:rPr>
                    </w:pPr>
                    <w:r>
                      <w:rPr>
                        <w:rFonts w:ascii="Arial" w:hAnsi="Arial"/>
                        <w:b/>
                      </w:rPr>
                      <w:t>Washington, D.C. 20554</w:t>
                    </w:r>
                  </w:p>
                </w:txbxContent>
              </v:textbox>
              <w10:wrap anchorx="margin"/>
            </v:shape>
          </w:pict>
        </mc:Fallback>
      </mc:AlternateContent>
    </w:r>
    <w:r>
      <w:rPr>
        <w:noProof/>
        <w:color w:val="000000" w:themeColor="text1"/>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color w:val="000000" w:themeColor="text1"/>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A233D" w14:paraId="3A346CC1" w14:textId="77777777">
                          <w:pPr>
                            <w:spacing w:before="40"/>
                            <w:jc w:val="right"/>
                            <w:rPr>
                              <w:rFonts w:ascii="Arial" w:hAnsi="Arial"/>
                              <w:b/>
                              <w:sz w:val="16"/>
                            </w:rPr>
                          </w:pPr>
                          <w:r>
                            <w:rPr>
                              <w:rFonts w:ascii="Arial" w:hAnsi="Arial"/>
                              <w:b/>
                              <w:sz w:val="16"/>
                            </w:rPr>
                            <w:t>News Media Information 202 / 418-0500</w:t>
                          </w:r>
                        </w:p>
                        <w:p w:rsidR="00BA233D" w14:paraId="083CFA8A" w14:textId="77777777">
                          <w:pPr>
                            <w:jc w:val="right"/>
                            <w:rPr>
                              <w:rFonts w:ascii="Arial" w:hAnsi="Arial"/>
                              <w:b/>
                              <w:sz w:val="16"/>
                            </w:rPr>
                          </w:pPr>
                          <w:r>
                            <w:rPr>
                              <w:rFonts w:ascii="Arial" w:hAnsi="Arial"/>
                              <w:b/>
                              <w:sz w:val="16"/>
                            </w:rPr>
                            <w:t xml:space="preserve">Internet: </w:t>
                          </w:r>
                          <w:bookmarkStart w:id="2" w:name="_Hlt233824"/>
                          <w:hyperlink r:id="rId2" w:history="1">
                            <w:r>
                              <w:rPr>
                                <w:rStyle w:val="Hyperlink"/>
                                <w:rFonts w:ascii="Arial" w:hAnsi="Arial"/>
                                <w:b/>
                                <w:sz w:val="16"/>
                              </w:rPr>
                              <w:t>h</w:t>
                            </w:r>
                            <w:bookmarkEnd w:id="2"/>
                            <w:r>
                              <w:rPr>
                                <w:rStyle w:val="Hyperlink"/>
                                <w:rFonts w:ascii="Arial" w:hAnsi="Arial"/>
                                <w:b/>
                                <w:sz w:val="16"/>
                              </w:rPr>
                              <w:t>ttps://www.fcc.gov</w:t>
                            </w:r>
                          </w:hyperlink>
                        </w:p>
                        <w:p w:rsidR="00BA233D" w14:paraId="26642C1E"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067456">
                    <w:pPr>
                      <w:spacing w:before="40"/>
                      <w:jc w:val="right"/>
                      <w:rPr>
                        <w:rFonts w:ascii="Arial" w:hAnsi="Arial"/>
                        <w:b/>
                        <w:sz w:val="16"/>
                      </w:rPr>
                    </w:pPr>
                    <w:r>
                      <w:rPr>
                        <w:rFonts w:ascii="Arial" w:hAnsi="Arial"/>
                        <w:b/>
                        <w:sz w:val="16"/>
                      </w:rPr>
                      <w:t>News Media Information 202 / 418-0500</w:t>
                    </w:r>
                  </w:p>
                  <w:p w:rsidR="00067456">
                    <w:pPr>
                      <w:jc w:val="right"/>
                      <w:rPr>
                        <w:rFonts w:ascii="Arial" w:hAnsi="Arial"/>
                        <w:b/>
                        <w:sz w:val="16"/>
                      </w:rPr>
                    </w:pPr>
                    <w:r>
                      <w:rPr>
                        <w:rFonts w:ascii="Arial" w:hAnsi="Arial"/>
                        <w:b/>
                        <w:sz w:val="16"/>
                      </w:rPr>
                      <w:t xml:space="preserve">Internet: </w:t>
                    </w:r>
                    <w:bookmarkStart w:id="2" w:name="_Hlt233824"/>
                    <w:hyperlink r:id="rId2" w:history="1">
                      <w:r>
                        <w:rPr>
                          <w:rStyle w:val="Hyperlink"/>
                          <w:rFonts w:ascii="Arial" w:hAnsi="Arial"/>
                          <w:b/>
                          <w:sz w:val="16"/>
                        </w:rPr>
                        <w:t>h</w:t>
                      </w:r>
                      <w:bookmarkEnd w:id="2"/>
                      <w:r>
                        <w:rPr>
                          <w:rStyle w:val="Hyperlink"/>
                          <w:rFonts w:ascii="Arial" w:hAnsi="Arial"/>
                          <w:b/>
                          <w:sz w:val="16"/>
                        </w:rPr>
                        <w:t>ttps://www.fcc.gov</w:t>
                      </w:r>
                    </w:hyperlink>
                  </w:p>
                  <w:p w:rsidR="00067456">
                    <w:pPr>
                      <w:jc w:val="right"/>
                    </w:pPr>
                    <w:r>
                      <w:rPr>
                        <w:rFonts w:ascii="Arial" w:hAnsi="Arial"/>
                        <w:b/>
                        <w:sz w:val="16"/>
                      </w:rPr>
                      <w:t>TTY: 1-888-835-5322</w:t>
                    </w:r>
                  </w:p>
                </w:txbxContent>
              </v:textbox>
            </v:shape>
          </w:pict>
        </mc:Fallback>
      </mc:AlternateContent>
    </w:r>
  </w:p>
  <w:p w:rsidR="00BA233D" w14:paraId="41DCE3FD"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51EFF"/>
    <w:multiLevelType w:val="hybridMultilevel"/>
    <w:tmpl w:val="9C561D58"/>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07B7121"/>
    <w:multiLevelType w:val="hybridMultilevel"/>
    <w:tmpl w:val="8742557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49000C3"/>
    <w:multiLevelType w:val="hybridMultilevel"/>
    <w:tmpl w:val="B6C8BEC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4C15522"/>
    <w:multiLevelType w:val="hybridMultilevel"/>
    <w:tmpl w:val="80DAAB18"/>
    <w:lvl w:ilvl="0">
      <w:start w:val="1"/>
      <w:numFmt w:val="bullet"/>
      <w:lvlText w:val=""/>
      <w:lvlJc w:val="left"/>
      <w:pPr>
        <w:ind w:left="1080" w:hanging="360"/>
      </w:pPr>
      <w:rPr>
        <w:rFonts w:ascii="Wingdings" w:hAnsi="Wingdings" w:hint="default"/>
      </w:rPr>
    </w:lvl>
    <w:lvl w:ilvl="1">
      <w:start w:val="1"/>
      <w:numFmt w:val="bullet"/>
      <w:lvlText w:val=""/>
      <w:lvlJc w:val="left"/>
      <w:pPr>
        <w:ind w:left="1800" w:hanging="360"/>
      </w:pPr>
      <w:rPr>
        <w:rFonts w:ascii="Wingdings" w:hAnsi="Wingding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2927E20"/>
    <w:multiLevelType w:val="hybridMultilevel"/>
    <w:tmpl w:val="10ECB0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1">
    <w:nsid w:val="7DF44E2B"/>
    <w:multiLevelType w:val="hybridMultilevel"/>
    <w:tmpl w:val="87DED2B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8"/>
  </w:num>
  <w:num w:numId="5">
    <w:abstractNumId w:val="6"/>
  </w:num>
  <w:num w:numId="6">
    <w:abstractNumId w:val="1"/>
  </w:num>
  <w:num w:numId="7">
    <w:abstractNumId w:val="4"/>
  </w:num>
  <w:num w:numId="8">
    <w:abstractNumId w:val="11"/>
  </w:num>
  <w:num w:numId="9">
    <w:abstractNumId w:val="3"/>
  </w:num>
  <w:num w:numId="10">
    <w:abstractNumId w:val="2"/>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3D"/>
    <w:rsid w:val="00067456"/>
    <w:rsid w:val="0009666D"/>
    <w:rsid w:val="00103D40"/>
    <w:rsid w:val="001046BA"/>
    <w:rsid w:val="001D2DFA"/>
    <w:rsid w:val="003E3039"/>
    <w:rsid w:val="003F690E"/>
    <w:rsid w:val="00481821"/>
    <w:rsid w:val="00497599"/>
    <w:rsid w:val="004E5501"/>
    <w:rsid w:val="006755FD"/>
    <w:rsid w:val="008E1C6C"/>
    <w:rsid w:val="009249FC"/>
    <w:rsid w:val="00A74705"/>
    <w:rsid w:val="00AF5C27"/>
    <w:rsid w:val="00BA233D"/>
    <w:rsid w:val="00CF2896"/>
    <w:rsid w:val="00ED02B9"/>
    <w:rsid w:val="00FC027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A15C105-5B07-4A09-B099-126C2420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napToGrid w:val="0"/>
      <w:kern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napToGrid w:val="0"/>
      <w:kern w:val="28"/>
    </w:rPr>
  </w:style>
  <w:style w:type="character" w:customStyle="1" w:styleId="ParaNumChar1">
    <w:name w:val="ParaNum Char1"/>
    <w:link w:val="ParaNum"/>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fjallfoss.fcc.gov/ecfs2/"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