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DB06A4">
        <w:rPr>
          <w:szCs w:val="22"/>
        </w:rPr>
        <w:t xml:space="preserve"> </w:t>
      </w:r>
      <w:r w:rsidR="00A7569F">
        <w:rPr>
          <w:szCs w:val="22"/>
        </w:rPr>
        <w:t xml:space="preserve">  </w:t>
      </w:r>
    </w:p>
    <w:p w:rsidR="00E7033D">
      <w:pPr>
        <w:jc w:val="right"/>
        <w:rPr>
          <w:b/>
          <w:szCs w:val="22"/>
        </w:rPr>
      </w:pPr>
      <w:bookmarkStart w:id="1" w:name="_Hlk26280526"/>
      <w:r>
        <w:rPr>
          <w:b/>
          <w:szCs w:val="22"/>
        </w:rPr>
        <w:t>DA 20-</w:t>
      </w:r>
      <w:r w:rsidR="00965E90">
        <w:rPr>
          <w:b/>
          <w:szCs w:val="22"/>
        </w:rPr>
        <w:t>954</w:t>
      </w:r>
      <w:bookmarkStart w:id="2" w:name="_GoBack"/>
      <w:bookmarkEnd w:id="2"/>
    </w:p>
    <w:p w:rsidR="00E7033D">
      <w:pPr>
        <w:spacing w:before="60"/>
        <w:jc w:val="right"/>
        <w:rPr>
          <w:b/>
          <w:szCs w:val="22"/>
        </w:rPr>
      </w:pPr>
      <w:r>
        <w:rPr>
          <w:b/>
          <w:szCs w:val="22"/>
        </w:rPr>
        <w:t>August</w:t>
      </w:r>
      <w:r w:rsidR="00EE37C8">
        <w:rPr>
          <w:b/>
          <w:szCs w:val="22"/>
        </w:rPr>
        <w:t xml:space="preserve"> </w:t>
      </w:r>
      <w:r w:rsidR="00A66627">
        <w:rPr>
          <w:b/>
          <w:szCs w:val="22"/>
        </w:rPr>
        <w:t>26</w:t>
      </w:r>
      <w:r w:rsidR="008C294A">
        <w:rPr>
          <w:b/>
          <w:szCs w:val="22"/>
        </w:rPr>
        <w:t>, 2020</w:t>
      </w:r>
    </w:p>
    <w:p w:rsidR="00E7033D">
      <w:pPr>
        <w:tabs>
          <w:tab w:val="left" w:pos="5900"/>
        </w:tabs>
        <w:rPr>
          <w:szCs w:val="22"/>
        </w:rPr>
      </w:pPr>
      <w:r>
        <w:rPr>
          <w:szCs w:val="22"/>
        </w:rPr>
        <w:tab/>
      </w:r>
    </w:p>
    <w:p w:rsidR="00F53764" w:rsidP="002B652B">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sidR="00D57EF3">
        <w:rPr>
          <w:b/>
          <w:bCs/>
          <w:szCs w:val="22"/>
        </w:rPr>
        <w:t xml:space="preserve">ACQUISITION </w:t>
      </w:r>
      <w:r w:rsidR="00BC7B5E">
        <w:rPr>
          <w:b/>
          <w:bCs/>
          <w:szCs w:val="22"/>
        </w:rPr>
        <w:t>OF CERTAIN ASSETS OF CRYSTAL AUTOMATION SYSTEMS, INC. D/B/A CASAIR</w:t>
      </w:r>
      <w:r w:rsidR="00D57EF3">
        <w:rPr>
          <w:b/>
          <w:bCs/>
          <w:szCs w:val="22"/>
        </w:rPr>
        <w:t xml:space="preserve"> </w:t>
      </w:r>
    </w:p>
    <w:p w:rsidR="00E7033D" w:rsidP="002B652B">
      <w:pPr>
        <w:jc w:val="center"/>
        <w:rPr>
          <w:b/>
          <w:bCs/>
          <w:szCs w:val="22"/>
        </w:rPr>
      </w:pPr>
      <w:r>
        <w:rPr>
          <w:b/>
          <w:bCs/>
          <w:szCs w:val="22"/>
        </w:rPr>
        <w:t>BY</w:t>
      </w:r>
      <w:r w:rsidR="00BC7B5E">
        <w:rPr>
          <w:b/>
          <w:bCs/>
          <w:szCs w:val="22"/>
        </w:rPr>
        <w:t xml:space="preserve"> POINT BROADBAND FIBER HOLDING, LLC </w:t>
      </w:r>
      <w:bookmarkEnd w:id="3"/>
      <w:bookmarkEnd w:id="4"/>
      <w:bookmarkEnd w:id="5"/>
    </w:p>
    <w:p w:rsidR="002B652B" w:rsidP="002B652B">
      <w:pPr>
        <w:jc w:val="center"/>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EE37C8">
        <w:rPr>
          <w:b/>
          <w:szCs w:val="22"/>
        </w:rPr>
        <w:t>2</w:t>
      </w:r>
      <w:r w:rsidR="00BC7B5E">
        <w:rPr>
          <w:b/>
          <w:szCs w:val="22"/>
        </w:rPr>
        <w:t>61</w:t>
      </w:r>
    </w:p>
    <w:p w:rsidR="00E7033D">
      <w:pPr>
        <w:jc w:val="center"/>
        <w:rPr>
          <w:szCs w:val="22"/>
        </w:rPr>
      </w:pPr>
    </w:p>
    <w:p w:rsidR="00E7033D">
      <w:pPr>
        <w:pStyle w:val="NoSpacing"/>
        <w:rPr>
          <w:b/>
          <w:szCs w:val="22"/>
        </w:rPr>
      </w:pPr>
      <w:r>
        <w:rPr>
          <w:b/>
          <w:szCs w:val="22"/>
        </w:rPr>
        <w:t xml:space="preserve">Comments Due:  </w:t>
      </w:r>
      <w:r w:rsidR="00A66627">
        <w:rPr>
          <w:b/>
          <w:szCs w:val="22"/>
        </w:rPr>
        <w:t>September 9</w:t>
      </w:r>
      <w:r>
        <w:rPr>
          <w:b/>
          <w:szCs w:val="22"/>
        </w:rPr>
        <w:t>, 2020</w:t>
      </w:r>
    </w:p>
    <w:p w:rsidR="00E7033D">
      <w:pPr>
        <w:pStyle w:val="NoSpacing"/>
        <w:rPr>
          <w:b/>
          <w:szCs w:val="22"/>
        </w:rPr>
      </w:pPr>
      <w:r>
        <w:rPr>
          <w:b/>
          <w:szCs w:val="22"/>
        </w:rPr>
        <w:t xml:space="preserve">Reply Comments Due:  </w:t>
      </w:r>
      <w:r w:rsidR="004F6F64">
        <w:rPr>
          <w:b/>
          <w:szCs w:val="22"/>
        </w:rPr>
        <w:t xml:space="preserve">September </w:t>
      </w:r>
      <w:r w:rsidR="00A66627">
        <w:rPr>
          <w:b/>
          <w:szCs w:val="22"/>
        </w:rPr>
        <w:t>16,</w:t>
      </w:r>
      <w:r>
        <w:rPr>
          <w:b/>
          <w:szCs w:val="22"/>
        </w:rPr>
        <w:t xml:space="preserve"> 2020</w:t>
      </w:r>
    </w:p>
    <w:bookmarkEnd w:id="1"/>
    <w:p w:rsidR="00760269" w:rsidRPr="00A92C9E" w:rsidP="00A92C9E">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3C32FF" w:rsidRPr="002C3170" w:rsidP="00BC7B5E">
      <w:pPr>
        <w:autoSpaceDE w:val="0"/>
        <w:autoSpaceDN w:val="0"/>
        <w:adjustRightInd w:val="0"/>
        <w:ind w:firstLine="720"/>
        <w:rPr>
          <w:szCs w:val="22"/>
        </w:rPr>
      </w:pPr>
      <w:r w:rsidRPr="002C3170">
        <w:rPr>
          <w:szCs w:val="22"/>
        </w:rPr>
        <w:t>By this Public Notice, the Wireline Competition Bureau seeks comment from interested parties on an application filed by</w:t>
      </w:r>
      <w:r w:rsidRPr="002C3170" w:rsidR="00760269">
        <w:rPr>
          <w:szCs w:val="22"/>
        </w:rPr>
        <w:t xml:space="preserve"> </w:t>
      </w:r>
      <w:r w:rsidRPr="002C3170" w:rsidR="00BC7B5E">
        <w:rPr>
          <w:szCs w:val="22"/>
        </w:rPr>
        <w:t xml:space="preserve">Crystal Automation Systems, Inc. d/b/a Casair (Casair) and Point Broadband Fiber Holding, LLC (PBFH) </w:t>
      </w:r>
      <w:r w:rsidRPr="002C3170" w:rsidR="00EE37C8">
        <w:rPr>
          <w:szCs w:val="22"/>
        </w:rPr>
        <w:t xml:space="preserve">(collectively, Applicants), </w:t>
      </w:r>
      <w:r w:rsidRPr="002C3170">
        <w:rPr>
          <w:szCs w:val="22"/>
        </w:rPr>
        <w:t xml:space="preserve">pursuant to section 214 of the Communications Act of 1934, as amended, and sections 63.03-04 of the Commission’s rules, requesting consent to </w:t>
      </w:r>
      <w:r w:rsidR="00D57EF3">
        <w:rPr>
          <w:szCs w:val="22"/>
        </w:rPr>
        <w:t>transfer</w:t>
      </w:r>
      <w:r w:rsidRPr="002C3170" w:rsidR="00BC7B5E">
        <w:rPr>
          <w:szCs w:val="22"/>
        </w:rPr>
        <w:t xml:space="preserve"> certain </w:t>
      </w:r>
      <w:r w:rsidR="0078498E">
        <w:rPr>
          <w:szCs w:val="22"/>
        </w:rPr>
        <w:t xml:space="preserve">assets </w:t>
      </w:r>
      <w:r w:rsidR="00D57EF3">
        <w:rPr>
          <w:szCs w:val="22"/>
        </w:rPr>
        <w:t xml:space="preserve">of </w:t>
      </w:r>
      <w:r w:rsidRPr="002C3170" w:rsidR="00BC7B5E">
        <w:rPr>
          <w:szCs w:val="22"/>
        </w:rPr>
        <w:t>Cas</w:t>
      </w:r>
      <w:r w:rsidR="00D57EF3">
        <w:rPr>
          <w:szCs w:val="22"/>
        </w:rPr>
        <w:t>air to PBFH</w:t>
      </w:r>
      <w:r w:rsidRPr="002C3170" w:rsidR="00BC7B5E">
        <w:rPr>
          <w:szCs w:val="22"/>
        </w:rPr>
        <w:t>.</w:t>
      </w:r>
      <w:r>
        <w:rPr>
          <w:rStyle w:val="FootnoteReference"/>
          <w:szCs w:val="22"/>
        </w:rPr>
        <w:footnoteReference w:id="3"/>
      </w:r>
      <w:r w:rsidRPr="002C3170" w:rsidR="0068572D">
        <w:rPr>
          <w:szCs w:val="22"/>
        </w:rPr>
        <w:t xml:space="preserve"> </w:t>
      </w:r>
    </w:p>
    <w:p w:rsidR="004010DA" w:rsidRPr="002C3170" w:rsidP="00A8361F">
      <w:pPr>
        <w:autoSpaceDE w:val="0"/>
        <w:autoSpaceDN w:val="0"/>
        <w:adjustRightInd w:val="0"/>
        <w:rPr>
          <w:szCs w:val="22"/>
        </w:rPr>
      </w:pPr>
    </w:p>
    <w:p w:rsidR="007002E5" w:rsidRPr="002C3170" w:rsidP="007002E5">
      <w:pPr>
        <w:autoSpaceDE w:val="0"/>
        <w:autoSpaceDN w:val="0"/>
        <w:adjustRightInd w:val="0"/>
        <w:ind w:firstLine="720"/>
        <w:rPr>
          <w:szCs w:val="22"/>
        </w:rPr>
      </w:pPr>
      <w:r w:rsidRPr="002C3170">
        <w:rPr>
          <w:szCs w:val="22"/>
        </w:rPr>
        <w:t>Casair</w:t>
      </w:r>
      <w:r w:rsidR="00D57EF3">
        <w:rPr>
          <w:szCs w:val="22"/>
        </w:rPr>
        <w:t>,</w:t>
      </w:r>
      <w:r w:rsidRPr="002C3170">
        <w:rPr>
          <w:szCs w:val="22"/>
        </w:rPr>
        <w:t xml:space="preserve"> a Michigan corporation</w:t>
      </w:r>
      <w:r>
        <w:rPr>
          <w:szCs w:val="22"/>
        </w:rPr>
        <w:t xml:space="preserve"> owned by Steven Meinhardt</w:t>
      </w:r>
      <w:r w:rsidR="00D57EF3">
        <w:rPr>
          <w:szCs w:val="22"/>
        </w:rPr>
        <w:t>, is certified as a competitive local exchange carrier (LEC) an</w:t>
      </w:r>
      <w:r>
        <w:rPr>
          <w:szCs w:val="22"/>
        </w:rPr>
        <w:t>d</w:t>
      </w:r>
      <w:r w:rsidR="00D57EF3">
        <w:rPr>
          <w:szCs w:val="22"/>
        </w:rPr>
        <w:t xml:space="preserve"> Eligible </w:t>
      </w:r>
      <w:r>
        <w:rPr>
          <w:szCs w:val="22"/>
        </w:rPr>
        <w:t>T</w:t>
      </w:r>
      <w:r w:rsidR="00D57EF3">
        <w:rPr>
          <w:szCs w:val="22"/>
        </w:rPr>
        <w:t xml:space="preserve">elecommunications Carrier (ETC) </w:t>
      </w:r>
      <w:r>
        <w:rPr>
          <w:szCs w:val="22"/>
        </w:rPr>
        <w:t>in Michigan.</w:t>
      </w:r>
      <w:r>
        <w:rPr>
          <w:rStyle w:val="FootnoteReference"/>
          <w:szCs w:val="22"/>
        </w:rPr>
        <w:footnoteReference w:id="4"/>
      </w:r>
      <w:r w:rsidRPr="002C3170">
        <w:rPr>
          <w:szCs w:val="22"/>
        </w:rPr>
        <w:t xml:space="preserve">  </w:t>
      </w:r>
      <w:r>
        <w:rPr>
          <w:szCs w:val="22"/>
        </w:rPr>
        <w:t>PBFH, a Delaware limited liability company, is also certified as a competitive LEC and ETC in Michigan.</w:t>
      </w:r>
      <w:r w:rsidRPr="007002E5">
        <w:rPr>
          <w:szCs w:val="22"/>
        </w:rPr>
        <w:t xml:space="preserve"> </w:t>
      </w:r>
      <w:r>
        <w:rPr>
          <w:szCs w:val="22"/>
        </w:rPr>
        <w:t>PBFH is owned 100% by Point Broadband, LLC (Point), a Georgia limited liability company.  Point, in turn, is owned 2</w:t>
      </w:r>
      <w:r w:rsidR="0078498E">
        <w:rPr>
          <w:szCs w:val="22"/>
        </w:rPr>
        <w:t>2</w:t>
      </w:r>
      <w:r>
        <w:rPr>
          <w:szCs w:val="22"/>
        </w:rPr>
        <w:t>% by ITC Capital Partners, LLC</w:t>
      </w:r>
      <w:r w:rsidR="0078498E">
        <w:rPr>
          <w:szCs w:val="22"/>
        </w:rPr>
        <w:t xml:space="preserve"> (ITC)</w:t>
      </w:r>
      <w:r>
        <w:rPr>
          <w:szCs w:val="22"/>
        </w:rPr>
        <w:t>, a Delaware limited liability company, and 26.2% by Stephens Broadband, LLC</w:t>
      </w:r>
      <w:r w:rsidR="0078498E">
        <w:rPr>
          <w:szCs w:val="22"/>
        </w:rPr>
        <w:t xml:space="preserve"> (Stephens Broadband)</w:t>
      </w:r>
      <w:r>
        <w:rPr>
          <w:szCs w:val="22"/>
        </w:rPr>
        <w:t xml:space="preserve">, an Arkansas limited liability company.  </w:t>
      </w:r>
      <w:r w:rsidR="0078498E">
        <w:rPr>
          <w:szCs w:val="22"/>
        </w:rPr>
        <w:t>Applicants state that ITC is owned by 76 members, none of whom have more than a 5.1% interest in PBFH, and Stephens Broadband is owned by 125 individual members, none of whom hold more than a 5.352% interest in PBFH.</w:t>
      </w:r>
      <w:r>
        <w:rPr>
          <w:rStyle w:val="FootnoteReference"/>
          <w:szCs w:val="22"/>
        </w:rPr>
        <w:footnoteReference w:id="5"/>
      </w:r>
      <w:r w:rsidR="0078498E">
        <w:rPr>
          <w:szCs w:val="22"/>
        </w:rPr>
        <w:t xml:space="preserve">   </w:t>
      </w:r>
    </w:p>
    <w:p w:rsidR="0078498E" w:rsidP="004010DA">
      <w:pPr>
        <w:autoSpaceDE w:val="0"/>
        <w:autoSpaceDN w:val="0"/>
        <w:adjustRightInd w:val="0"/>
        <w:ind w:firstLine="720"/>
        <w:rPr>
          <w:szCs w:val="22"/>
        </w:rPr>
      </w:pPr>
      <w:r>
        <w:rPr>
          <w:szCs w:val="22"/>
        </w:rPr>
        <w:t xml:space="preserve">  </w:t>
      </w:r>
    </w:p>
    <w:p w:rsidR="001C752F" w:rsidP="003C1BE3">
      <w:pPr>
        <w:autoSpaceDE w:val="0"/>
        <w:autoSpaceDN w:val="0"/>
        <w:adjustRightInd w:val="0"/>
        <w:ind w:firstLine="720"/>
        <w:rPr>
          <w:szCs w:val="22"/>
        </w:rPr>
      </w:pPr>
      <w:r>
        <w:rPr>
          <w:szCs w:val="22"/>
        </w:rPr>
        <w:t>Pursuant to the terms of the proposed transaction, PBFH will acquire certain asset</w:t>
      </w:r>
      <w:r w:rsidR="00A53435">
        <w:rPr>
          <w:szCs w:val="22"/>
        </w:rPr>
        <w:t>s from Casair</w:t>
      </w:r>
      <w:r>
        <w:rPr>
          <w:szCs w:val="22"/>
        </w:rPr>
        <w:t>, inc</w:t>
      </w:r>
      <w:r w:rsidR="003C1BE3">
        <w:rPr>
          <w:szCs w:val="22"/>
        </w:rPr>
        <w:t>l</w:t>
      </w:r>
      <w:r>
        <w:rPr>
          <w:szCs w:val="22"/>
        </w:rPr>
        <w:t>uding fibe</w:t>
      </w:r>
      <w:r w:rsidR="003C1BE3">
        <w:rPr>
          <w:szCs w:val="22"/>
        </w:rPr>
        <w:t>r in</w:t>
      </w:r>
      <w:r>
        <w:rPr>
          <w:szCs w:val="22"/>
        </w:rPr>
        <w:t>frastructure and customer service agreements</w:t>
      </w:r>
      <w:r w:rsidR="00A53435">
        <w:rPr>
          <w:szCs w:val="22"/>
        </w:rPr>
        <w:t>,</w:t>
      </w:r>
      <w:r>
        <w:rPr>
          <w:szCs w:val="22"/>
        </w:rPr>
        <w:t xml:space="preserve"> to provide broadband service</w:t>
      </w:r>
      <w:r w:rsidR="00A66627">
        <w:rPr>
          <w:szCs w:val="22"/>
        </w:rPr>
        <w:t xml:space="preserve"> </w:t>
      </w:r>
      <w:r w:rsidR="003C1BE3">
        <w:rPr>
          <w:szCs w:val="22"/>
        </w:rPr>
        <w:t xml:space="preserve">in </w:t>
      </w:r>
      <w:r w:rsidR="00A66627">
        <w:rPr>
          <w:szCs w:val="22"/>
        </w:rPr>
        <w:t xml:space="preserve">west </w:t>
      </w:r>
      <w:r w:rsidR="003C1BE3">
        <w:rPr>
          <w:szCs w:val="22"/>
        </w:rPr>
        <w:t>central Michigan.</w:t>
      </w:r>
      <w:r w:rsidR="00167304">
        <w:rPr>
          <w:szCs w:val="22"/>
        </w:rPr>
        <w:t xml:space="preserve"> </w:t>
      </w:r>
      <w:r w:rsidR="003C1BE3">
        <w:rPr>
          <w:szCs w:val="22"/>
        </w:rPr>
        <w:t xml:space="preserve"> </w:t>
      </w:r>
      <w:r>
        <w:rPr>
          <w:szCs w:val="22"/>
        </w:rPr>
        <w:t>Applicants state that PBFH plans to offer competitive LEC services following the closing of the transaction.</w:t>
      </w:r>
    </w:p>
    <w:p w:rsidR="003C1BE3" w:rsidP="003C1BE3">
      <w:pPr>
        <w:autoSpaceDE w:val="0"/>
        <w:autoSpaceDN w:val="0"/>
        <w:adjustRightInd w:val="0"/>
        <w:ind w:firstLine="720"/>
        <w:rPr>
          <w:bCs/>
          <w:szCs w:val="22"/>
        </w:rPr>
      </w:pPr>
      <w:r>
        <w:rPr>
          <w:szCs w:val="22"/>
        </w:rPr>
        <w:t xml:space="preserve"> </w:t>
      </w:r>
    </w:p>
    <w:p w:rsidR="000D1DD9" w:rsidRPr="00310362" w:rsidP="00310362">
      <w:pPr>
        <w:autoSpaceDE w:val="0"/>
        <w:autoSpaceDN w:val="0"/>
        <w:adjustRightInd w:val="0"/>
        <w:ind w:firstLine="720"/>
        <w:rPr>
          <w:szCs w:val="22"/>
        </w:rPr>
      </w:pPr>
      <w:r>
        <w:rPr>
          <w:bCs/>
          <w:szCs w:val="22"/>
        </w:rPr>
        <w:t>Applicants request streamlined treatment of the proposed transaction under the Commission’s rules and assert that a grant of the application would serve the public interest, convenience, and necessity.  We accept this application for filing under section 63.03(b)(</w:t>
      </w:r>
      <w:r w:rsidR="00F138C9">
        <w:rPr>
          <w:bCs/>
          <w:szCs w:val="22"/>
        </w:rPr>
        <w:t>2</w:t>
      </w:r>
      <w:r>
        <w:rPr>
          <w:bCs/>
          <w:szCs w:val="22"/>
        </w:rPr>
        <w:t>)(i) of the Commission’s rules.</w:t>
      </w:r>
      <w:r>
        <w:rPr>
          <w:bCs/>
          <w:szCs w:val="22"/>
          <w:vertAlign w:val="superscript"/>
        </w:rPr>
        <w:footnoteReference w:id="6"/>
      </w:r>
      <w:r>
        <w:rPr>
          <w:bCs/>
          <w:szCs w:val="22"/>
        </w:rPr>
        <w:t xml:space="preserve"> </w:t>
      </w:r>
    </w:p>
    <w:p w:rsidR="00E7033D">
      <w:pPr>
        <w:autoSpaceDE w:val="0"/>
        <w:autoSpaceDN w:val="0"/>
        <w:adjustRightInd w:val="0"/>
        <w:rPr>
          <w:b/>
          <w:bCs/>
          <w:szCs w:val="22"/>
        </w:rPr>
      </w:pPr>
    </w:p>
    <w:p w:rsidR="00F7753B" w:rsidP="00EB2E3F">
      <w:pPr>
        <w:ind w:left="720"/>
        <w:rPr>
          <w:szCs w:val="22"/>
        </w:rPr>
      </w:pPr>
      <w:r>
        <w:rPr>
          <w:szCs w:val="22"/>
        </w:rPr>
        <w:t xml:space="preserve">Domestic Section 214 Application Filed for the </w:t>
      </w:r>
      <w:r w:rsidR="00F138C9">
        <w:rPr>
          <w:szCs w:val="22"/>
        </w:rPr>
        <w:t>Acquisition</w:t>
      </w:r>
      <w:r w:rsidR="003C7C8F">
        <w:rPr>
          <w:szCs w:val="22"/>
        </w:rPr>
        <w:t xml:space="preserve"> of Certain Assets of </w:t>
      </w:r>
    </w:p>
    <w:p w:rsidR="00E7033D" w:rsidP="00EB2E3F">
      <w:pPr>
        <w:ind w:left="720"/>
        <w:rPr>
          <w:bCs/>
          <w:szCs w:val="22"/>
        </w:rPr>
      </w:pPr>
      <w:r>
        <w:rPr>
          <w:szCs w:val="22"/>
        </w:rPr>
        <w:t xml:space="preserve">Crystal Automation Systems, Inc. d/b/a Casair </w:t>
      </w:r>
      <w:r w:rsidR="00F138C9">
        <w:rPr>
          <w:szCs w:val="22"/>
        </w:rPr>
        <w:t>by</w:t>
      </w:r>
      <w:r>
        <w:rPr>
          <w:szCs w:val="22"/>
        </w:rPr>
        <w:t xml:space="preserve"> Point Broadband Fiber Holding, LLC</w:t>
      </w:r>
      <w:r w:rsidR="008C294A">
        <w:rPr>
          <w:szCs w:val="22"/>
        </w:rPr>
        <w:t>, WC Docket No. 20-</w:t>
      </w:r>
      <w:r w:rsidR="00813C6D">
        <w:rPr>
          <w:szCs w:val="22"/>
        </w:rPr>
        <w:t>2</w:t>
      </w:r>
      <w:r>
        <w:rPr>
          <w:szCs w:val="22"/>
        </w:rPr>
        <w:t>61</w:t>
      </w:r>
      <w:r w:rsidR="008C294A">
        <w:rPr>
          <w:szCs w:val="22"/>
        </w:rPr>
        <w:t xml:space="preserve"> (filed </w:t>
      </w:r>
      <w:r w:rsidR="005D0AC3">
        <w:rPr>
          <w:szCs w:val="22"/>
        </w:rPr>
        <w:t>Aug</w:t>
      </w:r>
      <w:r w:rsidR="003C1BE3">
        <w:rPr>
          <w:szCs w:val="22"/>
        </w:rPr>
        <w:t xml:space="preserve">. </w:t>
      </w:r>
      <w:r w:rsidR="005D0AC3">
        <w:rPr>
          <w:szCs w:val="22"/>
        </w:rPr>
        <w:t>1</w:t>
      </w:r>
      <w:r>
        <w:rPr>
          <w:szCs w:val="22"/>
        </w:rPr>
        <w:t>1</w:t>
      </w:r>
      <w:r w:rsidR="008C294A">
        <w:rPr>
          <w:szCs w:val="22"/>
        </w:rPr>
        <w:t>, 2020).</w:t>
      </w:r>
    </w:p>
    <w:p w:rsidR="00E7033D">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A66627">
        <w:rPr>
          <w:b/>
          <w:szCs w:val="22"/>
        </w:rPr>
        <w:t>September 9</w:t>
      </w:r>
      <w:r>
        <w:rPr>
          <w:b/>
          <w:szCs w:val="22"/>
        </w:rPr>
        <w:t>, 2020</w:t>
      </w:r>
      <w:r>
        <w:rPr>
          <w:szCs w:val="22"/>
        </w:rPr>
        <w:t xml:space="preserve">, and reply comments </w:t>
      </w:r>
      <w:r>
        <w:rPr>
          <w:b/>
          <w:szCs w:val="22"/>
        </w:rPr>
        <w:t xml:space="preserve">on or before </w:t>
      </w:r>
      <w:r w:rsidR="004F6F64">
        <w:rPr>
          <w:b/>
          <w:bCs/>
          <w:szCs w:val="22"/>
        </w:rPr>
        <w:t xml:space="preserve">September </w:t>
      </w:r>
      <w:r w:rsidR="00A66627">
        <w:rPr>
          <w:b/>
          <w:bCs/>
          <w:szCs w:val="22"/>
        </w:rPr>
        <w:t>16,</w:t>
      </w:r>
      <w:r>
        <w:rPr>
          <w:b/>
          <w:szCs w:val="22"/>
        </w:rPr>
        <w:t xml:space="preserve">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pPr>
        <w:autoSpaceDE w:val="0"/>
        <w:autoSpaceDN w:val="0"/>
        <w:adjustRightInd w:val="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pPr>
        <w:autoSpaceDE w:val="0"/>
        <w:autoSpaceDN w:val="0"/>
        <w:adjustRightInd w:val="0"/>
        <w:ind w:firstLine="720"/>
        <w:rPr>
          <w:b/>
          <w:szCs w:val="22"/>
        </w:rPr>
      </w:pPr>
    </w:p>
    <w:p w:rsidR="00E7033D">
      <w:pPr>
        <w:autoSpaceDE w:val="0"/>
        <w:autoSpaceDN w:val="0"/>
        <w:adjustRightInd w:val="0"/>
        <w:ind w:firstLine="720"/>
        <w:rPr>
          <w:b/>
          <w:szCs w:val="22"/>
        </w:rPr>
      </w:pPr>
      <w:r>
        <w:rPr>
          <w:b/>
          <w:szCs w:val="22"/>
        </w:rPr>
        <w:t>In addition, e-mail one copy of each pleading to each of the following:</w:t>
      </w:r>
    </w:p>
    <w:p w:rsidR="00E7033D">
      <w:pPr>
        <w:autoSpaceDE w:val="0"/>
        <w:autoSpaceDN w:val="0"/>
        <w:adjustRightInd w:val="0"/>
        <w:ind w:firstLine="720"/>
        <w:rPr>
          <w:b/>
          <w:szCs w:val="22"/>
        </w:rPr>
      </w:pPr>
    </w:p>
    <w:p w:rsidR="00E7033D">
      <w:pPr>
        <w:numPr>
          <w:ilvl w:val="0"/>
          <w:numId w:val="18"/>
        </w:numPr>
        <w:autoSpaceDE w:val="0"/>
        <w:autoSpaceDN w:val="0"/>
        <w:adjustRightInd w:val="0"/>
        <w:rPr>
          <w:szCs w:val="22"/>
        </w:rPr>
      </w:pPr>
      <w:r>
        <w:rPr>
          <w:szCs w:val="22"/>
        </w:rPr>
        <w:t xml:space="preserve">Tracey Wilson, Competition Policy Division, Wireline Competition Bureau,  </w:t>
      </w:r>
      <w:hyperlink r:id="rId8" w:history="1">
        <w:r>
          <w:rPr>
            <w:rStyle w:val="Hyperlink"/>
            <w:szCs w:val="22"/>
          </w:rPr>
          <w:t>tracey.wilson@fcc.gov</w:t>
        </w:r>
      </w:hyperlink>
      <w:r>
        <w:rPr>
          <w:szCs w:val="22"/>
        </w:rPr>
        <w:t>;</w:t>
      </w:r>
    </w:p>
    <w:p w:rsidR="00E7033D">
      <w:pPr>
        <w:autoSpaceDE w:val="0"/>
        <w:autoSpaceDN w:val="0"/>
        <w:adjustRightInd w:val="0"/>
        <w:ind w:firstLine="720"/>
        <w:rPr>
          <w:szCs w:val="22"/>
        </w:rPr>
      </w:pPr>
    </w:p>
    <w:p w:rsidR="005D0AC3" w:rsidRPr="00F138C9" w:rsidP="00F138C9">
      <w:pPr>
        <w:numPr>
          <w:ilvl w:val="0"/>
          <w:numId w:val="18"/>
        </w:numPr>
        <w:autoSpaceDE w:val="0"/>
        <w:autoSpaceDN w:val="0"/>
        <w:adjustRightInd w:val="0"/>
        <w:rPr>
          <w:rStyle w:val="Hyperlink"/>
          <w:color w:val="auto"/>
          <w:szCs w:val="22"/>
          <w:u w:val="none"/>
        </w:rPr>
      </w:pPr>
      <w:r>
        <w:rPr>
          <w:szCs w:val="22"/>
        </w:rPr>
        <w:t>Gregory Kwan</w:t>
      </w:r>
      <w:r w:rsidR="008C294A">
        <w:rPr>
          <w:szCs w:val="22"/>
        </w:rPr>
        <w:t xml:space="preserve">, Competition Policy Division, Wireline Competition Bureau, </w:t>
      </w:r>
      <w:hyperlink r:id="rId9" w:history="1">
        <w:r w:rsidRPr="00877D35">
          <w:rPr>
            <w:rStyle w:val="Hyperlink"/>
            <w:szCs w:val="22"/>
          </w:rPr>
          <w:t>gregory.kwan@fcc.gov</w:t>
        </w:r>
      </w:hyperlink>
      <w:r w:rsidR="008C294A">
        <w:rPr>
          <w:szCs w:val="22"/>
        </w:rPr>
        <w:t xml:space="preserve">; </w:t>
      </w:r>
    </w:p>
    <w:p w:rsidR="00E7033D" w:rsidRPr="00FA546C" w:rsidP="00FA546C">
      <w:pPr>
        <w:autoSpaceDE w:val="0"/>
        <w:autoSpaceDN w:val="0"/>
        <w:adjustRightInd w:val="0"/>
        <w:ind w:left="360"/>
        <w:rPr>
          <w:szCs w:val="22"/>
        </w:rPr>
      </w:pPr>
    </w:p>
    <w:p w:rsidR="00E7033D">
      <w:pPr>
        <w:numPr>
          <w:ilvl w:val="0"/>
          <w:numId w:val="18"/>
        </w:numPr>
        <w:autoSpaceDE w:val="0"/>
        <w:autoSpaceDN w:val="0"/>
        <w:adjustRightInd w:val="0"/>
        <w:rPr>
          <w:szCs w:val="22"/>
        </w:rPr>
      </w:pPr>
      <w:r>
        <w:rPr>
          <w:szCs w:val="22"/>
        </w:rPr>
        <w:t xml:space="preserve">Jim Bird, Office of General Counsel, </w:t>
      </w:r>
      <w:hyperlink r:id="rId10" w:history="1">
        <w:r>
          <w:rPr>
            <w:rStyle w:val="Hyperlink"/>
            <w:szCs w:val="22"/>
          </w:rPr>
          <w:t>jim.bird@fcc.gov</w:t>
        </w:r>
      </w:hyperlink>
      <w:r>
        <w:rPr>
          <w:szCs w:val="22"/>
        </w:rPr>
        <w:t>.</w:t>
      </w:r>
    </w:p>
    <w:p w:rsidR="00E7033D">
      <w:pPr>
        <w:autoSpaceDE w:val="0"/>
        <w:autoSpaceDN w:val="0"/>
        <w:adjustRightInd w:val="0"/>
        <w:ind w:firstLine="720"/>
        <w:rPr>
          <w:szCs w:val="22"/>
        </w:rPr>
      </w:pPr>
    </w:p>
    <w:p w:rsidR="00E7033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w:t>
      </w:r>
      <w:r>
        <w:rPr>
          <w:szCs w:val="22"/>
        </w:rPr>
        <w:t xml:space="preserve">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pPr>
        <w:autoSpaceDE w:val="0"/>
        <w:autoSpaceDN w:val="0"/>
        <w:adjustRightInd w:val="0"/>
        <w:ind w:firstLine="720"/>
        <w:rPr>
          <w:szCs w:val="22"/>
        </w:rPr>
      </w:pPr>
      <w:r>
        <w:rPr>
          <w:szCs w:val="22"/>
        </w:rPr>
        <w:t>For further information, please contact Tracey Wilson at (202) 418-1394 or</w:t>
      </w:r>
      <w:r w:rsidR="009C3EC2">
        <w:rPr>
          <w:szCs w:val="22"/>
        </w:rPr>
        <w:t xml:space="preserve"> Gregory Kwan</w:t>
      </w:r>
      <w:r>
        <w:rPr>
          <w:szCs w:val="22"/>
        </w:rPr>
        <w:t xml:space="preserve"> at (202) 418-</w:t>
      </w:r>
      <w:r w:rsidR="009C3EC2">
        <w:rPr>
          <w:szCs w:val="22"/>
        </w:rPr>
        <w:t>1191</w:t>
      </w:r>
      <w:r>
        <w:rPr>
          <w:szCs w:val="22"/>
        </w:rPr>
        <w:t>.</w:t>
      </w:r>
    </w:p>
    <w:p w:rsidR="00E7033D">
      <w:pPr>
        <w:autoSpaceDE w:val="0"/>
        <w:autoSpaceDN w:val="0"/>
        <w:adjustRightInd w:val="0"/>
        <w:ind w:firstLine="720"/>
        <w:rPr>
          <w:szCs w:val="22"/>
        </w:rPr>
      </w:pP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w:t>
      </w:r>
      <w:r w:rsidR="00A7569F">
        <w:rPr>
          <w:b/>
          <w:szCs w:val="22"/>
        </w:rPr>
        <w:t>FCC</w:t>
      </w:r>
      <w:r>
        <w:rPr>
          <w:b/>
          <w:szCs w:val="22"/>
        </w:rPr>
        <w:t>-</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E7033D">
      <w:pPr>
        <w:autoSpaceDE w:val="0"/>
        <w:autoSpaceDN w:val="0"/>
        <w:adjustRightInd w:val="0"/>
        <w:rPr>
          <w:color w:val="000000"/>
          <w:szCs w:val="22"/>
        </w:rPr>
      </w:pPr>
    </w:p>
    <w:sectPr>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550E">
      <w:r>
        <w:separator/>
      </w:r>
    </w:p>
  </w:footnote>
  <w:footnote w:type="continuationSeparator" w:id="1">
    <w:p w:rsidR="00CA550E">
      <w:r>
        <w:continuationSeparator/>
      </w:r>
    </w:p>
  </w:footnote>
  <w:footnote w:type="continuationNotice" w:id="2">
    <w:p w:rsidR="00CA550E"/>
  </w:footnote>
  <w:footnote w:id="3">
    <w:p w:rsidR="0007183A" w:rsidRPr="00A66627" w:rsidP="0078498E">
      <w:pPr>
        <w:spacing w:after="120"/>
        <w:rPr>
          <w:sz w:val="20"/>
        </w:rPr>
      </w:pPr>
      <w:r>
        <w:rPr>
          <w:rStyle w:val="FootnoteReference"/>
        </w:rPr>
        <w:footnoteRef/>
      </w:r>
      <w:r>
        <w:t xml:space="preserve"> </w:t>
      </w:r>
      <w:r w:rsidRPr="00A66627">
        <w:rPr>
          <w:i/>
          <w:sz w:val="20"/>
        </w:rPr>
        <w:t>See</w:t>
      </w:r>
      <w:r w:rsidRPr="00A66627">
        <w:rPr>
          <w:sz w:val="20"/>
        </w:rPr>
        <w:t xml:space="preserve"> 47 U.S.C. § 214; 47 CFR §§ 63.03-04.</w:t>
      </w:r>
      <w:r w:rsidRPr="00A66627" w:rsidR="0078498E">
        <w:rPr>
          <w:sz w:val="20"/>
        </w:rPr>
        <w:t xml:space="preserve">  </w:t>
      </w:r>
      <w:r w:rsidRPr="00A66627" w:rsidR="003C1BE3">
        <w:rPr>
          <w:sz w:val="20"/>
        </w:rPr>
        <w:t xml:space="preserve">Applicants also filed applications for the transfer of authorizations associated with wireless services.  </w:t>
      </w:r>
      <w:r w:rsidRPr="00A66627" w:rsidR="0078498E">
        <w:rPr>
          <w:sz w:val="20"/>
        </w:rPr>
        <w:t xml:space="preserve">On August 25, 2020, Applicants filed a supplement to their </w:t>
      </w:r>
      <w:r w:rsidRPr="00A66627" w:rsidR="00A66627">
        <w:rPr>
          <w:sz w:val="20"/>
        </w:rPr>
        <w:t xml:space="preserve">domestic section 214 </w:t>
      </w:r>
      <w:r w:rsidRPr="00A66627" w:rsidR="0078498E">
        <w:rPr>
          <w:sz w:val="20"/>
        </w:rPr>
        <w:t>application.  Any action on this domestic section 214 application is without prejudice to Commission action on other related, pending applications</w:t>
      </w:r>
      <w:r w:rsidRPr="00A66627" w:rsidR="0078498E">
        <w:rPr>
          <w:rFonts w:eastAsia="Calibri"/>
          <w:sz w:val="20"/>
        </w:rPr>
        <w:t>.</w:t>
      </w:r>
    </w:p>
  </w:footnote>
  <w:footnote w:id="4">
    <w:p w:rsidR="00A66627" w:rsidRPr="00A66627">
      <w:pPr>
        <w:pStyle w:val="FootnoteText"/>
        <w:rPr>
          <w:sz w:val="20"/>
        </w:rPr>
      </w:pPr>
      <w:r w:rsidRPr="00A66627">
        <w:rPr>
          <w:rStyle w:val="FootnoteReference"/>
          <w:sz w:val="20"/>
        </w:rPr>
        <w:footnoteRef/>
      </w:r>
      <w:r w:rsidRPr="00A66627">
        <w:rPr>
          <w:sz w:val="20"/>
        </w:rPr>
        <w:t xml:space="preserve"> Applicants state that Casair </w:t>
      </w:r>
      <w:r>
        <w:rPr>
          <w:sz w:val="20"/>
        </w:rPr>
        <w:t>provides fixed broadband service and</w:t>
      </w:r>
      <w:r w:rsidR="007117E9">
        <w:rPr>
          <w:sz w:val="20"/>
        </w:rPr>
        <w:t xml:space="preserve"> </w:t>
      </w:r>
      <w:r>
        <w:rPr>
          <w:sz w:val="20"/>
        </w:rPr>
        <w:t>other services in parts of 14 counties in central Michigan</w:t>
      </w:r>
      <w:r w:rsidRPr="00A66627">
        <w:rPr>
          <w:sz w:val="20"/>
        </w:rPr>
        <w:t xml:space="preserve"> </w:t>
      </w:r>
      <w:r>
        <w:rPr>
          <w:sz w:val="20"/>
        </w:rPr>
        <w:t>(</w:t>
      </w:r>
      <w:r w:rsidRPr="00C32A04">
        <w:rPr>
          <w:sz w:val="20"/>
        </w:rPr>
        <w:t>Clare, Clinton, Ionia, Kent, Lake, Mason, Mecosta, Missaukee, Montcalm, Muskegon, Newaygo, Oceana, Osceola</w:t>
      </w:r>
      <w:r>
        <w:rPr>
          <w:sz w:val="20"/>
        </w:rPr>
        <w:t>,</w:t>
      </w:r>
      <w:r w:rsidRPr="00C32A04">
        <w:rPr>
          <w:sz w:val="20"/>
        </w:rPr>
        <w:t xml:space="preserve"> and Wexford</w:t>
      </w:r>
      <w:r>
        <w:rPr>
          <w:sz w:val="20"/>
        </w:rPr>
        <w:t xml:space="preserve"> </w:t>
      </w:r>
      <w:r w:rsidR="007117E9">
        <w:rPr>
          <w:sz w:val="20"/>
        </w:rPr>
        <w:t xml:space="preserve">counties) and </w:t>
      </w:r>
      <w:r w:rsidRPr="00A66627">
        <w:rPr>
          <w:sz w:val="20"/>
        </w:rPr>
        <w:t>plans to surrender its ETC certification following the closing of the proposed transaction.</w:t>
      </w:r>
    </w:p>
  </w:footnote>
  <w:footnote w:id="5">
    <w:p w:rsidR="001C752F" w:rsidRPr="00EB758D">
      <w:pPr>
        <w:pStyle w:val="FootnoteText"/>
        <w:rPr>
          <w:sz w:val="20"/>
        </w:rPr>
      </w:pPr>
      <w:r w:rsidRPr="00A66627">
        <w:rPr>
          <w:rStyle w:val="FootnoteReference"/>
          <w:sz w:val="20"/>
        </w:rPr>
        <w:footnoteRef/>
      </w:r>
      <w:r w:rsidRPr="00A66627">
        <w:rPr>
          <w:sz w:val="20"/>
        </w:rPr>
        <w:t xml:space="preserve"> PBFH provides broadband</w:t>
      </w:r>
      <w:r w:rsidRPr="00EB758D">
        <w:rPr>
          <w:sz w:val="20"/>
        </w:rPr>
        <w:t xml:space="preserve"> and other services in Alabama, Georgia, Louisiana, Mississippi, Tennessee, and Virginia.  It wholly owns Sunset Digital Communications, LLC, which provides </w:t>
      </w:r>
      <w:r w:rsidR="00A66627">
        <w:rPr>
          <w:sz w:val="20"/>
        </w:rPr>
        <w:t xml:space="preserve">competitive </w:t>
      </w:r>
      <w:r w:rsidRPr="00EB758D">
        <w:rPr>
          <w:sz w:val="20"/>
        </w:rPr>
        <w:t>service in Tennessee and Virginia.</w:t>
      </w:r>
    </w:p>
  </w:footnote>
  <w:footnote w:id="6">
    <w:p w:rsidR="00E7033D">
      <w:pPr>
        <w:pStyle w:val="FootnoteText"/>
        <w:rPr>
          <w:sz w:val="20"/>
        </w:rPr>
      </w:pPr>
      <w:r>
        <w:rPr>
          <w:rStyle w:val="FootnoteReference"/>
          <w:sz w:val="20"/>
        </w:rPr>
        <w:footnoteRef/>
      </w:r>
      <w:r>
        <w:rPr>
          <w:sz w:val="20"/>
        </w:rPr>
        <w:t xml:space="preserve"> </w:t>
      </w:r>
      <w:r>
        <w:rPr>
          <w:color w:val="020100"/>
          <w:sz w:val="20"/>
        </w:rPr>
        <w:t>47 CFR § 63.03(b)(</w:t>
      </w:r>
      <w:r w:rsidR="00F138C9">
        <w:rPr>
          <w:color w:val="020100"/>
          <w:sz w:val="20"/>
        </w:rPr>
        <w:t>2</w:t>
      </w:r>
      <w:r>
        <w:rPr>
          <w:color w:val="020100"/>
          <w:sz w:val="20"/>
        </w:rPr>
        <w:t>)(</w:t>
      </w:r>
      <w:r w:rsidR="0015217F">
        <w:rPr>
          <w:color w:val="020100"/>
          <w:sz w:val="20"/>
        </w:rPr>
        <w:t>i</w:t>
      </w:r>
      <w:r>
        <w:rPr>
          <w:color w:val="020100"/>
          <w:sz w:val="20"/>
        </w:rPr>
        <w:t>).</w:t>
      </w:r>
    </w:p>
  </w:footnote>
  <w:footnote w:id="7">
    <w:p w:rsidR="00E7033D">
      <w:pPr>
        <w:pStyle w:val="FootnoteText"/>
        <w:tabs>
          <w:tab w:val="clear" w:pos="720"/>
        </w:tabs>
        <w:spacing w:after="120"/>
        <w:rPr>
          <w:sz w:val="20"/>
        </w:rPr>
      </w:pPr>
      <w:r>
        <w:rPr>
          <w:rStyle w:val="FootnoteReference"/>
          <w:sz w:val="20"/>
        </w:rPr>
        <w:footnoteRef/>
      </w:r>
      <w:r>
        <w:rPr>
          <w:sz w:val="20"/>
        </w:rPr>
        <w:t xml:space="preserve"> </w:t>
      </w:r>
      <w:r>
        <w:rPr>
          <w:i/>
          <w:sz w:val="20"/>
        </w:rPr>
        <w:t>See</w:t>
      </w:r>
      <w:r>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7A3A"/>
    <w:rsid w:val="000534AC"/>
    <w:rsid w:val="0007183A"/>
    <w:rsid w:val="000735C8"/>
    <w:rsid w:val="000B4EDD"/>
    <w:rsid w:val="000D1DD9"/>
    <w:rsid w:val="000F02F7"/>
    <w:rsid w:val="0013405D"/>
    <w:rsid w:val="00136D2A"/>
    <w:rsid w:val="00137A42"/>
    <w:rsid w:val="0015217F"/>
    <w:rsid w:val="00167304"/>
    <w:rsid w:val="001A3813"/>
    <w:rsid w:val="001C752F"/>
    <w:rsid w:val="001F029A"/>
    <w:rsid w:val="001F6762"/>
    <w:rsid w:val="002223FF"/>
    <w:rsid w:val="0022449B"/>
    <w:rsid w:val="00253247"/>
    <w:rsid w:val="00262E65"/>
    <w:rsid w:val="002B16FA"/>
    <w:rsid w:val="002B652B"/>
    <w:rsid w:val="002C203E"/>
    <w:rsid w:val="002C22F3"/>
    <w:rsid w:val="002C3170"/>
    <w:rsid w:val="002D6F61"/>
    <w:rsid w:val="00310362"/>
    <w:rsid w:val="00353CB5"/>
    <w:rsid w:val="00365194"/>
    <w:rsid w:val="003A18A0"/>
    <w:rsid w:val="003B5CEE"/>
    <w:rsid w:val="003C1BE3"/>
    <w:rsid w:val="003C32FF"/>
    <w:rsid w:val="003C7C8F"/>
    <w:rsid w:val="004010DA"/>
    <w:rsid w:val="004077D0"/>
    <w:rsid w:val="004331D7"/>
    <w:rsid w:val="00433D8C"/>
    <w:rsid w:val="00434C96"/>
    <w:rsid w:val="00441BD6"/>
    <w:rsid w:val="004609A4"/>
    <w:rsid w:val="004808FC"/>
    <w:rsid w:val="00482EB0"/>
    <w:rsid w:val="004C712F"/>
    <w:rsid w:val="004E3B46"/>
    <w:rsid w:val="004F3603"/>
    <w:rsid w:val="004F6F64"/>
    <w:rsid w:val="00500A89"/>
    <w:rsid w:val="005250E2"/>
    <w:rsid w:val="00531696"/>
    <w:rsid w:val="0056058F"/>
    <w:rsid w:val="005932BA"/>
    <w:rsid w:val="005A64A7"/>
    <w:rsid w:val="005C403A"/>
    <w:rsid w:val="005D0AC3"/>
    <w:rsid w:val="005E0F06"/>
    <w:rsid w:val="0060106A"/>
    <w:rsid w:val="00603341"/>
    <w:rsid w:val="00604A3C"/>
    <w:rsid w:val="00604CFF"/>
    <w:rsid w:val="0061137C"/>
    <w:rsid w:val="00616221"/>
    <w:rsid w:val="006768CC"/>
    <w:rsid w:val="0068572D"/>
    <w:rsid w:val="006B5C06"/>
    <w:rsid w:val="006C32C8"/>
    <w:rsid w:val="006C591C"/>
    <w:rsid w:val="006E3E11"/>
    <w:rsid w:val="006E61ED"/>
    <w:rsid w:val="006E7452"/>
    <w:rsid w:val="007002E5"/>
    <w:rsid w:val="00706D49"/>
    <w:rsid w:val="0071041E"/>
    <w:rsid w:val="007117E9"/>
    <w:rsid w:val="00724722"/>
    <w:rsid w:val="00733B9B"/>
    <w:rsid w:val="00760269"/>
    <w:rsid w:val="00780F55"/>
    <w:rsid w:val="0078498E"/>
    <w:rsid w:val="007C263F"/>
    <w:rsid w:val="00813C6D"/>
    <w:rsid w:val="0084778A"/>
    <w:rsid w:val="0085579D"/>
    <w:rsid w:val="0086691C"/>
    <w:rsid w:val="008675C7"/>
    <w:rsid w:val="0087554B"/>
    <w:rsid w:val="00877D35"/>
    <w:rsid w:val="008C294A"/>
    <w:rsid w:val="008E27B4"/>
    <w:rsid w:val="008F6981"/>
    <w:rsid w:val="00903154"/>
    <w:rsid w:val="00903DE0"/>
    <w:rsid w:val="009075DA"/>
    <w:rsid w:val="00950639"/>
    <w:rsid w:val="00965E90"/>
    <w:rsid w:val="0098015F"/>
    <w:rsid w:val="009A0D7F"/>
    <w:rsid w:val="009B0128"/>
    <w:rsid w:val="009B6797"/>
    <w:rsid w:val="009C3EC2"/>
    <w:rsid w:val="00A11865"/>
    <w:rsid w:val="00A15248"/>
    <w:rsid w:val="00A25C41"/>
    <w:rsid w:val="00A47815"/>
    <w:rsid w:val="00A53435"/>
    <w:rsid w:val="00A55F2F"/>
    <w:rsid w:val="00A6508C"/>
    <w:rsid w:val="00A66627"/>
    <w:rsid w:val="00A7160D"/>
    <w:rsid w:val="00A7569F"/>
    <w:rsid w:val="00A8361F"/>
    <w:rsid w:val="00A92C9E"/>
    <w:rsid w:val="00AC02DE"/>
    <w:rsid w:val="00AD0360"/>
    <w:rsid w:val="00B00CBF"/>
    <w:rsid w:val="00B02CE4"/>
    <w:rsid w:val="00B73AED"/>
    <w:rsid w:val="00B908C9"/>
    <w:rsid w:val="00BC7555"/>
    <w:rsid w:val="00BC7B5E"/>
    <w:rsid w:val="00BF0B00"/>
    <w:rsid w:val="00C117C2"/>
    <w:rsid w:val="00C32A04"/>
    <w:rsid w:val="00C612FD"/>
    <w:rsid w:val="00C749BC"/>
    <w:rsid w:val="00C75DF3"/>
    <w:rsid w:val="00C815B4"/>
    <w:rsid w:val="00C87CB5"/>
    <w:rsid w:val="00C96F95"/>
    <w:rsid w:val="00CA550E"/>
    <w:rsid w:val="00CB08EA"/>
    <w:rsid w:val="00CE03DE"/>
    <w:rsid w:val="00D04DB0"/>
    <w:rsid w:val="00D111DF"/>
    <w:rsid w:val="00D252B2"/>
    <w:rsid w:val="00D47F85"/>
    <w:rsid w:val="00D57EF3"/>
    <w:rsid w:val="00D6610F"/>
    <w:rsid w:val="00DB06A4"/>
    <w:rsid w:val="00DB59FD"/>
    <w:rsid w:val="00DD0968"/>
    <w:rsid w:val="00DF1AD9"/>
    <w:rsid w:val="00E47C99"/>
    <w:rsid w:val="00E54722"/>
    <w:rsid w:val="00E55A96"/>
    <w:rsid w:val="00E7033D"/>
    <w:rsid w:val="00E90A56"/>
    <w:rsid w:val="00EB2E3F"/>
    <w:rsid w:val="00EB758D"/>
    <w:rsid w:val="00EC0FDA"/>
    <w:rsid w:val="00ED40B2"/>
    <w:rsid w:val="00EE37C8"/>
    <w:rsid w:val="00F05755"/>
    <w:rsid w:val="00F138C9"/>
    <w:rsid w:val="00F25C6B"/>
    <w:rsid w:val="00F3092F"/>
    <w:rsid w:val="00F53764"/>
    <w:rsid w:val="00F7753B"/>
    <w:rsid w:val="00F8367B"/>
    <w:rsid w:val="00FA546C"/>
    <w:rsid w:val="00FB729A"/>
    <w:rsid w:val="00FC3E30"/>
    <w:rsid w:val="00FC6B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