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87EC4" w:rsidRPr="00EF2C5A" w:rsidP="00E87EC4" w14:paraId="7ECE16C5" w14:textId="77777777">
      <w:pPr>
        <w:pStyle w:val="Title"/>
        <w:outlineLvl w:val="0"/>
        <w:rPr>
          <w:szCs w:val="22"/>
        </w:rPr>
      </w:pPr>
      <w:r w:rsidRPr="00EF2C5A">
        <w:rPr>
          <w:szCs w:val="22"/>
        </w:rPr>
        <w:t>Before the</w:t>
      </w:r>
    </w:p>
    <w:p w:rsidR="00E87EC4" w:rsidRPr="00142D97" w:rsidP="00E87EC4" w14:paraId="434C7622" w14:textId="77777777">
      <w:pPr>
        <w:pStyle w:val="Subtitle"/>
        <w:ind w:firstLine="0"/>
        <w:outlineLvl w:val="0"/>
      </w:pPr>
      <w:r w:rsidRPr="00142D97">
        <w:t>Federal Communications Commission</w:t>
      </w:r>
    </w:p>
    <w:p w:rsidR="00E87EC4" w:rsidRPr="00142D97" w:rsidP="00E87EC4" w14:paraId="675CC5D9" w14:textId="77777777">
      <w:pPr>
        <w:jc w:val="center"/>
        <w:outlineLvl w:val="0"/>
        <w:rPr>
          <w:b/>
        </w:rPr>
      </w:pPr>
      <w:r w:rsidRPr="00142D97">
        <w:rPr>
          <w:b/>
        </w:rPr>
        <w:t>Washington, D.C. 20554</w:t>
      </w:r>
    </w:p>
    <w:p w:rsidR="00E87EC4" w:rsidRPr="00142D97" w:rsidP="00E87EC4" w14:paraId="6D1F0B51"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4E82C47A" w14:textId="77777777" w:rsidTr="00CE1F45">
        <w:tblPrEx>
          <w:tblW w:w="0" w:type="auto"/>
          <w:tblLayout w:type="fixed"/>
          <w:tblLook w:val="0000"/>
        </w:tblPrEx>
        <w:tc>
          <w:tcPr>
            <w:tcW w:w="4698" w:type="dxa"/>
          </w:tcPr>
          <w:p w:rsidR="00E87EC4" w:rsidRPr="00142D97" w:rsidP="00CE1F45" w14:paraId="5B021B6F" w14:textId="77777777">
            <w:pPr>
              <w:pStyle w:val="TOAHeading"/>
              <w:tabs>
                <w:tab w:val="center" w:pos="4680"/>
                <w:tab w:val="clear" w:pos="9360"/>
              </w:tabs>
              <w:rPr>
                <w:spacing w:val="-2"/>
              </w:rPr>
            </w:pPr>
            <w:r w:rsidRPr="00142D97">
              <w:rPr>
                <w:spacing w:val="-2"/>
              </w:rPr>
              <w:t>In the Matter of</w:t>
            </w:r>
          </w:p>
          <w:p w:rsidR="00E87EC4" w:rsidRPr="00142D97" w:rsidP="00CE1F45" w14:paraId="7AE358A6" w14:textId="77777777">
            <w:pPr>
              <w:pStyle w:val="TOAHeading"/>
              <w:tabs>
                <w:tab w:val="center" w:pos="4680"/>
                <w:tab w:val="clear" w:pos="9360"/>
              </w:tabs>
              <w:rPr>
                <w:spacing w:val="-2"/>
              </w:rPr>
            </w:pPr>
          </w:p>
          <w:p w:rsidR="00E87EC4" w:rsidRPr="00EF2C5A" w:rsidP="00CE1F45" w14:paraId="7ECCC4A6" w14:textId="77777777">
            <w:pPr>
              <w:rPr>
                <w:szCs w:val="22"/>
              </w:rPr>
            </w:pPr>
            <w:r>
              <w:rPr>
                <w:szCs w:val="22"/>
              </w:rPr>
              <w:t>Tele Circuit Network Corporation</w:t>
            </w:r>
          </w:p>
          <w:p w:rsidR="00E87EC4" w:rsidRPr="00142D97" w:rsidP="00CE1F45" w14:paraId="10A10753" w14:textId="77777777">
            <w:pPr>
              <w:tabs>
                <w:tab w:val="center" w:pos="4680"/>
              </w:tabs>
              <w:suppressAutoHyphens/>
              <w:ind w:firstLine="720"/>
            </w:pPr>
          </w:p>
          <w:p w:rsidR="00E87EC4" w:rsidRPr="00142D97" w:rsidP="00CE1F45" w14:paraId="0CA2A7BD" w14:textId="77777777">
            <w:pPr>
              <w:pStyle w:val="TOAHeading"/>
              <w:tabs>
                <w:tab w:val="center" w:pos="4680"/>
                <w:tab w:val="clear" w:pos="9360"/>
              </w:tabs>
            </w:pPr>
            <w:r w:rsidRPr="00142D97">
              <w:t xml:space="preserve">Complaint Regarding </w:t>
            </w:r>
          </w:p>
          <w:p w:rsidR="00E87EC4" w:rsidRPr="00142D97" w:rsidP="00CE1F45" w14:paraId="5709B40F" w14:textId="77777777">
            <w:pPr>
              <w:pStyle w:val="TOAHeading"/>
              <w:tabs>
                <w:tab w:val="center" w:pos="4680"/>
                <w:tab w:val="clear" w:pos="9360"/>
              </w:tabs>
            </w:pPr>
            <w:r w:rsidRPr="00142D97">
              <w:t>Unauthorized Change of</w:t>
            </w:r>
          </w:p>
          <w:p w:rsidR="00E87EC4" w:rsidRPr="00142D97" w:rsidP="00CE1F45" w14:paraId="2A4D7858" w14:textId="06133A60">
            <w:pPr>
              <w:pStyle w:val="TOAHeading"/>
              <w:tabs>
                <w:tab w:val="center" w:pos="4680"/>
                <w:tab w:val="clear" w:pos="9360"/>
              </w:tabs>
            </w:pPr>
            <w:r w:rsidRPr="00EF2C5A">
              <w:rPr>
                <w:szCs w:val="22"/>
              </w:rPr>
              <w:t>Subscriber</w:t>
            </w:r>
            <w:r w:rsidR="00523895">
              <w:rPr>
                <w:szCs w:val="22"/>
              </w:rPr>
              <w:t>’s</w:t>
            </w:r>
            <w:r w:rsidRPr="00142D97">
              <w:t xml:space="preserve"> Telecommunications Carrier</w:t>
            </w:r>
          </w:p>
        </w:tc>
        <w:tc>
          <w:tcPr>
            <w:tcW w:w="630" w:type="dxa"/>
          </w:tcPr>
          <w:p w:rsidR="00E87EC4" w:rsidRPr="00142D97" w:rsidP="00CE1F45" w14:paraId="790E9A16" w14:textId="77777777">
            <w:pPr>
              <w:tabs>
                <w:tab w:val="center" w:pos="4680"/>
              </w:tabs>
              <w:suppressAutoHyphens/>
              <w:rPr>
                <w:b/>
                <w:spacing w:val="-2"/>
              </w:rPr>
            </w:pPr>
            <w:r w:rsidRPr="00142D97">
              <w:rPr>
                <w:b/>
                <w:spacing w:val="-2"/>
              </w:rPr>
              <w:t>)</w:t>
            </w:r>
          </w:p>
          <w:p w:rsidR="00E87EC4" w:rsidRPr="00142D97" w:rsidP="00CE1F45" w14:paraId="403A4131" w14:textId="77777777">
            <w:pPr>
              <w:tabs>
                <w:tab w:val="center" w:pos="4680"/>
              </w:tabs>
              <w:suppressAutoHyphens/>
              <w:rPr>
                <w:b/>
                <w:spacing w:val="-2"/>
              </w:rPr>
            </w:pPr>
            <w:r w:rsidRPr="00142D97">
              <w:rPr>
                <w:b/>
                <w:spacing w:val="-2"/>
              </w:rPr>
              <w:t>)</w:t>
            </w:r>
          </w:p>
          <w:p w:rsidR="00E87EC4" w:rsidRPr="00142D97" w:rsidP="00CE1F45" w14:paraId="15E3D0BE" w14:textId="77777777">
            <w:pPr>
              <w:tabs>
                <w:tab w:val="center" w:pos="4680"/>
              </w:tabs>
              <w:suppressAutoHyphens/>
              <w:rPr>
                <w:b/>
                <w:spacing w:val="-2"/>
              </w:rPr>
            </w:pPr>
            <w:r w:rsidRPr="00142D97">
              <w:rPr>
                <w:b/>
                <w:spacing w:val="-2"/>
              </w:rPr>
              <w:t>)</w:t>
            </w:r>
          </w:p>
          <w:p w:rsidR="00E87EC4" w:rsidRPr="00142D97" w:rsidP="00CE1F45" w14:paraId="5FCBB7A1" w14:textId="77777777">
            <w:pPr>
              <w:tabs>
                <w:tab w:val="center" w:pos="4680"/>
              </w:tabs>
              <w:suppressAutoHyphens/>
              <w:rPr>
                <w:b/>
                <w:spacing w:val="-2"/>
              </w:rPr>
            </w:pPr>
            <w:r w:rsidRPr="00142D97">
              <w:rPr>
                <w:b/>
                <w:spacing w:val="-2"/>
              </w:rPr>
              <w:t>)</w:t>
            </w:r>
          </w:p>
          <w:p w:rsidR="00E87EC4" w:rsidRPr="00142D97" w:rsidP="00CE1F45" w14:paraId="25507494" w14:textId="77777777">
            <w:pPr>
              <w:tabs>
                <w:tab w:val="center" w:pos="4680"/>
              </w:tabs>
              <w:suppressAutoHyphens/>
              <w:rPr>
                <w:b/>
                <w:spacing w:val="-2"/>
              </w:rPr>
            </w:pPr>
            <w:r w:rsidRPr="00142D97">
              <w:rPr>
                <w:b/>
                <w:spacing w:val="-2"/>
              </w:rPr>
              <w:t>)</w:t>
            </w:r>
          </w:p>
          <w:p w:rsidR="00E87EC4" w:rsidRPr="00142D97" w:rsidP="00CE1F45" w14:paraId="1A952A7C" w14:textId="77777777">
            <w:pPr>
              <w:tabs>
                <w:tab w:val="center" w:pos="4680"/>
              </w:tabs>
              <w:suppressAutoHyphens/>
              <w:rPr>
                <w:b/>
                <w:spacing w:val="-2"/>
              </w:rPr>
            </w:pPr>
            <w:r w:rsidRPr="00142D97">
              <w:rPr>
                <w:b/>
                <w:spacing w:val="-2"/>
              </w:rPr>
              <w:t>)</w:t>
            </w:r>
          </w:p>
          <w:p w:rsidR="00E87EC4" w:rsidRPr="00142D97" w:rsidP="00CE1F45" w14:paraId="678B8CEB" w14:textId="77777777">
            <w:pPr>
              <w:tabs>
                <w:tab w:val="center" w:pos="4680"/>
              </w:tabs>
              <w:suppressAutoHyphens/>
              <w:rPr>
                <w:b/>
                <w:spacing w:val="-2"/>
              </w:rPr>
            </w:pPr>
            <w:r w:rsidRPr="00142D97">
              <w:rPr>
                <w:b/>
                <w:spacing w:val="-2"/>
              </w:rPr>
              <w:t>)</w:t>
            </w:r>
          </w:p>
          <w:p w:rsidR="00E87EC4" w:rsidRPr="003D1861" w:rsidP="00CE1F45" w14:paraId="6FAA0436" w14:textId="77777777">
            <w:pPr>
              <w:tabs>
                <w:tab w:val="center" w:pos="4680"/>
              </w:tabs>
              <w:suppressAutoHyphens/>
              <w:rPr>
                <w:b/>
                <w:spacing w:val="-2"/>
              </w:rPr>
            </w:pPr>
            <w:r>
              <w:rPr>
                <w:b/>
                <w:spacing w:val="-2"/>
              </w:rPr>
              <w:t xml:space="preserve">                 </w:t>
            </w:r>
          </w:p>
        </w:tc>
        <w:tc>
          <w:tcPr>
            <w:tcW w:w="4248" w:type="dxa"/>
          </w:tcPr>
          <w:p w:rsidR="00E87EC4" w:rsidRPr="00142D97" w:rsidP="00CE1F45" w14:paraId="68707A95" w14:textId="77777777">
            <w:pPr>
              <w:tabs>
                <w:tab w:val="center" w:pos="4680"/>
              </w:tabs>
              <w:suppressAutoHyphens/>
              <w:rPr>
                <w:spacing w:val="-2"/>
              </w:rPr>
            </w:pPr>
          </w:p>
          <w:p w:rsidR="00E87EC4" w:rsidRPr="00142D97" w:rsidP="00CE1F45" w14:paraId="3E1BA6C8" w14:textId="77777777">
            <w:pPr>
              <w:tabs>
                <w:tab w:val="center" w:pos="4680"/>
              </w:tabs>
              <w:suppressAutoHyphens/>
              <w:rPr>
                <w:spacing w:val="-2"/>
              </w:rPr>
            </w:pPr>
          </w:p>
          <w:p w:rsidR="00E87EC4" w:rsidP="00CE1F45" w14:paraId="45DA1BC6" w14:textId="0FFEE749">
            <w:pPr>
              <w:pStyle w:val="TOAHeading"/>
              <w:rPr>
                <w:szCs w:val="22"/>
              </w:rPr>
            </w:pPr>
            <w:r>
              <w:rPr>
                <w:szCs w:val="22"/>
              </w:rPr>
              <w:t>Complaint No</w:t>
            </w:r>
            <w:r w:rsidRPr="00EF2C5A">
              <w:rPr>
                <w:szCs w:val="22"/>
              </w:rPr>
              <w:t>.</w:t>
            </w:r>
            <w:r w:rsidR="00540FB8">
              <w:rPr>
                <w:szCs w:val="22"/>
              </w:rPr>
              <w:t xml:space="preserve"> </w:t>
            </w:r>
            <w:r w:rsidR="008B4E57">
              <w:rPr>
                <w:szCs w:val="22"/>
              </w:rPr>
              <w:t>4080233</w:t>
            </w:r>
          </w:p>
          <w:p w:rsidR="00E87EC4" w:rsidRPr="005F7CD1" w:rsidP="00CE1F45" w14:paraId="5B6861F4" w14:textId="77777777"/>
        </w:tc>
      </w:tr>
      <w:tr w14:paraId="0280890F" w14:textId="77777777" w:rsidTr="00CE1F45">
        <w:tblPrEx>
          <w:tblW w:w="0" w:type="auto"/>
          <w:tblLayout w:type="fixed"/>
          <w:tblLook w:val="0000"/>
        </w:tblPrEx>
        <w:tc>
          <w:tcPr>
            <w:tcW w:w="4698" w:type="dxa"/>
          </w:tcPr>
          <w:p w:rsidR="00E87EC4" w:rsidRPr="00142D97" w:rsidP="00CE1F45" w14:paraId="09B8594F" w14:textId="77777777">
            <w:pPr>
              <w:pStyle w:val="TOAHeading"/>
              <w:tabs>
                <w:tab w:val="center" w:pos="4680"/>
                <w:tab w:val="clear" w:pos="9360"/>
              </w:tabs>
              <w:rPr>
                <w:spacing w:val="-2"/>
              </w:rPr>
            </w:pPr>
            <w:r>
              <w:rPr>
                <w:spacing w:val="-2"/>
              </w:rPr>
              <w:tab/>
            </w:r>
            <w:r>
              <w:rPr>
                <w:spacing w:val="-2"/>
              </w:rPr>
              <w:tab/>
            </w:r>
          </w:p>
        </w:tc>
        <w:tc>
          <w:tcPr>
            <w:tcW w:w="630" w:type="dxa"/>
          </w:tcPr>
          <w:p w:rsidR="00E87EC4" w:rsidRPr="00142D97" w:rsidP="00CE1F45" w14:paraId="0046EF24" w14:textId="77777777">
            <w:pPr>
              <w:tabs>
                <w:tab w:val="center" w:pos="4680"/>
              </w:tabs>
              <w:suppressAutoHyphens/>
              <w:rPr>
                <w:b/>
                <w:spacing w:val="-2"/>
              </w:rPr>
            </w:pPr>
          </w:p>
        </w:tc>
        <w:tc>
          <w:tcPr>
            <w:tcW w:w="4248" w:type="dxa"/>
          </w:tcPr>
          <w:p w:rsidR="00E87EC4" w:rsidRPr="00142D97" w:rsidP="00CE1F45" w14:paraId="3C50D779" w14:textId="77777777">
            <w:pPr>
              <w:tabs>
                <w:tab w:val="center" w:pos="4680"/>
              </w:tabs>
              <w:suppressAutoHyphens/>
              <w:rPr>
                <w:spacing w:val="-2"/>
              </w:rPr>
            </w:pPr>
          </w:p>
          <w:p w:rsidR="00E87EC4" w:rsidRPr="00142D97" w:rsidP="00CE1F45" w14:paraId="04671AEC" w14:textId="77777777">
            <w:pPr>
              <w:tabs>
                <w:tab w:val="center" w:pos="4680"/>
              </w:tabs>
              <w:suppressAutoHyphens/>
              <w:rPr>
                <w:spacing w:val="-2"/>
              </w:rPr>
            </w:pPr>
          </w:p>
        </w:tc>
      </w:tr>
    </w:tbl>
    <w:p w:rsidR="00E87EC4" w:rsidRPr="00142D97" w:rsidP="00E87EC4" w14:paraId="1816B634" w14:textId="77777777">
      <w:pPr>
        <w:jc w:val="center"/>
        <w:rPr>
          <w:b/>
        </w:rPr>
      </w:pPr>
      <w:r w:rsidRPr="00142D97">
        <w:rPr>
          <w:b/>
        </w:rPr>
        <w:t>ORDER</w:t>
      </w:r>
    </w:p>
    <w:p w:rsidR="00E87EC4" w:rsidRPr="00142D97" w:rsidP="00E87EC4" w14:paraId="3A58B3BF" w14:textId="77777777">
      <w:pPr>
        <w:tabs>
          <w:tab w:val="left" w:pos="-720"/>
        </w:tabs>
        <w:suppressAutoHyphens/>
        <w:spacing w:line="227" w:lineRule="auto"/>
        <w:ind w:left="720"/>
        <w:rPr>
          <w:spacing w:val="-2"/>
        </w:rPr>
      </w:pPr>
    </w:p>
    <w:p w:rsidR="00E87EC4" w:rsidRPr="00142D97" w:rsidP="00E87EC4" w14:paraId="77F48278" w14:textId="773040B6">
      <w:pPr>
        <w:tabs>
          <w:tab w:val="left" w:pos="0"/>
          <w:tab w:val="left" w:pos="5760"/>
        </w:tabs>
        <w:suppressAutoHyphens/>
        <w:spacing w:line="227" w:lineRule="auto"/>
        <w:rPr>
          <w:spacing w:val="-2"/>
        </w:rPr>
      </w:pPr>
      <w:r w:rsidRPr="00142D97">
        <w:rPr>
          <w:b/>
          <w:spacing w:val="-2"/>
        </w:rPr>
        <w:t xml:space="preserve">Adopted: </w:t>
      </w:r>
      <w:r w:rsidR="00741344">
        <w:rPr>
          <w:b/>
          <w:spacing w:val="-2"/>
        </w:rPr>
        <w:t>August 25</w:t>
      </w:r>
      <w:r w:rsidRPr="00142D97">
        <w:rPr>
          <w:b/>
          <w:spacing w:val="-2"/>
        </w:rPr>
        <w:t>, 20</w:t>
      </w:r>
      <w:r w:rsidR="008B4E57">
        <w:rPr>
          <w:b/>
          <w:spacing w:val="-2"/>
        </w:rPr>
        <w:t>20</w:t>
      </w:r>
      <w:r w:rsidRPr="00142D97">
        <w:rPr>
          <w:b/>
          <w:spacing w:val="-2"/>
        </w:rPr>
        <w:tab/>
        <w:t xml:space="preserve">Released: </w:t>
      </w:r>
      <w:r w:rsidR="00741344">
        <w:rPr>
          <w:b/>
          <w:spacing w:val="-2"/>
        </w:rPr>
        <w:t>August 26, 2020</w:t>
      </w:r>
      <w:bookmarkStart w:id="0" w:name="_GoBack"/>
      <w:bookmarkEnd w:id="0"/>
    </w:p>
    <w:p w:rsidR="00E87EC4" w:rsidRPr="00142D97" w:rsidP="00E87EC4" w14:paraId="7A3E3EDC" w14:textId="77777777"/>
    <w:p w:rsidR="00E87EC4" w:rsidRPr="00142D97" w:rsidP="00EB76BD" w14:paraId="7CE072E3" w14:textId="73D71798">
      <w:pPr>
        <w:spacing w:after="120"/>
      </w:pPr>
      <w:r w:rsidRPr="00142D97">
        <w:t xml:space="preserve">By the Chief, Consumer Policy Division, Consumer </w:t>
      </w:r>
      <w:r>
        <w:t>and</w:t>
      </w:r>
      <w:r w:rsidRPr="00142D97">
        <w:t xml:space="preserve"> Governmental Affairs Bureau:</w:t>
      </w:r>
    </w:p>
    <w:p w:rsidR="00E87EC4" w:rsidRPr="00142D97" w:rsidP="00EB76BD" w14:paraId="49A470FD" w14:textId="42937F59">
      <w:pPr>
        <w:numPr>
          <w:ilvl w:val="0"/>
          <w:numId w:val="7"/>
        </w:numPr>
        <w:tabs>
          <w:tab w:val="num" w:pos="0"/>
          <w:tab w:val="clear" w:pos="1440"/>
        </w:tabs>
        <w:spacing w:after="120"/>
        <w:ind w:left="0" w:firstLine="720"/>
      </w:pPr>
      <w:r w:rsidRPr="00142D97">
        <w:t xml:space="preserve">In this Order, we consider </w:t>
      </w:r>
      <w:r w:rsidR="00EF5F56">
        <w:t>a</w:t>
      </w:r>
      <w:r>
        <w:t xml:space="preserve"> </w:t>
      </w:r>
      <w:r w:rsidRPr="00142D97">
        <w:t>complaint alleging that</w:t>
      </w:r>
      <w:r>
        <w:t xml:space="preserve"> Tele Circuit</w:t>
      </w:r>
      <w:r w:rsidRPr="00142D97">
        <w:t xml:space="preserve"> </w:t>
      </w:r>
      <w:r>
        <w:t>Network Corporation (Tele Circuit) changed Complainant</w:t>
      </w:r>
      <w:r w:rsidR="00540FB8">
        <w:t>’s</w:t>
      </w:r>
      <w:r w:rsidRPr="00142D97">
        <w:t xml:space="preserve"> telecommunications service provider without obtaining authorization and verification from Complainant </w:t>
      </w:r>
      <w:r w:rsidR="00540FB8">
        <w:t>as required by</w:t>
      </w:r>
      <w:r w:rsidRPr="00142D97">
        <w:t xml:space="preserve"> the Commission’s rules.</w:t>
      </w:r>
      <w:r>
        <w:rPr>
          <w:rStyle w:val="FootnoteReference"/>
        </w:rPr>
        <w:footnoteReference w:id="3"/>
      </w:r>
      <w:r w:rsidRPr="00142D97">
        <w:t xml:space="preserve">  We conclude that </w:t>
      </w:r>
      <w:r>
        <w:t xml:space="preserve">Tele Circuit’s actions violated the Commission’s </w:t>
      </w:r>
      <w:r w:rsidR="00244B46">
        <w:t>slamming</w:t>
      </w:r>
      <w:r>
        <w:t xml:space="preserve"> rules, and we therefore grant Complainant’</w:t>
      </w:r>
      <w:r w:rsidR="006F2F56">
        <w:t>s</w:t>
      </w:r>
      <w:r>
        <w:t xml:space="preserve"> complaint</w:t>
      </w:r>
      <w:r w:rsidRPr="00142D97">
        <w:t>.</w:t>
      </w:r>
    </w:p>
    <w:p w:rsidR="00E87EC4" w:rsidRPr="00142D97" w:rsidP="00EB76BD" w14:paraId="448F83EF" w14:textId="752A61D8">
      <w:pPr>
        <w:numPr>
          <w:ilvl w:val="0"/>
          <w:numId w:val="7"/>
        </w:numPr>
        <w:spacing w:after="120"/>
        <w:ind w:left="0" w:firstLine="720"/>
      </w:pPr>
      <w:r w:rsidRPr="00142D97">
        <w:t>Section 258 of the Communications Act of 1934, as amended</w:t>
      </w:r>
      <w:r w:rsidR="00D4618A">
        <w:t xml:space="preserve"> (the Act)</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8A31D7">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4B7090">
        <w:t xml:space="preserve">also </w:t>
      </w:r>
      <w:r w:rsidRPr="00142D97">
        <w:t xml:space="preserve">adopted </w:t>
      </w:r>
      <w:r>
        <w:t>rules to limit the liability of subscribers when a</w:t>
      </w:r>
      <w:r w:rsidR="004B7090">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E87EC4" w:rsidP="00E87EC4" w14:paraId="50C5427D" w14:textId="1DC4B017">
      <w:pPr>
        <w:numPr>
          <w:ilvl w:val="0"/>
          <w:numId w:val="7"/>
        </w:numPr>
        <w:tabs>
          <w:tab w:val="clear" w:pos="1440"/>
        </w:tabs>
        <w:spacing w:after="120"/>
        <w:ind w:left="0" w:firstLine="720"/>
      </w:pPr>
      <w:r w:rsidRPr="00142D97">
        <w:t xml:space="preserve">We received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8"/>
      </w:r>
      <w:r w:rsidRPr="00142D97">
        <w:t xml:space="preserve">  Pursuant t</w:t>
      </w:r>
      <w:r w:rsidR="00A33A8B">
        <w:t xml:space="preserve">o </w:t>
      </w:r>
      <w:r w:rsidRPr="00142D97">
        <w:t xml:space="preserve">our rules, we notified </w:t>
      </w:r>
      <w:r>
        <w:t>Tele Circuit of the complaint</w:t>
      </w:r>
      <w:r w:rsidRPr="00142D97">
        <w:t>.</w:t>
      </w:r>
      <w:r>
        <w:rPr>
          <w:rStyle w:val="FootnoteReference"/>
        </w:rPr>
        <w:footnoteReference w:id="9"/>
      </w:r>
      <w:r w:rsidRPr="00142D97">
        <w:t xml:space="preserve">  </w:t>
      </w:r>
      <w:r>
        <w:t>Tele Circuit has failed to respond to the complaint.  The failure of Tele Circuit to respond or provide proof of verification is presumed to be clear and convincing evidence of</w:t>
      </w:r>
      <w:r w:rsidR="004B41C6">
        <w:t xml:space="preserve"> a</w:t>
      </w:r>
      <w:r>
        <w:t xml:space="preserve"> violation.</w:t>
      </w:r>
      <w:r>
        <w:rPr>
          <w:rStyle w:val="FootnoteReference"/>
        </w:rPr>
        <w:footnoteReference w:id="10"/>
      </w:r>
      <w:r>
        <w:t xml:space="preserve">  Therefore, we find that Tele Circuit’s actions resulted in </w:t>
      </w:r>
      <w:r w:rsidR="004B41C6">
        <w:t xml:space="preserve">a </w:t>
      </w:r>
      <w:r>
        <w:t xml:space="preserve">violation of our </w:t>
      </w:r>
      <w:r w:rsidR="00C346CC">
        <w:t>slamming</w:t>
      </w:r>
      <w:r>
        <w:t xml:space="preserve"> rules, and we discuss Tele Circuit’s liability below.</w:t>
      </w:r>
      <w:r>
        <w:rPr>
          <w:rStyle w:val="FootnoteReference"/>
        </w:rPr>
        <w:footnoteReference w:id="11"/>
      </w:r>
      <w:r w:rsidRPr="00142D97">
        <w:t xml:space="preserve">  </w:t>
      </w:r>
      <w:r>
        <w:t xml:space="preserve">We will </w:t>
      </w:r>
      <w:r w:rsidR="00CB5D01">
        <w:t xml:space="preserve">also </w:t>
      </w:r>
      <w:r>
        <w:t>forward a copy of the record of this proceeding to our Enforcement Bureau to determine what additional actions may be necessary.</w:t>
      </w:r>
    </w:p>
    <w:p w:rsidR="00E87EC4" w:rsidP="00E87EC4" w14:paraId="3A948702" w14:textId="77777777">
      <w:pPr>
        <w:numPr>
          <w:ilvl w:val="0"/>
          <w:numId w:val="7"/>
        </w:numPr>
        <w:tabs>
          <w:tab w:val="clear" w:pos="1440"/>
        </w:tabs>
        <w:spacing w:after="120"/>
        <w:ind w:left="0" w:firstLine="720"/>
      </w:pPr>
      <w:r>
        <w:t>Tele Circuit must remove all charges incurred for service provided to Complainant for the first thirty days after the alleged unauthorized change in accordance with the Commission’s liability rules.</w:t>
      </w:r>
      <w:r>
        <w:rPr>
          <w:rStyle w:val="FootnoteReference"/>
        </w:rPr>
        <w:footnoteReference w:id="12"/>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s authorized carrier nor Tele Circuit may pursue any collection against Complainant for those charges.</w:t>
      </w:r>
      <w:r>
        <w:rPr>
          <w:rStyle w:val="FootnoteReference"/>
        </w:rPr>
        <w:footnoteReference w:id="13"/>
      </w:r>
      <w:r>
        <w:t xml:space="preserve">  Any charges imposed by Tele Circuit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4"/>
      </w:r>
    </w:p>
    <w:p w:rsidR="00E87EC4" w:rsidP="00E87EC4" w14:paraId="6F0C2A25" w14:textId="482C4C1A">
      <w:pPr>
        <w:numPr>
          <w:ilvl w:val="0"/>
          <w:numId w:val="7"/>
        </w:numPr>
        <w:tabs>
          <w:tab w:val="num" w:pos="0"/>
          <w:tab w:val="clear" w:pos="1440"/>
        </w:tabs>
        <w:spacing w:after="120"/>
        <w:ind w:left="0" w:firstLine="720"/>
      </w:pPr>
      <w:r w:rsidRPr="00142D97">
        <w:t xml:space="preserve">Accordingly, IT IS ORDERED that, pursuant to </w:t>
      </w:r>
      <w:r w:rsidR="004F12D6">
        <w:t>s</w:t>
      </w:r>
      <w:r w:rsidRPr="00142D97">
        <w:t xml:space="preserve">ection 258 of the Communications Act of 1934, as amended, 47 U.S.C. § 258, and </w:t>
      </w:r>
      <w:r w:rsidR="004F12D6">
        <w:t>s</w:t>
      </w:r>
      <w:r w:rsidRPr="00142D97">
        <w:t>ections 0.141, 0.361</w:t>
      </w:r>
      <w:r>
        <w:t>,</w:t>
      </w:r>
      <w:r w:rsidRPr="00142D97">
        <w:t xml:space="preserve"> and 1.719 of the Commission’s rules, 47 C</w:t>
      </w:r>
      <w:r>
        <w:t>F</w:t>
      </w:r>
      <w:r w:rsidRPr="00142D97">
        <w:t>R §§ 0.1</w:t>
      </w:r>
      <w:r>
        <w:t>41, 0.361, 1.719, the complaint</w:t>
      </w:r>
      <w:r w:rsidRPr="00142D97">
        <w:t xml:space="preserve"> against </w:t>
      </w:r>
      <w:r>
        <w:t>Tele Circuit</w:t>
      </w:r>
      <w:r w:rsidRPr="00142D97">
        <w:t xml:space="preserve"> </w:t>
      </w:r>
      <w:r>
        <w:t xml:space="preserve">Network Corporation </w:t>
      </w:r>
      <w:r w:rsidR="004B41C6">
        <w:t>IS</w:t>
      </w:r>
      <w:r>
        <w:t xml:space="preserve"> GRANTED</w:t>
      </w:r>
      <w:r w:rsidRPr="00142D97">
        <w:t>.</w:t>
      </w:r>
    </w:p>
    <w:p w:rsidR="004B41C6" w:rsidRPr="00F77624" w:rsidP="00F77624" w14:paraId="266B60AF" w14:textId="3CCF0811">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CB5D01">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Pr>
          <w:szCs w:val="22"/>
        </w:rPr>
        <w:t>Tele Circuit</w:t>
      </w:r>
      <w:r w:rsidR="00B841CA">
        <w:rPr>
          <w:szCs w:val="22"/>
        </w:rPr>
        <w:t xml:space="preserve"> Network Corporation</w:t>
      </w:r>
      <w:r w:rsidRPr="00C525ED">
        <w:rPr>
          <w:szCs w:val="22"/>
        </w:rPr>
        <w:t xml:space="preserve"> may not pursue any collection</w:t>
      </w:r>
      <w:r w:rsidRPr="00ED0DB7">
        <w:rPr>
          <w:szCs w:val="22"/>
        </w:rPr>
        <w:t xml:space="preserve"> against Complainant</w:t>
      </w:r>
      <w:r w:rsidRPr="00C525ED">
        <w:rPr>
          <w:szCs w:val="22"/>
        </w:rPr>
        <w:t xml:space="preserve"> for those charges.</w:t>
      </w:r>
    </w:p>
    <w:p w:rsidR="00E87EC4" w:rsidRPr="00142D97" w:rsidP="00F77624" w14:paraId="5C4C8F4E" w14:textId="48536A92">
      <w:pPr>
        <w:numPr>
          <w:ilvl w:val="0"/>
          <w:numId w:val="7"/>
        </w:numPr>
        <w:tabs>
          <w:tab w:val="num" w:pos="0"/>
          <w:tab w:val="clear" w:pos="1440"/>
        </w:tabs>
        <w:spacing w:after="120"/>
        <w:ind w:left="0" w:firstLine="720"/>
      </w:pPr>
      <w:r>
        <w:t>IT IS FURTHER ORDERED that this Order is effective upon release</w:t>
      </w:r>
      <w:r w:rsidR="008B4E57">
        <w:t>.</w:t>
      </w:r>
    </w:p>
    <w:p w:rsidR="00E87EC4" w:rsidP="00CB5D01" w14:paraId="002293A8" w14:textId="6D754386">
      <w:pPr>
        <w:tabs>
          <w:tab w:val="left" w:pos="4320"/>
        </w:tabs>
        <w:ind w:left="3600" w:right="274"/>
        <w:outlineLvl w:val="0"/>
      </w:pPr>
      <w:r>
        <w:tab/>
      </w:r>
      <w:r w:rsidRPr="00142D97">
        <w:t>FEDERAL COMMUNICATIONS COMMISSION</w:t>
      </w:r>
    </w:p>
    <w:p w:rsidR="00E87EC4" w:rsidRPr="001C1F54" w:rsidP="00CB5D01" w14:paraId="49875239" w14:textId="77777777">
      <w:pPr>
        <w:tabs>
          <w:tab w:val="left" w:pos="4320"/>
        </w:tabs>
        <w:ind w:left="3600" w:right="274"/>
        <w:outlineLvl w:val="0"/>
      </w:pPr>
    </w:p>
    <w:p w:rsidR="00E87EC4" w:rsidRPr="00EF2C5A" w:rsidP="00CB5D01" w14:paraId="676A2567" w14:textId="77777777">
      <w:pPr>
        <w:tabs>
          <w:tab w:val="left" w:pos="4320"/>
        </w:tabs>
        <w:ind w:right="270"/>
        <w:rPr>
          <w:szCs w:val="22"/>
        </w:rPr>
      </w:pPr>
    </w:p>
    <w:p w:rsidR="00E87EC4" w:rsidP="00CB5D01" w14:paraId="6E29E0B1" w14:textId="77777777">
      <w:pPr>
        <w:tabs>
          <w:tab w:val="left" w:pos="4320"/>
        </w:tabs>
        <w:ind w:left="2880" w:right="270" w:firstLine="720"/>
        <w:outlineLvl w:val="0"/>
      </w:pPr>
    </w:p>
    <w:p w:rsidR="00484334" w:rsidP="00CB5D01" w14:paraId="579DE54E" w14:textId="77777777">
      <w:pPr>
        <w:tabs>
          <w:tab w:val="left" w:pos="4320"/>
        </w:tabs>
        <w:ind w:left="2880" w:right="270" w:firstLine="720"/>
        <w:outlineLvl w:val="0"/>
      </w:pPr>
    </w:p>
    <w:p w:rsidR="00E87EC4" w:rsidP="00CB5D01" w14:paraId="5F72B6AD" w14:textId="46AC533B">
      <w:pPr>
        <w:tabs>
          <w:tab w:val="left" w:pos="4320"/>
        </w:tabs>
        <w:ind w:left="2880" w:right="270" w:firstLine="720"/>
        <w:outlineLvl w:val="0"/>
        <w:rPr>
          <w:szCs w:val="22"/>
        </w:rPr>
      </w:pPr>
      <w:r>
        <w:tab/>
      </w:r>
      <w:r w:rsidR="008B4E57">
        <w:t>Kurt A. Schroeder</w:t>
      </w:r>
      <w:r w:rsidRPr="00EF2C5A">
        <w:rPr>
          <w:szCs w:val="22"/>
        </w:rPr>
        <w:t xml:space="preserve"> </w:t>
      </w:r>
    </w:p>
    <w:p w:rsidR="00E87EC4" w:rsidRPr="00142D97" w:rsidP="00CB5D01" w14:paraId="4ED706C7" w14:textId="5C01D978">
      <w:pPr>
        <w:tabs>
          <w:tab w:val="left" w:pos="4320"/>
        </w:tabs>
        <w:ind w:left="2880" w:right="270" w:firstLine="720"/>
      </w:pPr>
      <w:r>
        <w:tab/>
      </w:r>
      <w:r w:rsidRPr="00142D97">
        <w:t>Chief</w:t>
      </w:r>
    </w:p>
    <w:p w:rsidR="00E87EC4" w:rsidRPr="00142D97" w:rsidP="00CB5D01" w14:paraId="2A2BEAC5" w14:textId="4E00C508">
      <w:pPr>
        <w:tabs>
          <w:tab w:val="left" w:pos="4320"/>
        </w:tabs>
        <w:ind w:left="2880" w:right="270" w:firstLine="720"/>
      </w:pPr>
      <w:r>
        <w:tab/>
      </w:r>
      <w:r w:rsidRPr="00142D97">
        <w:t>Consumer Policy Division</w:t>
      </w:r>
    </w:p>
    <w:p w:rsidR="00E87EC4" w:rsidP="008269D0" w14:paraId="2A315772" w14:textId="6687C4D6">
      <w:pPr>
        <w:tabs>
          <w:tab w:val="left" w:pos="4320"/>
        </w:tabs>
        <w:ind w:left="3600" w:right="270"/>
      </w:pPr>
      <w:r>
        <w:tab/>
      </w:r>
      <w:r>
        <w:t xml:space="preserve">Consumer and </w:t>
      </w:r>
      <w:r w:rsidRPr="00142D97">
        <w:t>Governmental Affairs Bureau</w:t>
      </w:r>
    </w:p>
    <w:p w:rsidR="00E87EC4" w:rsidP="00E87EC4" w14:paraId="41F474AD" w14:textId="77777777">
      <w:pPr>
        <w:ind w:right="270"/>
        <w:jc w:val="center"/>
      </w:pPr>
    </w:p>
    <w:p w:rsidR="00E87EC4" w:rsidRPr="002C00E8" w:rsidP="008269D0" w14:paraId="19F7A0BD"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90A5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341A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C8C46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C87678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E596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2578123B" w14:textId="77777777">
      <w:r>
        <w:separator/>
      </w:r>
    </w:p>
  </w:footnote>
  <w:footnote w:type="continuationSeparator" w:id="1">
    <w:p w:rsidR="00E87EC4" w:rsidP="00C721AC" w14:paraId="282DC55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225D889D" w14:textId="77777777">
      <w:pPr>
        <w:pStyle w:val="Footer"/>
      </w:pPr>
    </w:p>
  </w:footnote>
  <w:footnote w:id="3">
    <w:p w:rsidR="00E87EC4" w:rsidP="00E87EC4" w14:paraId="59F16CA6" w14:textId="6D4645E3">
      <w:pPr>
        <w:pStyle w:val="FootnoteText"/>
      </w:pPr>
      <w:r>
        <w:rPr>
          <w:rStyle w:val="FootnoteReference"/>
        </w:rPr>
        <w:footnoteRef/>
      </w:r>
      <w:r>
        <w:t xml:space="preserve"> </w:t>
      </w:r>
      <w:r>
        <w:rPr>
          <w:i/>
        </w:rPr>
        <w:t>See</w:t>
      </w:r>
      <w:r>
        <w:t xml:space="preserve"> </w:t>
      </w:r>
      <w:r w:rsidR="00540FB8">
        <w:rPr>
          <w:iCs/>
        </w:rPr>
        <w:t xml:space="preserve">Informal </w:t>
      </w:r>
      <w:r w:rsidRPr="006F2F56" w:rsidR="00540FB8">
        <w:t>Complaint No.</w:t>
      </w:r>
      <w:r w:rsidR="00540FB8">
        <w:t xml:space="preserve"> 4080233 (</w:t>
      </w:r>
      <w:r w:rsidRPr="006F2F56" w:rsidR="00540FB8">
        <w:t>filed</w:t>
      </w:r>
      <w:r w:rsidR="00540FB8">
        <w:t xml:space="preserve"> July 10</w:t>
      </w:r>
      <w:r w:rsidRPr="006F2F56" w:rsidR="00540FB8">
        <w:t>, 20</w:t>
      </w:r>
      <w:r w:rsidR="00540FB8">
        <w:t xml:space="preserve">20); </w:t>
      </w:r>
      <w:r>
        <w:t>47 CFR §§ 64.1100 – 64.1190.</w:t>
      </w:r>
    </w:p>
  </w:footnote>
  <w:footnote w:id="4">
    <w:p w:rsidR="00E87EC4" w:rsidP="00E87EC4" w14:paraId="1DE1F4CC" w14:textId="77777777">
      <w:pPr>
        <w:pStyle w:val="FootnoteText"/>
      </w:pPr>
      <w:r>
        <w:rPr>
          <w:rStyle w:val="FootnoteReference"/>
        </w:rPr>
        <w:footnoteRef/>
      </w:r>
      <w:r>
        <w:t xml:space="preserve"> </w:t>
      </w:r>
      <w:r w:rsidRPr="00F86B2C">
        <w:t>47 U.S.C. § 258(a).</w:t>
      </w:r>
    </w:p>
  </w:footnote>
  <w:footnote w:id="5">
    <w:p w:rsidR="00E87EC4" w:rsidP="00E87EC4" w14:paraId="0078FD72"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C9FAEE5"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5054EAC" w14:textId="1FDF3D86">
      <w:pPr>
        <w:pStyle w:val="FootnoteText"/>
      </w:pPr>
      <w:r>
        <w:rPr>
          <w:rStyle w:val="FootnoteReference"/>
        </w:rPr>
        <w:footnoteRef/>
      </w:r>
      <w:r>
        <w:t xml:space="preserve"> </w:t>
      </w:r>
      <w:r w:rsidRPr="00142D97">
        <w:t xml:space="preserve">These rules require the </w:t>
      </w:r>
      <w:r w:rsidR="004B7090">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A33A8B" w14:paraId="72E75F0E" w14:textId="453FAA41">
      <w:pPr>
        <w:pStyle w:val="FootnoteText"/>
      </w:pPr>
      <w:r>
        <w:rPr>
          <w:rStyle w:val="FootnoteReference"/>
        </w:rPr>
        <w:footnoteRef/>
      </w:r>
      <w:r>
        <w:t xml:space="preserve"> </w:t>
      </w:r>
      <w:r w:rsidRPr="00A33A8B">
        <w:rPr>
          <w:i/>
          <w:iCs/>
        </w:rPr>
        <w:t>See</w:t>
      </w:r>
      <w:r>
        <w:t xml:space="preserve"> Informal Complaint No. 4080233.</w:t>
      </w:r>
    </w:p>
  </w:footnote>
  <w:footnote w:id="9">
    <w:p w:rsidR="00E87EC4" w:rsidP="00E87EC4" w14:paraId="47A80CBA" w14:textId="12F05548">
      <w:pPr>
        <w:pStyle w:val="FootnoteText"/>
      </w:pPr>
      <w:r>
        <w:rPr>
          <w:rStyle w:val="FootnoteReference"/>
        </w:rPr>
        <w:footnoteRef/>
      </w:r>
      <w:r>
        <w:t xml:space="preserve"> </w:t>
      </w:r>
      <w:r w:rsidRPr="00F86B2C">
        <w:t xml:space="preserve">47 CFR § 1.719 (Commission procedure for informal complaints filed pursuant to </w:t>
      </w:r>
      <w:r w:rsidR="00A33A8B">
        <w:t>s</w:t>
      </w:r>
      <w:r w:rsidRPr="00F86B2C">
        <w:t xml:space="preserve">ection 258 of the Act); </w:t>
      </w:r>
      <w:r w:rsidRPr="00A15D6E">
        <w:rPr>
          <w:i/>
        </w:rPr>
        <w:t>id.</w:t>
      </w:r>
      <w:r w:rsidRPr="00F86B2C">
        <w:t xml:space="preserve"> § 64.1150 (procedures for resolution of unauthorized changes in preferred carrier).</w:t>
      </w:r>
    </w:p>
  </w:footnote>
  <w:footnote w:id="10">
    <w:p w:rsidR="00E87EC4" w:rsidRPr="003D1861" w:rsidP="00E87EC4" w14:paraId="14FD1929" w14:textId="77777777">
      <w:pPr>
        <w:pStyle w:val="FootnoteText"/>
      </w:pPr>
      <w:r>
        <w:rPr>
          <w:rStyle w:val="FootnoteReference"/>
        </w:rPr>
        <w:footnoteRef/>
      </w:r>
      <w:r>
        <w:t xml:space="preserve"> </w:t>
      </w:r>
      <w:bookmarkStart w:id="1" w:name="_Hlk514147807"/>
      <w:r w:rsidRPr="003D1861">
        <w:rPr>
          <w:i/>
        </w:rPr>
        <w:t>See</w:t>
      </w:r>
      <w:r>
        <w:rPr>
          <w:i/>
        </w:rPr>
        <w:t xml:space="preserve"> id.</w:t>
      </w:r>
      <w:r>
        <w:t xml:space="preserve"> </w:t>
      </w:r>
      <w:bookmarkStart w:id="2" w:name="_Hlk514147961"/>
      <w:r>
        <w:t>§</w:t>
      </w:r>
      <w:bookmarkEnd w:id="2"/>
      <w:r>
        <w:t xml:space="preserve"> 64.1150(d)</w:t>
      </w:r>
      <w:bookmarkEnd w:id="1"/>
      <w:r>
        <w:t>.</w:t>
      </w:r>
    </w:p>
  </w:footnote>
  <w:footnote w:id="11">
    <w:p w:rsidR="00E87EC4" w:rsidP="00E87EC4" w14:paraId="4CBAE85A" w14:textId="71FC343A">
      <w:pPr>
        <w:pStyle w:val="FootnoteText"/>
        <w:tabs>
          <w:tab w:val="left" w:pos="0"/>
        </w:tabs>
      </w:pPr>
      <w:r>
        <w:rPr>
          <w:rStyle w:val="FootnoteReference"/>
        </w:rPr>
        <w:footnoteRef/>
      </w:r>
      <w:r>
        <w:t xml:space="preserve"> If Complainant is unsatisfied with the resolution of </w:t>
      </w:r>
      <w:r w:rsidR="00C346CC">
        <w:t>the</w:t>
      </w:r>
      <w:r>
        <w:t xml:space="preserve"> complaint, Complainant may file a formal complaint with the Commission pursuant to </w:t>
      </w:r>
      <w:r w:rsidR="00C346CC">
        <w:t>s</w:t>
      </w:r>
      <w:r>
        <w:t xml:space="preserve">ection 1.721 of the Commission’s rules.  </w:t>
      </w:r>
      <w:r w:rsidRPr="00470EAA">
        <w:rPr>
          <w:i/>
        </w:rPr>
        <w:t>Id</w:t>
      </w:r>
      <w:r>
        <w:t xml:space="preserve">. §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0EAA">
        <w:rPr>
          <w:i/>
        </w:rPr>
        <w:t>id</w:t>
      </w:r>
      <w:r>
        <w:t>. § 1.719.</w:t>
      </w:r>
    </w:p>
  </w:footnote>
  <w:footnote w:id="12">
    <w:p w:rsidR="00E87EC4" w:rsidP="00E87EC4" w14:paraId="39708FD9"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13">
    <w:p w:rsidR="00E87EC4" w:rsidP="00E87EC4" w14:paraId="2E4B58CA"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4">
    <w:p w:rsidR="00E87EC4" w:rsidP="00E87EC4" w14:paraId="1B9A18DF"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15F283" w14:textId="6587EFEC">
    <w:pPr>
      <w:pStyle w:val="Header"/>
      <w:rPr>
        <w:b w:val="0"/>
      </w:rPr>
    </w:pPr>
    <w:r>
      <w:tab/>
      <w:t>Federal Communications Commission</w:t>
    </w:r>
    <w:r>
      <w:tab/>
    </w:r>
    <w:r w:rsidR="00AE241C">
      <w:t xml:space="preserve">DA </w:t>
    </w:r>
    <w:r w:rsidR="008B4E57">
      <w:t>20</w:t>
    </w:r>
    <w:r w:rsidR="00AE241C">
      <w:t>-</w:t>
    </w:r>
    <w:r w:rsidR="00741344">
      <w:t>956</w:t>
    </w:r>
  </w:p>
  <w:p w:rsidR="00D25FB5" w14:paraId="1405791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1021C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A337EB" w14:textId="05BD54F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8B4E57">
      <w:rPr>
        <w:spacing w:val="-2"/>
      </w:rPr>
      <w:t>20</w:t>
    </w:r>
    <w:r w:rsidR="00AE241C">
      <w:rPr>
        <w:spacing w:val="-2"/>
      </w:rPr>
      <w:t>-</w:t>
    </w:r>
    <w:r w:rsidR="00741344">
      <w:rPr>
        <w:spacing w:val="-2"/>
      </w:rPr>
      <w:t>956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36039"/>
    <w:rsid w:val="00037F90"/>
    <w:rsid w:val="000875BF"/>
    <w:rsid w:val="00096D8C"/>
    <w:rsid w:val="000C0B65"/>
    <w:rsid w:val="000E05FE"/>
    <w:rsid w:val="000E3D42"/>
    <w:rsid w:val="00122BD5"/>
    <w:rsid w:val="00133F79"/>
    <w:rsid w:val="00142D97"/>
    <w:rsid w:val="00194A66"/>
    <w:rsid w:val="001C1F54"/>
    <w:rsid w:val="001D6BCF"/>
    <w:rsid w:val="001E01CA"/>
    <w:rsid w:val="00244B46"/>
    <w:rsid w:val="00275CF5"/>
    <w:rsid w:val="0028301F"/>
    <w:rsid w:val="00285017"/>
    <w:rsid w:val="002A2D2E"/>
    <w:rsid w:val="002C00E8"/>
    <w:rsid w:val="00343749"/>
    <w:rsid w:val="003660ED"/>
    <w:rsid w:val="003B0550"/>
    <w:rsid w:val="003B694F"/>
    <w:rsid w:val="003D1861"/>
    <w:rsid w:val="003F171C"/>
    <w:rsid w:val="00412FC5"/>
    <w:rsid w:val="00422276"/>
    <w:rsid w:val="004242F1"/>
    <w:rsid w:val="00445A00"/>
    <w:rsid w:val="00451B0F"/>
    <w:rsid w:val="00470EAA"/>
    <w:rsid w:val="00484334"/>
    <w:rsid w:val="004B41C6"/>
    <w:rsid w:val="004B7090"/>
    <w:rsid w:val="004C2EE3"/>
    <w:rsid w:val="004E4A22"/>
    <w:rsid w:val="004F12D6"/>
    <w:rsid w:val="00511968"/>
    <w:rsid w:val="00523895"/>
    <w:rsid w:val="00540FB8"/>
    <w:rsid w:val="0055614C"/>
    <w:rsid w:val="00566D06"/>
    <w:rsid w:val="005E14C2"/>
    <w:rsid w:val="005F7CD1"/>
    <w:rsid w:val="00607BA5"/>
    <w:rsid w:val="0061180A"/>
    <w:rsid w:val="00626EB6"/>
    <w:rsid w:val="00655D03"/>
    <w:rsid w:val="00683388"/>
    <w:rsid w:val="00683F84"/>
    <w:rsid w:val="006A6A81"/>
    <w:rsid w:val="006F2F56"/>
    <w:rsid w:val="006F7393"/>
    <w:rsid w:val="0070224F"/>
    <w:rsid w:val="007115F7"/>
    <w:rsid w:val="00741344"/>
    <w:rsid w:val="00766B85"/>
    <w:rsid w:val="00785689"/>
    <w:rsid w:val="0079754B"/>
    <w:rsid w:val="007A1E6D"/>
    <w:rsid w:val="007B0EB2"/>
    <w:rsid w:val="00810B6F"/>
    <w:rsid w:val="00822CE0"/>
    <w:rsid w:val="008269D0"/>
    <w:rsid w:val="00841AB1"/>
    <w:rsid w:val="00856985"/>
    <w:rsid w:val="008A31D7"/>
    <w:rsid w:val="008B4E57"/>
    <w:rsid w:val="008B5281"/>
    <w:rsid w:val="008C68F1"/>
    <w:rsid w:val="00921803"/>
    <w:rsid w:val="00926503"/>
    <w:rsid w:val="009726D8"/>
    <w:rsid w:val="009A6355"/>
    <w:rsid w:val="009D7308"/>
    <w:rsid w:val="009F5A2A"/>
    <w:rsid w:val="009F76DB"/>
    <w:rsid w:val="00A15D6E"/>
    <w:rsid w:val="00A32C3B"/>
    <w:rsid w:val="00A33A8B"/>
    <w:rsid w:val="00A45F4F"/>
    <w:rsid w:val="00A600A9"/>
    <w:rsid w:val="00AA55B7"/>
    <w:rsid w:val="00AA5B9E"/>
    <w:rsid w:val="00AB2407"/>
    <w:rsid w:val="00AB53DF"/>
    <w:rsid w:val="00AE241C"/>
    <w:rsid w:val="00B06C6D"/>
    <w:rsid w:val="00B07E5C"/>
    <w:rsid w:val="00B64743"/>
    <w:rsid w:val="00B811F7"/>
    <w:rsid w:val="00B841CA"/>
    <w:rsid w:val="00B91DEB"/>
    <w:rsid w:val="00BA5DC6"/>
    <w:rsid w:val="00BA6196"/>
    <w:rsid w:val="00BC6D8C"/>
    <w:rsid w:val="00C34006"/>
    <w:rsid w:val="00C346CC"/>
    <w:rsid w:val="00C36B4C"/>
    <w:rsid w:val="00C426B1"/>
    <w:rsid w:val="00C525ED"/>
    <w:rsid w:val="00C66160"/>
    <w:rsid w:val="00C721AC"/>
    <w:rsid w:val="00C90D6A"/>
    <w:rsid w:val="00CA247E"/>
    <w:rsid w:val="00CA6D21"/>
    <w:rsid w:val="00CB5D01"/>
    <w:rsid w:val="00CC72B6"/>
    <w:rsid w:val="00CE1F45"/>
    <w:rsid w:val="00CF10D8"/>
    <w:rsid w:val="00D0218D"/>
    <w:rsid w:val="00D25FB5"/>
    <w:rsid w:val="00D44223"/>
    <w:rsid w:val="00D4618A"/>
    <w:rsid w:val="00DA2529"/>
    <w:rsid w:val="00DB130A"/>
    <w:rsid w:val="00DB2EBB"/>
    <w:rsid w:val="00DC10A1"/>
    <w:rsid w:val="00DC655F"/>
    <w:rsid w:val="00DD0B59"/>
    <w:rsid w:val="00DD7EBD"/>
    <w:rsid w:val="00DF62B6"/>
    <w:rsid w:val="00E07225"/>
    <w:rsid w:val="00E5409F"/>
    <w:rsid w:val="00E87EC4"/>
    <w:rsid w:val="00E93531"/>
    <w:rsid w:val="00EB76BD"/>
    <w:rsid w:val="00ED0DB7"/>
    <w:rsid w:val="00EE6488"/>
    <w:rsid w:val="00EF2C5A"/>
    <w:rsid w:val="00EF5F56"/>
    <w:rsid w:val="00F021FA"/>
    <w:rsid w:val="00F62E97"/>
    <w:rsid w:val="00F64209"/>
    <w:rsid w:val="00F77624"/>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