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964D7" w:rsidP="00965C38" w14:paraId="6E313A8E" w14:textId="5FBF440C">
      <w:pPr>
        <w:ind w:left="7200"/>
        <w:rPr>
          <w:b/>
          <w:szCs w:val="22"/>
        </w:rPr>
      </w:pPr>
      <w:bookmarkStart w:id="0" w:name="_Hlk26280526"/>
      <w:r>
        <w:rPr>
          <w:b/>
          <w:szCs w:val="22"/>
        </w:rPr>
        <w:t xml:space="preserve">      </w:t>
      </w:r>
      <w:r w:rsidR="005A5228">
        <w:rPr>
          <w:b/>
          <w:szCs w:val="22"/>
        </w:rPr>
        <w:t xml:space="preserve"> </w:t>
      </w:r>
      <w:r w:rsidR="00D50196">
        <w:rPr>
          <w:b/>
          <w:szCs w:val="22"/>
        </w:rPr>
        <w:t xml:space="preserve">  </w:t>
      </w:r>
      <w:bookmarkStart w:id="1" w:name="_GoBack"/>
      <w:bookmarkEnd w:id="1"/>
      <w:r>
        <w:rPr>
          <w:b/>
          <w:szCs w:val="22"/>
        </w:rPr>
        <w:t>DA 20-</w:t>
      </w:r>
      <w:r w:rsidR="00F4746A">
        <w:rPr>
          <w:b/>
          <w:szCs w:val="22"/>
        </w:rPr>
        <w:t>965</w:t>
      </w:r>
    </w:p>
    <w:p w:rsidR="00F964D7" w:rsidP="00965C38" w14:paraId="71A04E2C" w14:textId="475C0945">
      <w:pPr>
        <w:spacing w:before="60"/>
        <w:ind w:left="7200"/>
        <w:jc w:val="center"/>
        <w:rPr>
          <w:b/>
          <w:szCs w:val="22"/>
        </w:rPr>
      </w:pPr>
      <w:r>
        <w:rPr>
          <w:b/>
          <w:szCs w:val="22"/>
        </w:rPr>
        <w:t xml:space="preserve">August </w:t>
      </w:r>
      <w:r w:rsidR="000A571B">
        <w:rPr>
          <w:b/>
          <w:szCs w:val="22"/>
        </w:rPr>
        <w:t>27</w:t>
      </w:r>
      <w:r>
        <w:rPr>
          <w:b/>
          <w:szCs w:val="22"/>
        </w:rPr>
        <w:t>, 2020</w:t>
      </w:r>
    </w:p>
    <w:p w:rsidR="00F964D7" w:rsidP="00F964D7" w14:paraId="2DE3E01A" w14:textId="77777777">
      <w:pPr>
        <w:tabs>
          <w:tab w:val="left" w:pos="5900"/>
        </w:tabs>
        <w:rPr>
          <w:szCs w:val="22"/>
        </w:rPr>
      </w:pPr>
      <w:r>
        <w:rPr>
          <w:szCs w:val="22"/>
        </w:rPr>
        <w:tab/>
      </w:r>
    </w:p>
    <w:p w:rsidR="0073265A" w:rsidP="00F964D7" w14:paraId="27F06A46" w14:textId="77777777">
      <w:pPr>
        <w:jc w:val="center"/>
        <w:rPr>
          <w:b/>
          <w:bCs/>
          <w:szCs w:val="22"/>
        </w:rPr>
      </w:pPr>
      <w:bookmarkStart w:id="2" w:name="_Hlk519509475"/>
      <w:bookmarkStart w:id="3" w:name="_Hlk502044717"/>
      <w:bookmarkStart w:id="4" w:name="_Hlk516578398"/>
      <w:r>
        <w:rPr>
          <w:b/>
          <w:bCs/>
          <w:szCs w:val="22"/>
        </w:rPr>
        <w:t xml:space="preserve">APPLICATIONS FILED FOR THE </w:t>
      </w:r>
      <w:r w:rsidRPr="00E31C9E">
        <w:rPr>
          <w:b/>
          <w:bCs/>
          <w:szCs w:val="22"/>
        </w:rPr>
        <w:t xml:space="preserve">ACQUISITION OF CERTAIN ASSETS </w:t>
      </w:r>
      <w:r>
        <w:rPr>
          <w:b/>
          <w:bCs/>
          <w:szCs w:val="22"/>
        </w:rPr>
        <w:t xml:space="preserve">OF </w:t>
      </w:r>
      <w:r w:rsidR="00985BFB">
        <w:rPr>
          <w:b/>
          <w:bCs/>
          <w:szCs w:val="22"/>
        </w:rPr>
        <w:br/>
      </w:r>
      <w:r w:rsidRPr="00E31C9E">
        <w:rPr>
          <w:b/>
          <w:bCs/>
          <w:szCs w:val="22"/>
        </w:rPr>
        <w:t xml:space="preserve">LEGACY LONG DISTANCE INTERNATIONAL, INC. </w:t>
      </w:r>
      <w:r w:rsidR="00985BFB">
        <w:rPr>
          <w:b/>
          <w:bCs/>
          <w:szCs w:val="22"/>
        </w:rPr>
        <w:br/>
      </w:r>
      <w:r w:rsidRPr="00E31C9E">
        <w:rPr>
          <w:b/>
          <w:bCs/>
          <w:szCs w:val="22"/>
        </w:rPr>
        <w:t>D/B/A</w:t>
      </w:r>
      <w:r>
        <w:rPr>
          <w:b/>
          <w:bCs/>
          <w:szCs w:val="22"/>
        </w:rPr>
        <w:t xml:space="preserve"> </w:t>
      </w:r>
      <w:r w:rsidRPr="00E31C9E">
        <w:rPr>
          <w:b/>
          <w:bCs/>
          <w:szCs w:val="22"/>
        </w:rPr>
        <w:t xml:space="preserve">LEGACY INMATE COMMUNICATIONS </w:t>
      </w:r>
    </w:p>
    <w:p w:rsidR="00F964D7" w:rsidRPr="00E31C9E" w:rsidP="00F964D7" w14:paraId="1A191180" w14:textId="5924DA29">
      <w:pPr>
        <w:jc w:val="center"/>
        <w:rPr>
          <w:b/>
          <w:bCs/>
          <w:szCs w:val="22"/>
        </w:rPr>
      </w:pPr>
      <w:r>
        <w:rPr>
          <w:b/>
          <w:bCs/>
          <w:szCs w:val="22"/>
        </w:rPr>
        <w:t>BY</w:t>
      </w:r>
      <w:r>
        <w:rPr>
          <w:b/>
          <w:bCs/>
          <w:szCs w:val="22"/>
        </w:rPr>
        <w:t xml:space="preserve"> </w:t>
      </w:r>
      <w:bookmarkEnd w:id="2"/>
      <w:bookmarkEnd w:id="3"/>
      <w:bookmarkEnd w:id="4"/>
      <w:r w:rsidRPr="00B32485">
        <w:rPr>
          <w:b/>
          <w:bCs/>
          <w:szCs w:val="22"/>
        </w:rPr>
        <w:t>GLOBAL TEL*LINK CORPORATION</w:t>
      </w:r>
    </w:p>
    <w:p w:rsidR="00F964D7" w:rsidP="00F964D7" w14:paraId="4EC11CFD" w14:textId="77777777">
      <w:pPr>
        <w:autoSpaceDE w:val="0"/>
        <w:autoSpaceDN w:val="0"/>
        <w:adjustRightInd w:val="0"/>
        <w:jc w:val="right"/>
        <w:rPr>
          <w:b/>
          <w:bCs/>
          <w:szCs w:val="22"/>
        </w:rPr>
      </w:pPr>
    </w:p>
    <w:p w:rsidR="00F964D7" w:rsidP="00F964D7" w14:paraId="6181E64E" w14:textId="77777777">
      <w:pPr>
        <w:jc w:val="center"/>
        <w:rPr>
          <w:b/>
          <w:szCs w:val="22"/>
        </w:rPr>
      </w:pPr>
      <w:r>
        <w:rPr>
          <w:b/>
          <w:bCs/>
          <w:szCs w:val="22"/>
        </w:rPr>
        <w:t>NON-STREA</w:t>
      </w:r>
      <w:r>
        <w:rPr>
          <w:b/>
          <w:szCs w:val="22"/>
        </w:rPr>
        <w:t>MLINED PLEADING CYCLE ESTABLISHED</w:t>
      </w:r>
    </w:p>
    <w:p w:rsidR="00F964D7" w:rsidP="00F964D7" w14:paraId="4F6D3AB7" w14:textId="77777777">
      <w:pPr>
        <w:jc w:val="center"/>
        <w:rPr>
          <w:b/>
          <w:szCs w:val="22"/>
        </w:rPr>
      </w:pPr>
    </w:p>
    <w:p w:rsidR="00F964D7" w:rsidP="00F964D7" w14:paraId="2C726C67" w14:textId="77777777">
      <w:pPr>
        <w:jc w:val="center"/>
        <w:rPr>
          <w:b/>
          <w:szCs w:val="22"/>
        </w:rPr>
      </w:pPr>
      <w:r>
        <w:rPr>
          <w:b/>
          <w:szCs w:val="22"/>
        </w:rPr>
        <w:t xml:space="preserve"> WC Docket No. 20-218</w:t>
      </w:r>
    </w:p>
    <w:p w:rsidR="00F964D7" w:rsidP="00F964D7" w14:paraId="3CB570CD" w14:textId="77777777">
      <w:pPr>
        <w:jc w:val="center"/>
        <w:rPr>
          <w:szCs w:val="22"/>
        </w:rPr>
      </w:pPr>
    </w:p>
    <w:p w:rsidR="00F964D7" w:rsidP="00F964D7" w14:paraId="17B549F5" w14:textId="3E45334A">
      <w:pPr>
        <w:pStyle w:val="NoSpacing"/>
        <w:rPr>
          <w:b/>
          <w:szCs w:val="22"/>
        </w:rPr>
      </w:pPr>
      <w:r>
        <w:rPr>
          <w:b/>
          <w:szCs w:val="22"/>
        </w:rPr>
        <w:t xml:space="preserve">Comments Due: </w:t>
      </w:r>
      <w:r w:rsidR="00FA5108">
        <w:rPr>
          <w:b/>
          <w:szCs w:val="22"/>
        </w:rPr>
        <w:t xml:space="preserve"> September</w:t>
      </w:r>
      <w:r>
        <w:rPr>
          <w:b/>
          <w:szCs w:val="22"/>
        </w:rPr>
        <w:t xml:space="preserve"> </w:t>
      </w:r>
      <w:r w:rsidR="000A571B">
        <w:rPr>
          <w:b/>
          <w:szCs w:val="22"/>
        </w:rPr>
        <w:t>10</w:t>
      </w:r>
      <w:r>
        <w:rPr>
          <w:b/>
          <w:szCs w:val="22"/>
        </w:rPr>
        <w:t>, 2020</w:t>
      </w:r>
    </w:p>
    <w:p w:rsidR="00F964D7" w:rsidP="00F964D7" w14:paraId="20E2FB8C" w14:textId="53517463">
      <w:pPr>
        <w:pStyle w:val="NoSpacing"/>
        <w:rPr>
          <w:b/>
          <w:szCs w:val="22"/>
        </w:rPr>
      </w:pPr>
      <w:r>
        <w:rPr>
          <w:b/>
          <w:szCs w:val="22"/>
        </w:rPr>
        <w:t xml:space="preserve">Reply Comments Due: </w:t>
      </w:r>
      <w:r w:rsidR="00FA5108">
        <w:rPr>
          <w:b/>
          <w:szCs w:val="22"/>
        </w:rPr>
        <w:t xml:space="preserve"> September</w:t>
      </w:r>
      <w:r>
        <w:rPr>
          <w:b/>
          <w:szCs w:val="22"/>
        </w:rPr>
        <w:t xml:space="preserve"> </w:t>
      </w:r>
      <w:r w:rsidR="000A571B">
        <w:rPr>
          <w:b/>
          <w:szCs w:val="22"/>
        </w:rPr>
        <w:t>17</w:t>
      </w:r>
      <w:r>
        <w:rPr>
          <w:b/>
          <w:szCs w:val="22"/>
        </w:rPr>
        <w:t>, 2020</w:t>
      </w:r>
    </w:p>
    <w:bookmarkEnd w:id="0"/>
    <w:p w:rsidR="00F964D7" w:rsidP="00F964D7" w14:paraId="3ED8DE89"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F964D7" w:rsidP="00F964D7" w14:paraId="20DDFBD9" w14:textId="4738848A">
      <w:pPr>
        <w:autoSpaceDE w:val="0"/>
        <w:autoSpaceDN w:val="0"/>
        <w:adjustRightInd w:val="0"/>
        <w:ind w:firstLine="720"/>
        <w:rPr>
          <w:szCs w:val="22"/>
        </w:rPr>
      </w:pPr>
      <w:r>
        <w:rPr>
          <w:szCs w:val="22"/>
        </w:rPr>
        <w:t>By this Public Notice, the Wireline Competition Bureau</w:t>
      </w:r>
      <w:r w:rsidR="000273DA">
        <w:rPr>
          <w:szCs w:val="22"/>
        </w:rPr>
        <w:t xml:space="preserve"> and International Bureau</w:t>
      </w:r>
      <w:r w:rsidR="00EE714B">
        <w:rPr>
          <w:szCs w:val="22"/>
        </w:rPr>
        <w:t xml:space="preserve"> (Bureaus)</w:t>
      </w:r>
      <w:r w:rsidR="005F6A66">
        <w:rPr>
          <w:szCs w:val="22"/>
        </w:rPr>
        <w:t xml:space="preserve"> </w:t>
      </w:r>
      <w:r>
        <w:rPr>
          <w:szCs w:val="22"/>
        </w:rPr>
        <w:t>seek comment from interested parties on application</w:t>
      </w:r>
      <w:r w:rsidR="000273DA">
        <w:rPr>
          <w:szCs w:val="22"/>
        </w:rPr>
        <w:t>s</w:t>
      </w:r>
      <w:r>
        <w:rPr>
          <w:szCs w:val="22"/>
        </w:rPr>
        <w:t xml:space="preserve"> filed by </w:t>
      </w:r>
      <w:r w:rsidRPr="0040026C">
        <w:rPr>
          <w:szCs w:val="22"/>
        </w:rPr>
        <w:t>Legacy Long Distance International, Inc. d/b/a Legacy Inmate Communications (Legacy) and Global Tel*Link Corporation (GTL</w:t>
      </w:r>
      <w:r>
        <w:rPr>
          <w:szCs w:val="22"/>
        </w:rPr>
        <w:t>)</w:t>
      </w:r>
      <w:r w:rsidRPr="00191F27">
        <w:rPr>
          <w:szCs w:val="22"/>
        </w:rPr>
        <w:t xml:space="preserve"> </w:t>
      </w:r>
      <w:r>
        <w:rPr>
          <w:szCs w:val="22"/>
        </w:rPr>
        <w:t>(collectively, Applicants), pursuant to section 214 of the Communications Act of 1934, as amended, and sections 63.03-04</w:t>
      </w:r>
      <w:r w:rsidR="000273DA">
        <w:rPr>
          <w:szCs w:val="22"/>
        </w:rPr>
        <w:t>, 63.18, and 63.24</w:t>
      </w:r>
      <w:r>
        <w:rPr>
          <w:szCs w:val="22"/>
        </w:rPr>
        <w:t xml:space="preserve"> of the Commission’s rules, requesting </w:t>
      </w:r>
      <w:r w:rsidRPr="00191F27">
        <w:rPr>
          <w:szCs w:val="22"/>
        </w:rPr>
        <w:t>approval</w:t>
      </w:r>
      <w:r w:rsidRPr="000273DA" w:rsidR="000273DA">
        <w:rPr>
          <w:szCs w:val="22"/>
        </w:rPr>
        <w:t xml:space="preserve"> </w:t>
      </w:r>
      <w:r w:rsidRPr="00191F27" w:rsidR="000273DA">
        <w:rPr>
          <w:szCs w:val="22"/>
        </w:rPr>
        <w:t xml:space="preserve">for the acquisition of certain assets </w:t>
      </w:r>
      <w:r w:rsidR="000273DA">
        <w:rPr>
          <w:szCs w:val="22"/>
        </w:rPr>
        <w:t xml:space="preserve">of </w:t>
      </w:r>
      <w:r w:rsidRPr="00191F27" w:rsidR="000273DA">
        <w:rPr>
          <w:szCs w:val="22"/>
        </w:rPr>
        <w:t xml:space="preserve">Legacy </w:t>
      </w:r>
      <w:r w:rsidR="000273DA">
        <w:rPr>
          <w:szCs w:val="22"/>
        </w:rPr>
        <w:t>by</w:t>
      </w:r>
      <w:r w:rsidRPr="00191F27" w:rsidR="000273DA">
        <w:rPr>
          <w:szCs w:val="22"/>
        </w:rPr>
        <w:t xml:space="preserve"> </w:t>
      </w:r>
      <w:r w:rsidR="000273DA">
        <w:rPr>
          <w:szCs w:val="22"/>
        </w:rPr>
        <w:t>GTL.</w:t>
      </w:r>
      <w:r>
        <w:rPr>
          <w:rStyle w:val="FootnoteReference"/>
          <w:szCs w:val="22"/>
        </w:rPr>
        <w:footnoteReference w:id="3"/>
      </w:r>
    </w:p>
    <w:p w:rsidR="00F964D7" w:rsidRPr="00D539F4" w:rsidP="00F964D7" w14:paraId="7F1371A5" w14:textId="36CCC3FA">
      <w:pPr>
        <w:autoSpaceDE w:val="0"/>
        <w:autoSpaceDN w:val="0"/>
        <w:adjustRightInd w:val="0"/>
        <w:spacing w:before="120" w:after="120"/>
        <w:ind w:firstLine="720"/>
        <w:rPr>
          <w:szCs w:val="22"/>
        </w:rPr>
      </w:pPr>
      <w:r w:rsidRPr="008A608A">
        <w:rPr>
          <w:szCs w:val="22"/>
        </w:rPr>
        <w:t>Legacy, a California corporation, is a wholly owned subsidiary of Jail Education Solutions, Inc. d/b/a Edovo, a Delaware corporation.</w:t>
      </w:r>
      <w:r>
        <w:rPr>
          <w:szCs w:val="22"/>
          <w:vertAlign w:val="superscript"/>
        </w:rPr>
        <w:footnoteReference w:id="4"/>
      </w:r>
      <w:r w:rsidRPr="008A608A">
        <w:rPr>
          <w:szCs w:val="22"/>
        </w:rPr>
        <w:t xml:space="preserve">  Legacy provides inmate communications services at correctional institutions nationwide.</w:t>
      </w:r>
      <w:r>
        <w:rPr>
          <w:szCs w:val="22"/>
          <w:vertAlign w:val="superscript"/>
        </w:rPr>
        <w:footnoteReference w:id="5"/>
      </w:r>
      <w:r w:rsidRPr="008A608A">
        <w:rPr>
          <w:szCs w:val="22"/>
        </w:rPr>
        <w:t xml:space="preserve">  The proposed transaction involves the transfer of inmate communications services agreements </w:t>
      </w:r>
      <w:r w:rsidR="007E252A">
        <w:rPr>
          <w:szCs w:val="22"/>
        </w:rPr>
        <w:t xml:space="preserve">between Legacy and certain correctional institutions </w:t>
      </w:r>
      <w:r w:rsidRPr="008A608A">
        <w:rPr>
          <w:szCs w:val="22"/>
        </w:rPr>
        <w:t xml:space="preserve">from Legacy to </w:t>
      </w:r>
      <w:r>
        <w:rPr>
          <w:szCs w:val="22"/>
        </w:rPr>
        <w:t>GTL</w:t>
      </w:r>
      <w:r w:rsidR="007E252A">
        <w:rPr>
          <w:szCs w:val="22"/>
        </w:rPr>
        <w:t xml:space="preserve">.  These agreements are with the </w:t>
      </w:r>
      <w:r>
        <w:rPr>
          <w:szCs w:val="22"/>
        </w:rPr>
        <w:t xml:space="preserve">county and state </w:t>
      </w:r>
      <w:r w:rsidRPr="008A608A">
        <w:rPr>
          <w:szCs w:val="22"/>
        </w:rPr>
        <w:t>correctional facilities</w:t>
      </w:r>
      <w:r w:rsidRPr="008A608A" w:rsidR="006D686C">
        <w:rPr>
          <w:szCs w:val="22"/>
        </w:rPr>
        <w:t xml:space="preserve"> </w:t>
      </w:r>
      <w:r w:rsidR="006D686C">
        <w:rPr>
          <w:szCs w:val="22"/>
        </w:rPr>
        <w:t xml:space="preserve">listed in Attachment A to this Public Notice and </w:t>
      </w:r>
      <w:r w:rsidR="00EC2028">
        <w:rPr>
          <w:szCs w:val="22"/>
        </w:rPr>
        <w:t xml:space="preserve">are </w:t>
      </w:r>
      <w:r w:rsidR="006D686C">
        <w:rPr>
          <w:szCs w:val="22"/>
        </w:rPr>
        <w:t xml:space="preserve">located </w:t>
      </w:r>
      <w:r w:rsidRPr="008A608A">
        <w:rPr>
          <w:szCs w:val="22"/>
        </w:rPr>
        <w:t xml:space="preserve">in </w:t>
      </w:r>
      <w:r>
        <w:rPr>
          <w:szCs w:val="22"/>
        </w:rPr>
        <w:t xml:space="preserve">Illinois, California, </w:t>
      </w:r>
      <w:r>
        <w:rPr>
          <w:szCs w:val="22"/>
        </w:rPr>
        <w:t xml:space="preserve">Maine, </w:t>
      </w:r>
      <w:r>
        <w:rPr>
          <w:szCs w:val="22"/>
        </w:rPr>
        <w:t>Florida, Maryland, Oregon, and Wisconsin.</w:t>
      </w:r>
      <w:r>
        <w:rPr>
          <w:rStyle w:val="FootnoteReference"/>
          <w:szCs w:val="22"/>
        </w:rPr>
        <w:footnoteReference w:id="6"/>
      </w:r>
      <w:r>
        <w:rPr>
          <w:szCs w:val="22"/>
        </w:rPr>
        <w:t xml:space="preserve"> </w:t>
      </w:r>
      <w:r w:rsidR="005C3DFE">
        <w:rPr>
          <w:szCs w:val="22"/>
        </w:rPr>
        <w:t xml:space="preserve">  Applicants state that </w:t>
      </w:r>
      <w:r w:rsidR="005C3DFE">
        <w:t>Legacy is in the process of discontinuing or cancelling its authorization to provide telecommunications service in the states</w:t>
      </w:r>
      <w:r w:rsidR="00B74620">
        <w:t xml:space="preserve"> it currently serves</w:t>
      </w:r>
      <w:r w:rsidR="005C3DFE">
        <w:t>.</w:t>
      </w:r>
      <w:r>
        <w:rPr>
          <w:rStyle w:val="FootnoteReference"/>
        </w:rPr>
        <w:footnoteReference w:id="7"/>
      </w:r>
      <w:r w:rsidR="005C3DFE">
        <w:t xml:space="preserve">  </w:t>
      </w:r>
    </w:p>
    <w:p w:rsidR="00F964D7" w:rsidRPr="0012101C" w:rsidP="00F964D7" w14:paraId="27FBC187" w14:textId="68872A48">
      <w:pPr>
        <w:autoSpaceDE w:val="0"/>
        <w:autoSpaceDN w:val="0"/>
        <w:adjustRightInd w:val="0"/>
        <w:ind w:firstLine="720"/>
        <w:rPr>
          <w:color w:val="000000" w:themeColor="text1"/>
          <w:szCs w:val="22"/>
        </w:rPr>
      </w:pPr>
      <w:r w:rsidRPr="00195FCA">
        <w:rPr>
          <w:szCs w:val="22"/>
        </w:rPr>
        <w:t>GTL</w:t>
      </w:r>
      <w:r>
        <w:rPr>
          <w:szCs w:val="22"/>
        </w:rPr>
        <w:t xml:space="preserve">, </w:t>
      </w:r>
      <w:r w:rsidRPr="00195FCA">
        <w:rPr>
          <w:szCs w:val="22"/>
        </w:rPr>
        <w:t>an Idaho corporation</w:t>
      </w:r>
      <w:r w:rsidR="00EE714B">
        <w:rPr>
          <w:szCs w:val="22"/>
        </w:rPr>
        <w:t xml:space="preserve">, </w:t>
      </w:r>
      <w:r w:rsidRPr="00195FCA">
        <w:rPr>
          <w:szCs w:val="22"/>
        </w:rPr>
        <w:t>and its wholly owned subsidiaries</w:t>
      </w:r>
      <w:r w:rsidR="00EE714B">
        <w:rPr>
          <w:szCs w:val="22"/>
        </w:rPr>
        <w:t xml:space="preserve">, </w:t>
      </w:r>
      <w:r w:rsidRPr="00DC20D0" w:rsidR="00EE714B">
        <w:t>DSI-ITI, Inc., Public Communications Services, Inc.</w:t>
      </w:r>
      <w:r w:rsidR="00EC2028">
        <w:t>,</w:t>
      </w:r>
      <w:r w:rsidRPr="00DC20D0" w:rsidR="00EE714B">
        <w:t xml:space="preserve"> Value-Added Communications, Inc., and Telmate LLC</w:t>
      </w:r>
      <w:r w:rsidR="00EE714B">
        <w:t>,</w:t>
      </w:r>
      <w:r w:rsidRPr="00195FCA">
        <w:rPr>
          <w:szCs w:val="22"/>
        </w:rPr>
        <w:t xml:space="preserve"> offer service or are certificated to</w:t>
      </w:r>
      <w:r>
        <w:rPr>
          <w:szCs w:val="22"/>
        </w:rPr>
        <w:t xml:space="preserve"> </w:t>
      </w:r>
      <w:r w:rsidRPr="00195FCA">
        <w:rPr>
          <w:szCs w:val="22"/>
        </w:rPr>
        <w:t xml:space="preserve">offer </w:t>
      </w:r>
      <w:r w:rsidR="003E6A22">
        <w:rPr>
          <w:szCs w:val="22"/>
        </w:rPr>
        <w:t xml:space="preserve">telecommunications services, including </w:t>
      </w:r>
      <w:r w:rsidR="008A608A">
        <w:rPr>
          <w:szCs w:val="22"/>
        </w:rPr>
        <w:t>inmate calling services</w:t>
      </w:r>
      <w:r w:rsidR="00EE714B">
        <w:rPr>
          <w:szCs w:val="22"/>
        </w:rPr>
        <w:t>,</w:t>
      </w:r>
      <w:r w:rsidRPr="00195FCA">
        <w:rPr>
          <w:szCs w:val="22"/>
        </w:rPr>
        <w:t xml:space="preserve"> in Puerto Rico, the District of Columbia, and all 50 states with the exception of</w:t>
      </w:r>
      <w:r>
        <w:rPr>
          <w:szCs w:val="22"/>
        </w:rPr>
        <w:t xml:space="preserve"> </w:t>
      </w:r>
      <w:r w:rsidRPr="00195FCA">
        <w:rPr>
          <w:szCs w:val="22"/>
        </w:rPr>
        <w:t>Alaska.</w:t>
      </w:r>
      <w:r>
        <w:rPr>
          <w:rStyle w:val="FootnoteReference"/>
          <w:szCs w:val="22"/>
        </w:rPr>
        <w:footnoteReference w:id="8"/>
      </w:r>
      <w:r>
        <w:rPr>
          <w:szCs w:val="22"/>
        </w:rPr>
        <w:t xml:space="preserve">  </w:t>
      </w:r>
      <w:r w:rsidRPr="00CB63A9">
        <w:rPr>
          <w:szCs w:val="22"/>
        </w:rPr>
        <w:t>GTL is a wholly owned subsidiary of GTEL Holdings, Inc., a</w:t>
      </w:r>
      <w:r>
        <w:rPr>
          <w:szCs w:val="22"/>
        </w:rPr>
        <w:t xml:space="preserve"> </w:t>
      </w:r>
      <w:r w:rsidRPr="00CB63A9">
        <w:rPr>
          <w:szCs w:val="22"/>
        </w:rPr>
        <w:t>Delaware corporation</w:t>
      </w:r>
      <w:r w:rsidR="00985BFB">
        <w:rPr>
          <w:szCs w:val="22"/>
        </w:rPr>
        <w:t xml:space="preserve">, which is indirectly held by </w:t>
      </w:r>
      <w:r w:rsidRPr="00CB63A9">
        <w:rPr>
          <w:szCs w:val="22"/>
        </w:rPr>
        <w:t>ASP GTEL Investco, LP (ASP Investco)</w:t>
      </w:r>
      <w:r w:rsidR="00485A5F">
        <w:rPr>
          <w:szCs w:val="22"/>
        </w:rPr>
        <w:t>, a Delaware limited liability company</w:t>
      </w:r>
      <w:r w:rsidR="00985BFB">
        <w:rPr>
          <w:szCs w:val="22"/>
        </w:rPr>
        <w:t xml:space="preserve"> (96</w:t>
      </w:r>
      <w:r w:rsidR="0073265D">
        <w:rPr>
          <w:szCs w:val="22"/>
        </w:rPr>
        <w:t>% equity interest</w:t>
      </w:r>
      <w:r w:rsidR="00485A5F">
        <w:rPr>
          <w:szCs w:val="22"/>
        </w:rPr>
        <w:t>).</w:t>
      </w:r>
      <w:r>
        <w:rPr>
          <w:rStyle w:val="FootnoteReference"/>
          <w:szCs w:val="22"/>
        </w:rPr>
        <w:footnoteReference w:id="9"/>
      </w:r>
      <w:r w:rsidR="00485A5F">
        <w:rPr>
          <w:szCs w:val="22"/>
        </w:rPr>
        <w:t xml:space="preserve">  </w:t>
      </w:r>
      <w:r>
        <w:rPr>
          <w:szCs w:val="22"/>
        </w:rPr>
        <w:t>American Securities Partners VI, LP (</w:t>
      </w:r>
      <w:r w:rsidRPr="00CB63A9">
        <w:rPr>
          <w:szCs w:val="22"/>
        </w:rPr>
        <w:t>ASP VI</w:t>
      </w:r>
      <w:r>
        <w:rPr>
          <w:szCs w:val="22"/>
        </w:rPr>
        <w:t>)</w:t>
      </w:r>
      <w:r w:rsidR="00485A5F">
        <w:rPr>
          <w:szCs w:val="22"/>
        </w:rPr>
        <w:t xml:space="preserve">, a Delaware limited partnership, owns approximately </w:t>
      </w:r>
      <w:r w:rsidR="0073265D">
        <w:rPr>
          <w:szCs w:val="22"/>
        </w:rPr>
        <w:t xml:space="preserve">98% </w:t>
      </w:r>
      <w:r w:rsidR="00485A5F">
        <w:rPr>
          <w:szCs w:val="22"/>
        </w:rPr>
        <w:t>of</w:t>
      </w:r>
      <w:r w:rsidR="0073265D">
        <w:rPr>
          <w:szCs w:val="22"/>
        </w:rPr>
        <w:t xml:space="preserve"> ASP Investco.</w:t>
      </w:r>
      <w:r>
        <w:rPr>
          <w:rStyle w:val="FootnoteReference"/>
          <w:szCs w:val="22"/>
        </w:rPr>
        <w:footnoteReference w:id="10"/>
      </w:r>
      <w:r>
        <w:rPr>
          <w:szCs w:val="22"/>
        </w:rPr>
        <w:t xml:space="preserve">  </w:t>
      </w:r>
      <w:r w:rsidRPr="00CB63A9">
        <w:rPr>
          <w:szCs w:val="22"/>
        </w:rPr>
        <w:t>No limited partner in ASP VI owns a</w:t>
      </w:r>
      <w:r>
        <w:rPr>
          <w:szCs w:val="22"/>
        </w:rPr>
        <w:t xml:space="preserve"> </w:t>
      </w:r>
      <w:r w:rsidRPr="00CB63A9">
        <w:rPr>
          <w:szCs w:val="22"/>
        </w:rPr>
        <w:t xml:space="preserve">10% or greater interest in </w:t>
      </w:r>
      <w:r w:rsidRPr="0012101C">
        <w:rPr>
          <w:color w:val="000000" w:themeColor="text1"/>
          <w:szCs w:val="22"/>
        </w:rPr>
        <w:t>ASP VI.</w:t>
      </w:r>
      <w:r>
        <w:rPr>
          <w:rStyle w:val="FootnoteReference"/>
          <w:color w:val="000000" w:themeColor="text1"/>
          <w:szCs w:val="22"/>
        </w:rPr>
        <w:footnoteReference w:id="11"/>
      </w:r>
      <w:r w:rsidRPr="0012101C">
        <w:rPr>
          <w:color w:val="000000" w:themeColor="text1"/>
          <w:szCs w:val="22"/>
        </w:rPr>
        <w:t xml:space="preserve">  </w:t>
      </w:r>
      <w:r w:rsidRPr="0012101C" w:rsidR="00485A5F">
        <w:rPr>
          <w:color w:val="000000" w:themeColor="text1"/>
          <w:szCs w:val="22"/>
          <w:shd w:val="clear" w:color="auto" w:fill="FFFFFF"/>
        </w:rPr>
        <w:t xml:space="preserve">The general partner of ASP VI is American Securities Associates VI, LLC (ASA), a Delaware limited liability company. </w:t>
      </w:r>
      <w:r w:rsidRPr="0012101C" w:rsidR="00AD3A40">
        <w:rPr>
          <w:color w:val="000000" w:themeColor="text1"/>
          <w:szCs w:val="22"/>
          <w:shd w:val="clear" w:color="auto" w:fill="FFFFFF"/>
        </w:rPr>
        <w:t xml:space="preserve"> </w:t>
      </w:r>
      <w:r w:rsidRPr="0012101C" w:rsidR="00485A5F">
        <w:rPr>
          <w:color w:val="000000" w:themeColor="text1"/>
          <w:szCs w:val="22"/>
          <w:shd w:val="clear" w:color="auto" w:fill="FFFFFF"/>
        </w:rPr>
        <w:t>The following individuals, all U.S. citizens, hold a 10% or greater ownership interest in AS</w:t>
      </w:r>
      <w:r w:rsidRPr="0012101C" w:rsidR="0064077F">
        <w:rPr>
          <w:color w:val="000000" w:themeColor="text1"/>
          <w:szCs w:val="22"/>
          <w:shd w:val="clear" w:color="auto" w:fill="FFFFFF"/>
        </w:rPr>
        <w:t>A</w:t>
      </w:r>
      <w:r w:rsidRPr="0012101C" w:rsidR="00485A5F">
        <w:rPr>
          <w:color w:val="000000" w:themeColor="text1"/>
          <w:szCs w:val="22"/>
          <w:shd w:val="clear" w:color="auto" w:fill="FFFFFF"/>
        </w:rPr>
        <w:t xml:space="preserve">: </w:t>
      </w:r>
      <w:r w:rsidRPr="0012101C" w:rsidR="00AD3A40">
        <w:rPr>
          <w:color w:val="000000" w:themeColor="text1"/>
          <w:szCs w:val="22"/>
          <w:shd w:val="clear" w:color="auto" w:fill="FFFFFF"/>
        </w:rPr>
        <w:t xml:space="preserve"> </w:t>
      </w:r>
      <w:r w:rsidRPr="0012101C" w:rsidR="00485A5F">
        <w:rPr>
          <w:color w:val="000000" w:themeColor="text1"/>
          <w:szCs w:val="22"/>
          <w:shd w:val="clear" w:color="auto" w:fill="FFFFFF"/>
        </w:rPr>
        <w:t xml:space="preserve">Michael G. Fisch, Paul Rossetti, David </w:t>
      </w:r>
      <w:r w:rsidRPr="0012101C" w:rsidR="00121CDD">
        <w:rPr>
          <w:color w:val="000000" w:themeColor="text1"/>
          <w:szCs w:val="22"/>
          <w:shd w:val="clear" w:color="auto" w:fill="FFFFFF"/>
        </w:rPr>
        <w:t xml:space="preserve">L. </w:t>
      </w:r>
      <w:r w:rsidRPr="0012101C" w:rsidR="00485A5F">
        <w:rPr>
          <w:color w:val="000000" w:themeColor="text1"/>
          <w:szCs w:val="22"/>
          <w:shd w:val="clear" w:color="auto" w:fill="FFFFFF"/>
        </w:rPr>
        <w:t>Horing, and Matthew LeBaron</w:t>
      </w:r>
      <w:r w:rsidRPr="0012101C" w:rsidR="00AD3A40">
        <w:rPr>
          <w:color w:val="000000" w:themeColor="text1"/>
          <w:szCs w:val="22"/>
          <w:shd w:val="clear" w:color="auto" w:fill="FFFFFF"/>
        </w:rPr>
        <w:t>.</w:t>
      </w:r>
      <w:r>
        <w:rPr>
          <w:rStyle w:val="FootnoteReference"/>
          <w:color w:val="000000" w:themeColor="text1"/>
          <w:szCs w:val="22"/>
          <w:shd w:val="clear" w:color="auto" w:fill="FFFFFF"/>
        </w:rPr>
        <w:footnoteReference w:id="12"/>
      </w:r>
      <w:r w:rsidRPr="0012101C" w:rsidR="00AD3A40">
        <w:rPr>
          <w:color w:val="000000" w:themeColor="text1"/>
          <w:szCs w:val="22"/>
          <w:shd w:val="clear" w:color="auto" w:fill="FFFFFF"/>
        </w:rPr>
        <w:t xml:space="preserve"> </w:t>
      </w:r>
      <w:r w:rsidRPr="0012101C" w:rsidR="00485A5F">
        <w:rPr>
          <w:color w:val="000000" w:themeColor="text1"/>
          <w:szCs w:val="22"/>
          <w:shd w:val="clear" w:color="auto" w:fill="FFFFFF"/>
        </w:rPr>
        <w:t xml:space="preserve"> Applicants state that neither GTL nor any of its</w:t>
      </w:r>
      <w:r w:rsidRPr="0012101C" w:rsidR="00AD3A40">
        <w:rPr>
          <w:color w:val="000000" w:themeColor="text1"/>
          <w:szCs w:val="22"/>
          <w:shd w:val="clear" w:color="auto" w:fill="FFFFFF"/>
        </w:rPr>
        <w:t xml:space="preserve"> </w:t>
      </w:r>
      <w:r w:rsidRPr="0012101C" w:rsidR="00485A5F">
        <w:rPr>
          <w:color w:val="000000" w:themeColor="text1"/>
          <w:szCs w:val="22"/>
          <w:shd w:val="clear" w:color="auto" w:fill="FFFFFF"/>
        </w:rPr>
        <w:t>10</w:t>
      </w:r>
      <w:r w:rsidRPr="0012101C" w:rsidR="00AD3A40">
        <w:rPr>
          <w:color w:val="000000" w:themeColor="text1"/>
          <w:szCs w:val="22"/>
          <w:shd w:val="clear" w:color="auto" w:fill="FFFFFF"/>
        </w:rPr>
        <w:t>%</w:t>
      </w:r>
      <w:r w:rsidRPr="0012101C" w:rsidR="00485A5F">
        <w:rPr>
          <w:color w:val="000000" w:themeColor="text1"/>
          <w:szCs w:val="22"/>
          <w:shd w:val="clear" w:color="auto" w:fill="FFFFFF"/>
        </w:rPr>
        <w:t xml:space="preserve"> or greater direct or indirect owners hold interests in any other telecommunications entity.</w:t>
      </w:r>
      <w:r>
        <w:rPr>
          <w:rStyle w:val="FootnoteReference"/>
          <w:color w:val="000000" w:themeColor="text1"/>
          <w:szCs w:val="22"/>
          <w:shd w:val="clear" w:color="auto" w:fill="FFFFFF"/>
        </w:rPr>
        <w:footnoteReference w:id="13"/>
      </w:r>
    </w:p>
    <w:p w:rsidR="00F964D7" w:rsidP="00F964D7" w14:paraId="003C11D1" w14:textId="77777777">
      <w:pPr>
        <w:autoSpaceDE w:val="0"/>
        <w:autoSpaceDN w:val="0"/>
        <w:adjustRightInd w:val="0"/>
        <w:rPr>
          <w:color w:val="231F20"/>
          <w:szCs w:val="22"/>
        </w:rPr>
      </w:pPr>
    </w:p>
    <w:p w:rsidR="00F964D7" w:rsidRPr="0038034F" w:rsidP="00F964D7" w14:paraId="1B843421" w14:textId="64A2C77C">
      <w:pPr>
        <w:autoSpaceDE w:val="0"/>
        <w:autoSpaceDN w:val="0"/>
        <w:adjustRightInd w:val="0"/>
        <w:ind w:firstLine="720"/>
        <w:rPr>
          <w:szCs w:val="22"/>
        </w:rPr>
      </w:pPr>
      <w:r>
        <w:rPr>
          <w:szCs w:val="22"/>
        </w:rPr>
        <w:t>Pursuant to the terms of the proposed Master Transaction Agreement</w:t>
      </w:r>
      <w:r w:rsidR="0073265A">
        <w:rPr>
          <w:szCs w:val="22"/>
        </w:rPr>
        <w:t>,</w:t>
      </w:r>
      <w:r>
        <w:rPr>
          <w:szCs w:val="22"/>
        </w:rPr>
        <w:t xml:space="preserve"> GTL will purchase certain assets and customers of Legacy, including customer accounts and receivables, agreements and contracts of certain customers and certain vendors, and certain equipment.</w:t>
      </w:r>
      <w:r>
        <w:rPr>
          <w:rStyle w:val="FootnoteReference"/>
          <w:szCs w:val="22"/>
        </w:rPr>
        <w:footnoteReference w:id="14"/>
      </w:r>
      <w:r>
        <w:rPr>
          <w:szCs w:val="22"/>
        </w:rPr>
        <w:t xml:space="preserve">  </w:t>
      </w:r>
      <w:r w:rsidRPr="0038034F">
        <w:rPr>
          <w:szCs w:val="22"/>
        </w:rPr>
        <w:t xml:space="preserve">Legacy will assign </w:t>
      </w:r>
      <w:r w:rsidR="00614B64">
        <w:rPr>
          <w:szCs w:val="22"/>
        </w:rPr>
        <w:t xml:space="preserve">to GTL </w:t>
      </w:r>
      <w:r w:rsidRPr="0038034F">
        <w:rPr>
          <w:szCs w:val="22"/>
        </w:rPr>
        <w:t>the correctional facility</w:t>
      </w:r>
      <w:r>
        <w:rPr>
          <w:szCs w:val="22"/>
        </w:rPr>
        <w:t xml:space="preserve"> </w:t>
      </w:r>
      <w:r w:rsidRPr="0038034F">
        <w:rPr>
          <w:szCs w:val="22"/>
        </w:rPr>
        <w:t xml:space="preserve">contracts </w:t>
      </w:r>
      <w:r w:rsidR="00E06639">
        <w:rPr>
          <w:szCs w:val="22"/>
        </w:rPr>
        <w:t>listed</w:t>
      </w:r>
      <w:r w:rsidR="00614B64">
        <w:rPr>
          <w:szCs w:val="22"/>
        </w:rPr>
        <w:t xml:space="preserve"> </w:t>
      </w:r>
      <w:r w:rsidR="00E06639">
        <w:rPr>
          <w:szCs w:val="22"/>
        </w:rPr>
        <w:t xml:space="preserve">in Attachment A to this Public Notice, and as a result of the </w:t>
      </w:r>
      <w:r>
        <w:rPr>
          <w:szCs w:val="22"/>
        </w:rPr>
        <w:t>proposed t</w:t>
      </w:r>
      <w:r w:rsidRPr="0038034F">
        <w:rPr>
          <w:szCs w:val="22"/>
        </w:rPr>
        <w:t xml:space="preserve">ransaction, GTL will provide </w:t>
      </w:r>
      <w:r>
        <w:rPr>
          <w:szCs w:val="22"/>
        </w:rPr>
        <w:t>inmate calling service</w:t>
      </w:r>
      <w:r w:rsidRPr="0038034F">
        <w:rPr>
          <w:szCs w:val="22"/>
        </w:rPr>
        <w:t xml:space="preserve"> to the </w:t>
      </w:r>
      <w:r w:rsidR="00EC2028">
        <w:rPr>
          <w:szCs w:val="22"/>
        </w:rPr>
        <w:t>incarcerated individuals within the correctional facilities</w:t>
      </w:r>
      <w:r>
        <w:t>.</w:t>
      </w:r>
      <w:r>
        <w:rPr>
          <w:rStyle w:val="FootnoteReference"/>
        </w:rPr>
        <w:footnoteReference w:id="15"/>
      </w:r>
      <w:r>
        <w:t xml:space="preserve">  </w:t>
      </w:r>
    </w:p>
    <w:p w:rsidR="00F964D7" w:rsidRPr="001B2B61" w:rsidP="00F964D7" w14:paraId="1002BC9F" w14:textId="77777777">
      <w:pPr>
        <w:ind w:left="1440"/>
        <w:rPr>
          <w:szCs w:val="22"/>
        </w:rPr>
      </w:pPr>
    </w:p>
    <w:p w:rsidR="00F964D7" w:rsidP="00F964D7" w14:paraId="540ACB72" w14:textId="26FA0360">
      <w:pPr>
        <w:autoSpaceDE w:val="0"/>
        <w:autoSpaceDN w:val="0"/>
        <w:adjustRightInd w:val="0"/>
        <w:ind w:firstLine="720"/>
        <w:rPr>
          <w:szCs w:val="22"/>
        </w:rPr>
      </w:pPr>
      <w:r>
        <w:rPr>
          <w:bCs/>
          <w:szCs w:val="22"/>
        </w:rPr>
        <w:t xml:space="preserve">Applicants assert that the proposed transaction is in the public interest and </w:t>
      </w:r>
      <w:r w:rsidR="00AC3208">
        <w:rPr>
          <w:bCs/>
          <w:szCs w:val="22"/>
        </w:rPr>
        <w:t xml:space="preserve">would </w:t>
      </w:r>
      <w:r>
        <w:rPr>
          <w:bCs/>
          <w:szCs w:val="22"/>
        </w:rPr>
        <w:t>not harm customers</w:t>
      </w:r>
      <w:r>
        <w:rPr>
          <w:szCs w:val="22"/>
        </w:rPr>
        <w:t>.</w:t>
      </w:r>
      <w:r>
        <w:rPr>
          <w:rStyle w:val="FootnoteReference"/>
          <w:szCs w:val="22"/>
        </w:rPr>
        <w:footnoteReference w:id="16"/>
      </w:r>
      <w:r>
        <w:rPr>
          <w:szCs w:val="22"/>
        </w:rPr>
        <w:t xml:space="preserve">  They </w:t>
      </w:r>
      <w:r>
        <w:rPr>
          <w:szCs w:val="22"/>
        </w:rPr>
        <w:t xml:space="preserve">state </w:t>
      </w:r>
      <w:r w:rsidR="0012101C">
        <w:rPr>
          <w:szCs w:val="22"/>
        </w:rPr>
        <w:t xml:space="preserve">that </w:t>
      </w:r>
      <w:r w:rsidR="005F6A66">
        <w:rPr>
          <w:szCs w:val="22"/>
        </w:rPr>
        <w:t xml:space="preserve">GTL has significant experience in the inmate calling market and </w:t>
      </w:r>
      <w:r>
        <w:rPr>
          <w:szCs w:val="22"/>
        </w:rPr>
        <w:t xml:space="preserve">that upon closing, </w:t>
      </w:r>
      <w:r w:rsidR="006E1F60">
        <w:rPr>
          <w:szCs w:val="22"/>
        </w:rPr>
        <w:t xml:space="preserve">affected customers </w:t>
      </w:r>
      <w:r w:rsidR="00AC3208">
        <w:rPr>
          <w:szCs w:val="22"/>
        </w:rPr>
        <w:t>would</w:t>
      </w:r>
      <w:r w:rsidR="006E1F60">
        <w:rPr>
          <w:szCs w:val="22"/>
        </w:rPr>
        <w:t xml:space="preserve"> continue to receive quality services “without immediate changes</w:t>
      </w:r>
      <w:r w:rsidR="005C2366">
        <w:rPr>
          <w:szCs w:val="22"/>
        </w:rPr>
        <w:t xml:space="preserve"> in rates, terms, or conditions.”</w:t>
      </w:r>
      <w:r>
        <w:rPr>
          <w:rStyle w:val="FootnoteReference"/>
          <w:szCs w:val="22"/>
        </w:rPr>
        <w:footnoteReference w:id="17"/>
      </w:r>
      <w:r w:rsidR="006E1F60">
        <w:rPr>
          <w:szCs w:val="22"/>
        </w:rPr>
        <w:t xml:space="preserve"> </w:t>
      </w:r>
      <w:r w:rsidR="005C2366">
        <w:rPr>
          <w:szCs w:val="22"/>
        </w:rPr>
        <w:t xml:space="preserve"> </w:t>
      </w:r>
      <w:r w:rsidR="00AC3208">
        <w:rPr>
          <w:szCs w:val="22"/>
        </w:rPr>
        <w:t xml:space="preserve">They </w:t>
      </w:r>
      <w:r w:rsidR="00A02A6A">
        <w:rPr>
          <w:szCs w:val="22"/>
        </w:rPr>
        <w:t xml:space="preserve">also </w:t>
      </w:r>
      <w:r w:rsidR="00AC3208">
        <w:rPr>
          <w:szCs w:val="22"/>
        </w:rPr>
        <w:t xml:space="preserve">maintain that the proposed transaction would not adversely affect competition because, after consummation, “the total share of the interstate interexchange market of GTL </w:t>
      </w:r>
      <w:r w:rsidR="00AC3208">
        <w:rPr>
          <w:szCs w:val="22"/>
        </w:rPr>
        <w:t>will be less than 10 percent (10%), and there are many other interexchange and international carriers operating on a nationwide basis, including other ICS providers.  The Transaction will not provide Applicants with any competitive advantage as the result of the concentration of fiber assets and will not harm consumers or negatively impact the market for facilities-based service.”</w:t>
      </w:r>
      <w:r>
        <w:rPr>
          <w:rStyle w:val="FootnoteReference"/>
          <w:szCs w:val="22"/>
        </w:rPr>
        <w:footnoteReference w:id="18"/>
      </w:r>
    </w:p>
    <w:p w:rsidR="00D12AB2" w:rsidP="00F964D7" w14:paraId="2BFF5482" w14:textId="77777777">
      <w:pPr>
        <w:autoSpaceDE w:val="0"/>
        <w:autoSpaceDN w:val="0"/>
        <w:adjustRightInd w:val="0"/>
        <w:rPr>
          <w:b/>
          <w:szCs w:val="22"/>
          <w:u w:val="single"/>
        </w:rPr>
      </w:pPr>
    </w:p>
    <w:p w:rsidR="00F964D7" w:rsidP="00F964D7" w14:paraId="4F306C24" w14:textId="300E3476">
      <w:pPr>
        <w:autoSpaceDE w:val="0"/>
        <w:autoSpaceDN w:val="0"/>
        <w:adjustRightInd w:val="0"/>
        <w:rPr>
          <w:szCs w:val="22"/>
        </w:rPr>
      </w:pPr>
      <w:r>
        <w:rPr>
          <w:b/>
          <w:szCs w:val="22"/>
          <w:u w:val="single"/>
        </w:rPr>
        <w:t>GENERAL INFORMATION</w:t>
      </w:r>
    </w:p>
    <w:p w:rsidR="00F964D7" w:rsidP="00F964D7" w14:paraId="0FB16EB5" w14:textId="77777777">
      <w:pPr>
        <w:autoSpaceDE w:val="0"/>
        <w:autoSpaceDN w:val="0"/>
        <w:adjustRightInd w:val="0"/>
        <w:rPr>
          <w:szCs w:val="22"/>
        </w:rPr>
      </w:pPr>
    </w:p>
    <w:p w:rsidR="00802680" w:rsidRPr="00802680" w:rsidP="00802680" w14:paraId="78BA2A88" w14:textId="2759D4C2">
      <w:pPr>
        <w:autoSpaceDE w:val="0"/>
        <w:autoSpaceDN w:val="0"/>
        <w:adjustRightInd w:val="0"/>
        <w:spacing w:after="120"/>
        <w:ind w:firstLine="720"/>
        <w:rPr>
          <w:szCs w:val="22"/>
        </w:rPr>
      </w:pPr>
      <w:bookmarkStart w:id="11" w:name="_Hlk46412312"/>
      <w:r w:rsidRPr="00802680">
        <w:rPr>
          <w:szCs w:val="22"/>
        </w:rPr>
        <w:t>The applications identified herein ha</w:t>
      </w:r>
      <w:r>
        <w:rPr>
          <w:szCs w:val="22"/>
        </w:rPr>
        <w:t>ve</w:t>
      </w:r>
      <w:r w:rsidRPr="00802680">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802680" w:rsidRPr="00802680" w:rsidP="00802680" w14:paraId="18FEA8EE" w14:textId="375B5A9F">
      <w:pPr>
        <w:autoSpaceDE w:val="0"/>
        <w:autoSpaceDN w:val="0"/>
        <w:adjustRightInd w:val="0"/>
        <w:spacing w:after="120"/>
        <w:ind w:firstLine="720"/>
        <w:rPr>
          <w:szCs w:val="22"/>
        </w:rPr>
      </w:pPr>
      <w:r w:rsidRPr="00802680">
        <w:rPr>
          <w:szCs w:val="22"/>
        </w:rPr>
        <w:t xml:space="preserve">Interested parties may file comments </w:t>
      </w:r>
      <w:r w:rsidRPr="00802680">
        <w:rPr>
          <w:b/>
          <w:szCs w:val="22"/>
        </w:rPr>
        <w:t>on or before</w:t>
      </w:r>
      <w:r w:rsidRPr="00802680">
        <w:rPr>
          <w:szCs w:val="22"/>
        </w:rPr>
        <w:t xml:space="preserve"> </w:t>
      </w:r>
      <w:r w:rsidRPr="00EC2028" w:rsidR="00EC2028">
        <w:rPr>
          <w:b/>
          <w:bCs/>
          <w:szCs w:val="22"/>
        </w:rPr>
        <w:t>September</w:t>
      </w:r>
      <w:r w:rsidRPr="00802680">
        <w:rPr>
          <w:b/>
          <w:bCs/>
          <w:szCs w:val="22"/>
        </w:rPr>
        <w:t xml:space="preserve"> </w:t>
      </w:r>
      <w:r w:rsidR="00500CA8">
        <w:rPr>
          <w:b/>
          <w:bCs/>
          <w:szCs w:val="22"/>
        </w:rPr>
        <w:t>10</w:t>
      </w:r>
      <w:r w:rsidRPr="00802680">
        <w:rPr>
          <w:b/>
          <w:bCs/>
          <w:szCs w:val="22"/>
        </w:rPr>
        <w:t>,</w:t>
      </w:r>
      <w:r w:rsidRPr="00802680">
        <w:rPr>
          <w:b/>
          <w:szCs w:val="22"/>
        </w:rPr>
        <w:t xml:space="preserve"> 2020</w:t>
      </w:r>
      <w:r w:rsidRPr="00802680">
        <w:rPr>
          <w:szCs w:val="22"/>
        </w:rPr>
        <w:t xml:space="preserve"> and reply comments </w:t>
      </w:r>
      <w:r w:rsidRPr="00802680">
        <w:rPr>
          <w:b/>
          <w:szCs w:val="22"/>
        </w:rPr>
        <w:t xml:space="preserve">on or before </w:t>
      </w:r>
      <w:r w:rsidR="00FA5108">
        <w:rPr>
          <w:b/>
          <w:szCs w:val="22"/>
        </w:rPr>
        <w:t>September</w:t>
      </w:r>
      <w:r w:rsidRPr="00802680">
        <w:rPr>
          <w:b/>
          <w:szCs w:val="22"/>
        </w:rPr>
        <w:t xml:space="preserve"> </w:t>
      </w:r>
      <w:r w:rsidR="00500CA8">
        <w:rPr>
          <w:b/>
          <w:szCs w:val="22"/>
        </w:rPr>
        <w:t>17</w:t>
      </w:r>
      <w:r w:rsidRPr="00802680">
        <w:rPr>
          <w:b/>
          <w:szCs w:val="22"/>
        </w:rPr>
        <w:t>, 2020</w:t>
      </w:r>
      <w:r w:rsidRPr="00802680">
        <w:rPr>
          <w:szCs w:val="22"/>
        </w:rPr>
        <w:t>.  Comments may be filed using the Commission’s Electronic Comment Filing System (ECFS) or by paper.  All filings must be addressed to the Commission’s Secretary, Office of the Secretary, Federal Communications Commission.</w:t>
      </w:r>
    </w:p>
    <w:p w:rsidR="00802680" w:rsidRPr="00802680" w:rsidP="00802680" w14:paraId="7CA3804F" w14:textId="77777777">
      <w:pPr>
        <w:numPr>
          <w:ilvl w:val="0"/>
          <w:numId w:val="11"/>
        </w:numPr>
        <w:autoSpaceDE w:val="0"/>
        <w:autoSpaceDN w:val="0"/>
        <w:adjustRightInd w:val="0"/>
        <w:rPr>
          <w:szCs w:val="22"/>
        </w:rPr>
      </w:pPr>
      <w:r w:rsidRPr="00802680">
        <w:rPr>
          <w:szCs w:val="22"/>
        </w:rPr>
        <w:t>Electronic Filers:  Comments may be filed electronically by accessing ECFS at </w:t>
      </w:r>
      <w:hyperlink r:id="rId5" w:history="1">
        <w:r w:rsidRPr="00802680">
          <w:rPr>
            <w:color w:val="0000FF"/>
            <w:szCs w:val="22"/>
            <w:u w:val="single"/>
          </w:rPr>
          <w:t>http://apps.fcc.gov/ecfs/</w:t>
        </w:r>
      </w:hyperlink>
      <w:r w:rsidRPr="00802680">
        <w:rPr>
          <w:szCs w:val="22"/>
        </w:rPr>
        <w:t>.</w:t>
      </w:r>
    </w:p>
    <w:p w:rsidR="00802680" w:rsidRPr="00802680" w:rsidP="00802680" w14:paraId="277E4C57" w14:textId="77777777">
      <w:pPr>
        <w:autoSpaceDE w:val="0"/>
        <w:autoSpaceDN w:val="0"/>
        <w:adjustRightInd w:val="0"/>
        <w:ind w:left="720"/>
        <w:rPr>
          <w:szCs w:val="22"/>
        </w:rPr>
      </w:pPr>
    </w:p>
    <w:p w:rsidR="00802680" w:rsidRPr="00802680" w:rsidP="00802680" w14:paraId="33435FFA" w14:textId="77777777">
      <w:pPr>
        <w:numPr>
          <w:ilvl w:val="0"/>
          <w:numId w:val="9"/>
        </w:numPr>
        <w:autoSpaceDE w:val="0"/>
        <w:autoSpaceDN w:val="0"/>
        <w:adjustRightInd w:val="0"/>
        <w:rPr>
          <w:szCs w:val="22"/>
        </w:rPr>
      </w:pPr>
      <w:r w:rsidRPr="00802680">
        <w:rPr>
          <w:i/>
          <w:iCs/>
          <w:szCs w:val="22"/>
        </w:rPr>
        <w:t>Paper Filers</w:t>
      </w:r>
      <w:r w:rsidRPr="00802680">
        <w:rPr>
          <w:szCs w:val="22"/>
        </w:rPr>
        <w:t>: Parties who choose to file by paper must file an original and one copy of each filing.  If more than one docket or rulemaking number appears in the caption of this proceeding, filers must submit one additional copy for each additional docket or rulemaking number.</w:t>
      </w:r>
    </w:p>
    <w:p w:rsidR="00802680" w:rsidRPr="00802680" w:rsidP="00802680" w14:paraId="3AC5C067" w14:textId="77777777">
      <w:pPr>
        <w:autoSpaceDE w:val="0"/>
        <w:autoSpaceDN w:val="0"/>
        <w:adjustRightInd w:val="0"/>
        <w:ind w:left="720"/>
        <w:rPr>
          <w:szCs w:val="22"/>
        </w:rPr>
      </w:pPr>
    </w:p>
    <w:p w:rsidR="00802680" w:rsidRPr="00802680" w:rsidP="00802680" w14:paraId="4F730D4D" w14:textId="77777777">
      <w:pPr>
        <w:numPr>
          <w:ilvl w:val="1"/>
          <w:numId w:val="9"/>
        </w:numPr>
        <w:autoSpaceDE w:val="0"/>
        <w:autoSpaceDN w:val="0"/>
        <w:adjustRightInd w:val="0"/>
        <w:rPr>
          <w:szCs w:val="22"/>
        </w:rPr>
      </w:pPr>
      <w:r w:rsidRPr="00802680">
        <w:rPr>
          <w:szCs w:val="22"/>
        </w:rPr>
        <w:t>Filings can be sent by commercial overnight courier or by first-class or overnight U.S. Postal Service mail.</w:t>
      </w:r>
      <w:r>
        <w:rPr>
          <w:szCs w:val="22"/>
          <w:vertAlign w:val="superscript"/>
        </w:rPr>
        <w:footnoteReference w:id="19"/>
      </w:r>
      <w:r w:rsidRPr="00802680">
        <w:rPr>
          <w:szCs w:val="22"/>
        </w:rPr>
        <w:t xml:space="preserve">  All filings must be addressed to the Commission’s Secretary, Office of the Secretary, Federal Communications Commission.</w:t>
      </w:r>
    </w:p>
    <w:p w:rsidR="00802680" w:rsidRPr="00802680" w:rsidP="00802680" w14:paraId="0BD233AB" w14:textId="77777777">
      <w:pPr>
        <w:autoSpaceDE w:val="0"/>
        <w:autoSpaceDN w:val="0"/>
        <w:adjustRightInd w:val="0"/>
        <w:ind w:left="720"/>
        <w:rPr>
          <w:szCs w:val="22"/>
        </w:rPr>
      </w:pPr>
    </w:p>
    <w:p w:rsidR="00802680" w:rsidRPr="00802680" w:rsidP="00802680" w14:paraId="1A14E1CB" w14:textId="77777777">
      <w:pPr>
        <w:numPr>
          <w:ilvl w:val="1"/>
          <w:numId w:val="9"/>
        </w:numPr>
        <w:autoSpaceDE w:val="0"/>
        <w:autoSpaceDN w:val="0"/>
        <w:adjustRightInd w:val="0"/>
        <w:rPr>
          <w:szCs w:val="22"/>
        </w:rPr>
      </w:pPr>
      <w:r w:rsidRPr="00802680">
        <w:rPr>
          <w:szCs w:val="22"/>
        </w:rPr>
        <w:t>Commercial overnight mail (other than U.S. Postal Service Express Mail and Priority Mail) must be sent to 9050 Junction Drive, Annapolis Junction, MD 20701.</w:t>
      </w:r>
    </w:p>
    <w:p w:rsidR="00802680" w:rsidRPr="00802680" w:rsidP="00802680" w14:paraId="2E26E4D7" w14:textId="77777777">
      <w:pPr>
        <w:autoSpaceDE w:val="0"/>
        <w:autoSpaceDN w:val="0"/>
        <w:adjustRightInd w:val="0"/>
        <w:ind w:left="720"/>
        <w:rPr>
          <w:szCs w:val="22"/>
        </w:rPr>
      </w:pPr>
    </w:p>
    <w:p w:rsidR="00802680" w:rsidRPr="00802680" w:rsidP="00802680" w14:paraId="2525D982" w14:textId="77777777">
      <w:pPr>
        <w:numPr>
          <w:ilvl w:val="1"/>
          <w:numId w:val="9"/>
        </w:numPr>
        <w:autoSpaceDE w:val="0"/>
        <w:autoSpaceDN w:val="0"/>
        <w:adjustRightInd w:val="0"/>
        <w:rPr>
          <w:szCs w:val="22"/>
        </w:rPr>
      </w:pPr>
      <w:r w:rsidRPr="00802680">
        <w:rPr>
          <w:szCs w:val="22"/>
        </w:rPr>
        <w:t>U.S. Postal Service first-class, Express, and Priority mail must be addressed to 445 12</w:t>
      </w:r>
      <w:r w:rsidRPr="00802680">
        <w:rPr>
          <w:szCs w:val="22"/>
          <w:vertAlign w:val="superscript"/>
        </w:rPr>
        <w:t>th</w:t>
      </w:r>
      <w:r w:rsidRPr="00802680">
        <w:rPr>
          <w:szCs w:val="22"/>
        </w:rPr>
        <w:t xml:space="preserve"> Street, SW, Washington, DC 20554.</w:t>
      </w:r>
    </w:p>
    <w:p w:rsidR="00FA5108" w:rsidP="00802680" w14:paraId="6E8A0E18" w14:textId="77777777">
      <w:pPr>
        <w:autoSpaceDE w:val="0"/>
        <w:autoSpaceDN w:val="0"/>
        <w:adjustRightInd w:val="0"/>
        <w:spacing w:after="120"/>
        <w:ind w:firstLine="720"/>
        <w:rPr>
          <w:szCs w:val="22"/>
        </w:rPr>
      </w:pPr>
    </w:p>
    <w:p w:rsidR="00802680" w:rsidRPr="00802680" w:rsidP="00802680" w14:paraId="433F1808" w14:textId="0264C299">
      <w:pPr>
        <w:autoSpaceDE w:val="0"/>
        <w:autoSpaceDN w:val="0"/>
        <w:adjustRightInd w:val="0"/>
        <w:spacing w:after="120"/>
        <w:ind w:firstLine="720"/>
        <w:rPr>
          <w:szCs w:val="22"/>
        </w:rPr>
      </w:pPr>
      <w:r w:rsidRPr="00802680">
        <w:rPr>
          <w:szCs w:val="22"/>
        </w:rPr>
        <w:t xml:space="preserve">People with Disabilities:  To request materials in accessible formats for people with disabilities (braille, large print, electronic files, audio format), send an e-mail to fcc504@fcc.gov or call the Consumer and Governmental Affairs Bureau at 202-418-0530 (voice), 1-888-835-5322 (tty). </w:t>
      </w:r>
    </w:p>
    <w:p w:rsidR="00965C38" w:rsidP="00802680" w14:paraId="0E3BD1FF" w14:textId="77777777">
      <w:pPr>
        <w:autoSpaceDE w:val="0"/>
        <w:autoSpaceDN w:val="0"/>
        <w:adjustRightInd w:val="0"/>
        <w:ind w:firstLine="720"/>
        <w:rPr>
          <w:b/>
          <w:szCs w:val="22"/>
        </w:rPr>
      </w:pPr>
    </w:p>
    <w:p w:rsidR="00802680" w:rsidRPr="00802680" w:rsidP="00802680" w14:paraId="4EBDC004" w14:textId="657680E6">
      <w:pPr>
        <w:autoSpaceDE w:val="0"/>
        <w:autoSpaceDN w:val="0"/>
        <w:adjustRightInd w:val="0"/>
        <w:ind w:firstLine="720"/>
        <w:rPr>
          <w:b/>
          <w:szCs w:val="22"/>
        </w:rPr>
      </w:pPr>
      <w:r w:rsidRPr="00802680">
        <w:rPr>
          <w:b/>
          <w:szCs w:val="22"/>
        </w:rPr>
        <w:t>In addition, e-mail one copy of each pleading to each of the following:</w:t>
      </w:r>
    </w:p>
    <w:p w:rsidR="00802680" w:rsidRPr="00802680" w:rsidP="00802680" w14:paraId="607C2B93" w14:textId="77777777">
      <w:pPr>
        <w:autoSpaceDE w:val="0"/>
        <w:autoSpaceDN w:val="0"/>
        <w:adjustRightInd w:val="0"/>
        <w:ind w:firstLine="720"/>
        <w:rPr>
          <w:b/>
          <w:szCs w:val="22"/>
        </w:rPr>
      </w:pPr>
    </w:p>
    <w:p w:rsidR="00802680" w:rsidRPr="00802680" w:rsidP="00802680" w14:paraId="16A0833E" w14:textId="77777777">
      <w:pPr>
        <w:numPr>
          <w:ilvl w:val="0"/>
          <w:numId w:val="8"/>
        </w:numPr>
        <w:autoSpaceDE w:val="0"/>
        <w:autoSpaceDN w:val="0"/>
        <w:adjustRightInd w:val="0"/>
        <w:rPr>
          <w:szCs w:val="22"/>
        </w:rPr>
      </w:pPr>
      <w:r w:rsidRPr="00802680">
        <w:rPr>
          <w:szCs w:val="22"/>
        </w:rPr>
        <w:t xml:space="preserve">Myrva Charles, Competition Policy Division, Wireline Competition Bureau,  </w:t>
      </w:r>
      <w:hyperlink r:id="rId6" w:history="1">
        <w:r w:rsidRPr="00802680">
          <w:rPr>
            <w:color w:val="0000FF"/>
            <w:szCs w:val="22"/>
            <w:u w:val="single"/>
          </w:rPr>
          <w:t>myrva.charles@fcc.gov</w:t>
        </w:r>
      </w:hyperlink>
      <w:r w:rsidRPr="00802680">
        <w:rPr>
          <w:szCs w:val="22"/>
        </w:rPr>
        <w:t>;</w:t>
      </w:r>
    </w:p>
    <w:p w:rsidR="00802680" w:rsidRPr="00802680" w:rsidP="00802680" w14:paraId="26D79706" w14:textId="77777777">
      <w:pPr>
        <w:autoSpaceDE w:val="0"/>
        <w:autoSpaceDN w:val="0"/>
        <w:adjustRightInd w:val="0"/>
        <w:ind w:firstLine="720"/>
        <w:rPr>
          <w:szCs w:val="22"/>
        </w:rPr>
      </w:pPr>
    </w:p>
    <w:p w:rsidR="00802680" w:rsidRPr="00802680" w:rsidP="00802680" w14:paraId="37C98F2E" w14:textId="77777777">
      <w:pPr>
        <w:numPr>
          <w:ilvl w:val="0"/>
          <w:numId w:val="8"/>
        </w:numPr>
        <w:autoSpaceDE w:val="0"/>
        <w:autoSpaceDN w:val="0"/>
        <w:adjustRightInd w:val="0"/>
        <w:rPr>
          <w:szCs w:val="22"/>
        </w:rPr>
      </w:pPr>
      <w:r w:rsidRPr="00802680">
        <w:rPr>
          <w:szCs w:val="22"/>
        </w:rPr>
        <w:t xml:space="preserve">Dennis Johnson or Jordan Reth, Competition Policy Division, Wireline Competition Bureau, </w:t>
      </w:r>
      <w:hyperlink r:id="rId7" w:history="1">
        <w:r w:rsidRPr="00802680">
          <w:rPr>
            <w:color w:val="0000FF"/>
            <w:szCs w:val="22"/>
            <w:u w:val="single"/>
          </w:rPr>
          <w:t>dennis.johnson@fcc.gov</w:t>
        </w:r>
      </w:hyperlink>
      <w:r w:rsidRPr="00802680">
        <w:rPr>
          <w:szCs w:val="22"/>
        </w:rPr>
        <w:t xml:space="preserve">; </w:t>
      </w:r>
      <w:hyperlink r:id="rId8" w:history="1">
        <w:r w:rsidRPr="00802680">
          <w:rPr>
            <w:color w:val="0000FF"/>
            <w:szCs w:val="22"/>
            <w:u w:val="single"/>
          </w:rPr>
          <w:t>jordan.reth@fcc.gov</w:t>
        </w:r>
      </w:hyperlink>
      <w:r w:rsidRPr="00802680">
        <w:rPr>
          <w:szCs w:val="22"/>
        </w:rPr>
        <w:t>;</w:t>
      </w:r>
      <w:r w:rsidRPr="00802680">
        <w:rPr>
          <w:szCs w:val="22"/>
        </w:rPr>
        <w:tab/>
        <w:t xml:space="preserve"> </w:t>
      </w:r>
    </w:p>
    <w:p w:rsidR="00802680" w:rsidRPr="00802680" w:rsidP="00802680" w14:paraId="4A86B4EC" w14:textId="77777777">
      <w:pPr>
        <w:rPr>
          <w:szCs w:val="22"/>
        </w:rPr>
      </w:pPr>
    </w:p>
    <w:p w:rsidR="00802680" w:rsidRPr="00802680" w:rsidP="00802680" w14:paraId="2CD79A14" w14:textId="77777777">
      <w:pPr>
        <w:numPr>
          <w:ilvl w:val="0"/>
          <w:numId w:val="8"/>
        </w:numPr>
        <w:autoSpaceDE w:val="0"/>
        <w:autoSpaceDN w:val="0"/>
        <w:adjustRightInd w:val="0"/>
        <w:rPr>
          <w:szCs w:val="22"/>
        </w:rPr>
      </w:pPr>
      <w:r w:rsidRPr="00802680">
        <w:rPr>
          <w:szCs w:val="22"/>
        </w:rPr>
        <w:t xml:space="preserve">David Krech, Policy Division, International Bureau, </w:t>
      </w:r>
      <w:hyperlink r:id="rId9" w:history="1">
        <w:r w:rsidRPr="00802680">
          <w:rPr>
            <w:color w:val="0000FF"/>
            <w:szCs w:val="22"/>
            <w:u w:val="single"/>
          </w:rPr>
          <w:t>david.krech@fcc.gov</w:t>
        </w:r>
      </w:hyperlink>
      <w:r w:rsidRPr="00802680">
        <w:rPr>
          <w:szCs w:val="22"/>
        </w:rPr>
        <w:t>; and</w:t>
      </w:r>
    </w:p>
    <w:p w:rsidR="00802680" w:rsidRPr="00802680" w:rsidP="00802680" w14:paraId="663EAAA9" w14:textId="77777777">
      <w:pPr>
        <w:ind w:left="720"/>
        <w:rPr>
          <w:szCs w:val="22"/>
        </w:rPr>
      </w:pPr>
    </w:p>
    <w:p w:rsidR="00802680" w:rsidRPr="00802680" w:rsidP="00802680" w14:paraId="0D25F47B" w14:textId="77777777">
      <w:pPr>
        <w:numPr>
          <w:ilvl w:val="0"/>
          <w:numId w:val="8"/>
        </w:numPr>
        <w:autoSpaceDE w:val="0"/>
        <w:autoSpaceDN w:val="0"/>
        <w:adjustRightInd w:val="0"/>
        <w:rPr>
          <w:szCs w:val="22"/>
        </w:rPr>
      </w:pPr>
      <w:r w:rsidRPr="00802680">
        <w:rPr>
          <w:szCs w:val="22"/>
        </w:rPr>
        <w:t xml:space="preserve">Jim Bird, Office of General Counsel, </w:t>
      </w:r>
      <w:hyperlink r:id="rId10" w:history="1">
        <w:r w:rsidRPr="00802680">
          <w:rPr>
            <w:color w:val="0000FF"/>
            <w:szCs w:val="22"/>
            <w:u w:val="single"/>
          </w:rPr>
          <w:t>jim.bird@fcc.gov</w:t>
        </w:r>
      </w:hyperlink>
      <w:r w:rsidRPr="00802680">
        <w:rPr>
          <w:szCs w:val="22"/>
        </w:rPr>
        <w:t>.</w:t>
      </w:r>
    </w:p>
    <w:p w:rsidR="00802680" w:rsidRPr="00802680" w:rsidP="00802680" w14:paraId="0420D96B" w14:textId="77777777">
      <w:pPr>
        <w:autoSpaceDE w:val="0"/>
        <w:autoSpaceDN w:val="0"/>
        <w:adjustRightInd w:val="0"/>
        <w:ind w:firstLine="720"/>
        <w:rPr>
          <w:szCs w:val="22"/>
        </w:rPr>
      </w:pPr>
    </w:p>
    <w:p w:rsidR="00802680" w:rsidRPr="00802680" w:rsidP="00802680" w14:paraId="7B41A354" w14:textId="77777777">
      <w:pPr>
        <w:autoSpaceDE w:val="0"/>
        <w:autoSpaceDN w:val="0"/>
        <w:adjustRightInd w:val="0"/>
        <w:spacing w:after="120"/>
        <w:ind w:firstLine="720"/>
        <w:rPr>
          <w:szCs w:val="22"/>
        </w:rPr>
      </w:pPr>
      <w:r w:rsidRPr="00802680">
        <w:rPr>
          <w:szCs w:val="22"/>
        </w:rPr>
        <w:t xml:space="preserve">The proceeding in this Notice shall be treated as a “permit-but-disclose” proceeding in accordance with the Commission’s </w:t>
      </w:r>
      <w:r w:rsidRPr="00802680">
        <w:rPr>
          <w:i/>
          <w:szCs w:val="22"/>
        </w:rPr>
        <w:t>ex parte</w:t>
      </w:r>
      <w:r w:rsidRPr="00802680">
        <w:rPr>
          <w:szCs w:val="22"/>
        </w:rPr>
        <w:t xml:space="preserve"> rules.  Persons making </w:t>
      </w:r>
      <w:r w:rsidRPr="00802680">
        <w:rPr>
          <w:i/>
          <w:szCs w:val="22"/>
        </w:rPr>
        <w:t>ex parte</w:t>
      </w:r>
      <w:r w:rsidRPr="00802680">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2680">
        <w:rPr>
          <w:i/>
          <w:szCs w:val="22"/>
        </w:rPr>
        <w:t>ex parte</w:t>
      </w:r>
      <w:r w:rsidRPr="00802680">
        <w:rPr>
          <w:szCs w:val="22"/>
        </w:rPr>
        <w:t xml:space="preserve"> presentations are reminded that memoranda summarizing the presentation must (1) list all persons attending or otherwise participating in the meeting at which the </w:t>
      </w:r>
      <w:r w:rsidRPr="00802680">
        <w:rPr>
          <w:i/>
          <w:szCs w:val="22"/>
        </w:rPr>
        <w:t>ex parte</w:t>
      </w:r>
      <w:r w:rsidRPr="00802680">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2680">
        <w:rPr>
          <w:i/>
          <w:szCs w:val="22"/>
        </w:rPr>
        <w:t>ex parte</w:t>
      </w:r>
      <w:r w:rsidRPr="00802680">
        <w:rPr>
          <w:szCs w:val="22"/>
        </w:rPr>
        <w:t xml:space="preserve"> meetings are deemed to be written </w:t>
      </w:r>
      <w:r w:rsidRPr="00802680">
        <w:rPr>
          <w:i/>
          <w:szCs w:val="22"/>
        </w:rPr>
        <w:t>ex parte</w:t>
      </w:r>
      <w:r w:rsidRPr="00802680">
        <w:rPr>
          <w:szCs w:val="22"/>
        </w:rPr>
        <w:t xml:space="preserve"> presentations and must be filed consistent with rule 1.1206(b), 47 CFR § 1.1206(b).  Participants in this proceeding should familiarize themselves with the Commission’s </w:t>
      </w:r>
      <w:r w:rsidRPr="00802680">
        <w:rPr>
          <w:i/>
          <w:szCs w:val="22"/>
        </w:rPr>
        <w:t>ex parte</w:t>
      </w:r>
      <w:r w:rsidRPr="00802680">
        <w:rPr>
          <w:szCs w:val="22"/>
        </w:rPr>
        <w:t xml:space="preserve"> rules.</w:t>
      </w:r>
    </w:p>
    <w:p w:rsidR="00802680" w:rsidRPr="00802680" w:rsidP="00802680" w14:paraId="2023B5F8" w14:textId="4AE24F3B">
      <w:pPr>
        <w:autoSpaceDE w:val="0"/>
        <w:autoSpaceDN w:val="0"/>
        <w:adjustRightInd w:val="0"/>
        <w:spacing w:after="120"/>
        <w:ind w:firstLine="720"/>
        <w:rPr>
          <w:szCs w:val="22"/>
        </w:rPr>
      </w:pPr>
      <w:r w:rsidRPr="00802680">
        <w:rPr>
          <w:szCs w:val="22"/>
        </w:rPr>
        <w:t>To allow the Commission to consider fully all substantive issues regarding the application</w:t>
      </w:r>
      <w:r w:rsidR="00AF4186">
        <w:rPr>
          <w:szCs w:val="22"/>
        </w:rPr>
        <w:t>s</w:t>
      </w:r>
      <w:r w:rsidRPr="00802680">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20"/>
      </w:r>
      <w:r w:rsidRPr="00802680">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2680" w:rsidRPr="00802680" w:rsidP="00802680" w14:paraId="1508A6AA" w14:textId="77777777">
      <w:pPr>
        <w:autoSpaceDE w:val="0"/>
        <w:autoSpaceDN w:val="0"/>
        <w:adjustRightInd w:val="0"/>
        <w:ind w:firstLine="720"/>
        <w:rPr>
          <w:szCs w:val="22"/>
        </w:rPr>
      </w:pPr>
      <w:r w:rsidRPr="00802680">
        <w:rPr>
          <w:szCs w:val="22"/>
        </w:rPr>
        <w:t xml:space="preserve">For further information, please contact Dennis Johnson, Wireline Competition Bureau, (202) 418-0809; Jordan Reth, Wireline Competition Bureau, (202) 418-1418; or David Krech, International Bureau, (202) 418-7443. </w:t>
      </w:r>
    </w:p>
    <w:bookmarkEnd w:id="11"/>
    <w:p w:rsidR="00802680" w:rsidP="009B0EBD" w14:paraId="0463D9A9" w14:textId="77777777">
      <w:pPr>
        <w:autoSpaceDE w:val="0"/>
        <w:autoSpaceDN w:val="0"/>
        <w:adjustRightInd w:val="0"/>
        <w:spacing w:after="120"/>
        <w:ind w:firstLine="720"/>
        <w:contextualSpacing/>
        <w:rPr>
          <w:szCs w:val="22"/>
        </w:rPr>
      </w:pPr>
    </w:p>
    <w:p w:rsidR="00802680" w:rsidP="009B0EBD" w14:paraId="2D04111E" w14:textId="77777777">
      <w:pPr>
        <w:autoSpaceDE w:val="0"/>
        <w:autoSpaceDN w:val="0"/>
        <w:adjustRightInd w:val="0"/>
        <w:spacing w:after="120"/>
        <w:ind w:firstLine="720"/>
        <w:contextualSpacing/>
        <w:rPr>
          <w:szCs w:val="22"/>
        </w:rPr>
      </w:pPr>
    </w:p>
    <w:p w:rsidR="00802680" w:rsidP="009B0EBD" w14:paraId="08649671" w14:textId="77777777">
      <w:pPr>
        <w:autoSpaceDE w:val="0"/>
        <w:autoSpaceDN w:val="0"/>
        <w:adjustRightInd w:val="0"/>
        <w:spacing w:after="120"/>
        <w:ind w:firstLine="720"/>
        <w:contextualSpacing/>
        <w:rPr>
          <w:szCs w:val="22"/>
        </w:rPr>
      </w:pPr>
    </w:p>
    <w:p w:rsidR="00F964D7" w:rsidP="00F964D7" w14:paraId="4C787FA1" w14:textId="77777777">
      <w:pPr>
        <w:autoSpaceDE w:val="0"/>
        <w:autoSpaceDN w:val="0"/>
        <w:adjustRightInd w:val="0"/>
        <w:ind w:firstLine="720"/>
        <w:rPr>
          <w:szCs w:val="22"/>
        </w:rPr>
      </w:pPr>
    </w:p>
    <w:p w:rsidR="003E3BDF" w:rsidP="00F964D7" w14:paraId="6E2FEB54" w14:textId="77777777">
      <w:pPr>
        <w:keepNext/>
        <w:rPr>
          <w:szCs w:val="22"/>
        </w:rPr>
      </w:pPr>
      <w:r>
        <w:rPr>
          <w:szCs w:val="22"/>
        </w:rPr>
        <w:br w:type="page"/>
      </w:r>
    </w:p>
    <w:p w:rsidR="003E3BDF" w:rsidRPr="003E3BDF" w:rsidP="003E3BDF" w14:paraId="78ED648E" w14:textId="21CEC41A">
      <w:pPr>
        <w:keepNext/>
        <w:jc w:val="center"/>
        <w:rPr>
          <w:b/>
          <w:bCs/>
          <w:szCs w:val="22"/>
          <w:u w:val="single"/>
        </w:rPr>
      </w:pPr>
      <w:r w:rsidRPr="003E3BDF">
        <w:rPr>
          <w:b/>
          <w:bCs/>
          <w:szCs w:val="22"/>
          <w:u w:val="single"/>
        </w:rPr>
        <w:t>Attachment A</w:t>
      </w:r>
    </w:p>
    <w:p w:rsidR="003E3BDF" w:rsidP="003E3BDF" w14:paraId="4DC0E15F" w14:textId="77777777">
      <w:pPr>
        <w:keepNext/>
        <w:rPr>
          <w:szCs w:val="22"/>
        </w:rPr>
      </w:pPr>
    </w:p>
    <w:p w:rsidR="00F964D7" w:rsidRPr="007E7363" w:rsidP="00F964D7" w14:paraId="45C51922" w14:textId="3F63F651">
      <w:pPr>
        <w:keepNext/>
        <w:rPr>
          <w:color w:val="000000"/>
          <w:szCs w:val="22"/>
        </w:rPr>
      </w:pPr>
      <w:r w:rsidRPr="007E7363">
        <w:rPr>
          <w:b/>
          <w:color w:val="000000"/>
          <w:szCs w:val="22"/>
        </w:rPr>
        <w:t>SECTION 214 AUTHORIZATIONS</w:t>
      </w:r>
    </w:p>
    <w:p w:rsidR="00F964D7" w:rsidRPr="007E7363" w:rsidP="00F964D7" w14:paraId="3561F86E" w14:textId="77777777">
      <w:pPr>
        <w:keepNext/>
        <w:rPr>
          <w:color w:val="000000"/>
          <w:szCs w:val="22"/>
        </w:rPr>
      </w:pPr>
    </w:p>
    <w:p w:rsidR="00F964D7" w:rsidRPr="007E7363" w:rsidP="00F964D7" w14:paraId="0A846DF4" w14:textId="77777777">
      <w:pPr>
        <w:keepNext/>
        <w:ind w:firstLine="720"/>
        <w:rPr>
          <w:b/>
          <w:color w:val="000000"/>
          <w:szCs w:val="22"/>
        </w:rPr>
      </w:pPr>
      <w:r w:rsidRPr="007E7363">
        <w:rPr>
          <w:b/>
          <w:color w:val="000000"/>
          <w:szCs w:val="22"/>
        </w:rPr>
        <w:t>A.</w:t>
      </w:r>
      <w:r w:rsidRPr="007E7363">
        <w:rPr>
          <w:b/>
          <w:color w:val="000000"/>
          <w:szCs w:val="22"/>
        </w:rPr>
        <w:tab/>
        <w:t>International</w:t>
      </w:r>
    </w:p>
    <w:p w:rsidR="00F964D7" w:rsidRPr="007E7363" w:rsidP="00F964D7" w14:paraId="157AE2E4" w14:textId="77777777">
      <w:pPr>
        <w:keepNext/>
        <w:rPr>
          <w:color w:val="000000"/>
          <w:szCs w:val="22"/>
        </w:rPr>
      </w:pPr>
    </w:p>
    <w:tbl>
      <w:tblPr>
        <w:tblW w:w="9738" w:type="dxa"/>
        <w:tblLook w:val="01E0"/>
      </w:tblPr>
      <w:tblGrid>
        <w:gridCol w:w="2880"/>
        <w:gridCol w:w="3888"/>
        <w:gridCol w:w="2970"/>
      </w:tblGrid>
      <w:tr w14:paraId="29A2D193" w14:textId="77777777" w:rsidTr="0073265D">
        <w:tblPrEx>
          <w:tblW w:w="9738" w:type="dxa"/>
          <w:tblLook w:val="01E0"/>
        </w:tblPrEx>
        <w:tc>
          <w:tcPr>
            <w:tcW w:w="2880" w:type="dxa"/>
          </w:tcPr>
          <w:p w:rsidR="00F964D7" w:rsidRPr="007E7363" w:rsidP="0073265D" w14:paraId="265EEF9D" w14:textId="77777777">
            <w:pPr>
              <w:rPr>
                <w:b/>
                <w:color w:val="000000"/>
                <w:szCs w:val="22"/>
              </w:rPr>
            </w:pPr>
            <w:r w:rsidRPr="007E7363">
              <w:rPr>
                <w:b/>
                <w:color w:val="000000"/>
                <w:szCs w:val="22"/>
                <w:u w:val="single"/>
              </w:rPr>
              <w:t>File Number</w:t>
            </w:r>
          </w:p>
        </w:tc>
        <w:tc>
          <w:tcPr>
            <w:tcW w:w="3888" w:type="dxa"/>
          </w:tcPr>
          <w:p w:rsidR="00F964D7" w:rsidRPr="007E7363" w:rsidP="0073265D" w14:paraId="231B2903" w14:textId="77777777">
            <w:pPr>
              <w:rPr>
                <w:b/>
                <w:color w:val="000000"/>
                <w:szCs w:val="22"/>
              </w:rPr>
            </w:pPr>
            <w:r w:rsidRPr="007E7363">
              <w:rPr>
                <w:b/>
                <w:color w:val="000000"/>
                <w:szCs w:val="22"/>
                <w:u w:val="single"/>
              </w:rPr>
              <w:t>Authorization Holder</w:t>
            </w:r>
          </w:p>
        </w:tc>
        <w:tc>
          <w:tcPr>
            <w:tcW w:w="2970" w:type="dxa"/>
          </w:tcPr>
          <w:p w:rsidR="00F964D7" w:rsidRPr="007E7363" w:rsidP="0073265D" w14:paraId="64011CCC" w14:textId="77777777">
            <w:pPr>
              <w:rPr>
                <w:b/>
                <w:color w:val="000000"/>
                <w:szCs w:val="22"/>
                <w:u w:val="single"/>
              </w:rPr>
            </w:pPr>
            <w:r w:rsidRPr="007E7363">
              <w:rPr>
                <w:b/>
                <w:color w:val="000000"/>
                <w:szCs w:val="22"/>
                <w:u w:val="single"/>
              </w:rPr>
              <w:t>Authorization Number</w:t>
            </w:r>
          </w:p>
          <w:p w:rsidR="00F964D7" w:rsidRPr="007E7363" w:rsidP="0073265D" w14:paraId="19BAAD9B" w14:textId="77777777">
            <w:pPr>
              <w:rPr>
                <w:b/>
                <w:color w:val="000000"/>
                <w:szCs w:val="22"/>
                <w:u w:val="single"/>
              </w:rPr>
            </w:pPr>
          </w:p>
        </w:tc>
      </w:tr>
      <w:tr w14:paraId="6C4C9CEE" w14:textId="77777777" w:rsidTr="0073265D">
        <w:tblPrEx>
          <w:tblW w:w="9738" w:type="dxa"/>
          <w:tblLook w:val="01E0"/>
        </w:tblPrEx>
        <w:tc>
          <w:tcPr>
            <w:tcW w:w="2880" w:type="dxa"/>
          </w:tcPr>
          <w:p w:rsidR="00F964D7" w:rsidRPr="007E7363" w:rsidP="0073265D" w14:paraId="664ECC11" w14:textId="49B0FADE">
            <w:pPr>
              <w:rPr>
                <w:color w:val="000000"/>
                <w:szCs w:val="22"/>
              </w:rPr>
            </w:pPr>
            <w:r>
              <w:t>ITC-ASG-20200708-00112</w:t>
            </w:r>
          </w:p>
        </w:tc>
        <w:tc>
          <w:tcPr>
            <w:tcW w:w="3888" w:type="dxa"/>
          </w:tcPr>
          <w:p w:rsidR="00F964D7" w:rsidRPr="007E7363" w:rsidP="0073265D" w14:paraId="77F795F1" w14:textId="2A199981">
            <w:pPr>
              <w:rPr>
                <w:szCs w:val="22"/>
              </w:rPr>
            </w:pPr>
            <w:r>
              <w:t>Legacy Long Distance International, Inc.</w:t>
            </w:r>
          </w:p>
        </w:tc>
        <w:tc>
          <w:tcPr>
            <w:tcW w:w="2970" w:type="dxa"/>
          </w:tcPr>
          <w:p w:rsidR="00F964D7" w:rsidRPr="007E7363" w:rsidP="0073265D" w14:paraId="704042B9" w14:textId="76BE203B">
            <w:pPr>
              <w:rPr>
                <w:szCs w:val="22"/>
              </w:rPr>
            </w:pPr>
            <w:r>
              <w:t>ITC-214-19961125-00596</w:t>
            </w:r>
            <w:r>
              <w:rPr>
                <w:rStyle w:val="FootnoteReference"/>
              </w:rPr>
              <w:footnoteReference w:id="21"/>
            </w:r>
          </w:p>
        </w:tc>
      </w:tr>
      <w:tr w14:paraId="0DD85DD2" w14:textId="77777777" w:rsidTr="0073265D">
        <w:tblPrEx>
          <w:tblW w:w="9738" w:type="dxa"/>
          <w:tblLook w:val="01E0"/>
        </w:tblPrEx>
        <w:tc>
          <w:tcPr>
            <w:tcW w:w="2880" w:type="dxa"/>
          </w:tcPr>
          <w:p w:rsidR="00F964D7" w:rsidRPr="007E7363" w:rsidP="0073265D" w14:paraId="522D3BB0" w14:textId="77777777">
            <w:pPr>
              <w:rPr>
                <w:color w:val="000000"/>
                <w:szCs w:val="22"/>
              </w:rPr>
            </w:pPr>
          </w:p>
        </w:tc>
        <w:tc>
          <w:tcPr>
            <w:tcW w:w="3888" w:type="dxa"/>
          </w:tcPr>
          <w:p w:rsidR="00F964D7" w:rsidRPr="007E7363" w:rsidP="0073265D" w14:paraId="2C57B810" w14:textId="77777777">
            <w:pPr>
              <w:rPr>
                <w:szCs w:val="22"/>
              </w:rPr>
            </w:pPr>
          </w:p>
        </w:tc>
        <w:tc>
          <w:tcPr>
            <w:tcW w:w="2970" w:type="dxa"/>
          </w:tcPr>
          <w:p w:rsidR="00F964D7" w:rsidRPr="007E7363" w:rsidP="0073265D" w14:paraId="3C3D1195" w14:textId="77777777">
            <w:pPr>
              <w:rPr>
                <w:szCs w:val="22"/>
              </w:rPr>
            </w:pPr>
          </w:p>
        </w:tc>
      </w:tr>
      <w:tr w14:paraId="11705331" w14:textId="77777777" w:rsidTr="0073265D">
        <w:tblPrEx>
          <w:tblW w:w="9738" w:type="dxa"/>
          <w:tblLook w:val="01E0"/>
        </w:tblPrEx>
        <w:tc>
          <w:tcPr>
            <w:tcW w:w="2880" w:type="dxa"/>
          </w:tcPr>
          <w:p w:rsidR="00F964D7" w:rsidRPr="007E7363" w:rsidP="0073265D" w14:paraId="4093E8DA" w14:textId="77777777">
            <w:pPr>
              <w:rPr>
                <w:color w:val="000000"/>
                <w:szCs w:val="22"/>
              </w:rPr>
            </w:pPr>
          </w:p>
        </w:tc>
        <w:tc>
          <w:tcPr>
            <w:tcW w:w="3888" w:type="dxa"/>
          </w:tcPr>
          <w:p w:rsidR="00F964D7" w:rsidRPr="007E7363" w:rsidP="0073265D" w14:paraId="0558C971" w14:textId="77777777">
            <w:pPr>
              <w:rPr>
                <w:szCs w:val="22"/>
              </w:rPr>
            </w:pPr>
          </w:p>
        </w:tc>
        <w:tc>
          <w:tcPr>
            <w:tcW w:w="2970" w:type="dxa"/>
          </w:tcPr>
          <w:p w:rsidR="00F964D7" w:rsidRPr="007E7363" w:rsidP="0073265D" w14:paraId="3A34AA26" w14:textId="77777777">
            <w:pPr>
              <w:rPr>
                <w:szCs w:val="22"/>
              </w:rPr>
            </w:pPr>
          </w:p>
        </w:tc>
      </w:tr>
    </w:tbl>
    <w:p w:rsidR="00F964D7" w:rsidRPr="007E7363" w:rsidP="00F964D7" w14:paraId="1D343B0C" w14:textId="77777777">
      <w:pPr>
        <w:keepNext/>
        <w:ind w:firstLine="720"/>
        <w:rPr>
          <w:b/>
          <w:color w:val="000000"/>
          <w:szCs w:val="22"/>
        </w:rPr>
      </w:pPr>
      <w:r w:rsidRPr="007E7363">
        <w:rPr>
          <w:b/>
          <w:color w:val="000000"/>
          <w:szCs w:val="22"/>
        </w:rPr>
        <w:t>B.</w:t>
      </w:r>
      <w:r w:rsidRPr="007E7363">
        <w:rPr>
          <w:b/>
          <w:color w:val="000000"/>
          <w:szCs w:val="22"/>
        </w:rPr>
        <w:tab/>
        <w:t>Domestic</w:t>
      </w:r>
    </w:p>
    <w:p w:rsidR="00F964D7" w:rsidRPr="007E7363" w:rsidP="00F964D7" w14:paraId="77C9F055" w14:textId="77777777">
      <w:pPr>
        <w:keepNext/>
        <w:rPr>
          <w:color w:val="000000"/>
          <w:szCs w:val="22"/>
        </w:rPr>
      </w:pPr>
    </w:p>
    <w:p w:rsidR="00F964D7" w:rsidRPr="007E7363" w:rsidP="00F964D7" w14:paraId="1915D6D5" w14:textId="77777777">
      <w:pPr>
        <w:ind w:firstLine="720"/>
        <w:rPr>
          <w:szCs w:val="22"/>
        </w:rPr>
      </w:pPr>
      <w:r w:rsidRPr="007E7363">
        <w:rPr>
          <w:color w:val="000000"/>
          <w:szCs w:val="22"/>
        </w:rPr>
        <w:t>Applicants filed an application to transfer control of domestic section 214 authority in connection with the proposed transaction.</w:t>
      </w:r>
      <w:bookmarkStart w:id="12" w:name="sp_999_4"/>
      <w:bookmarkStart w:id="13" w:name="SDU_4"/>
      <w:bookmarkStart w:id="14" w:name="citeas((Cite_as:_26_F.C.C.R._13372,_*133"/>
      <w:bookmarkEnd w:id="12"/>
      <w:bookmarkEnd w:id="13"/>
      <w:bookmarkEnd w:id="14"/>
      <w:r w:rsidRPr="007E7363">
        <w:rPr>
          <w:color w:val="000000"/>
          <w:szCs w:val="22"/>
        </w:rPr>
        <w:t xml:space="preserve">  In light of the multiple applications pending before the Commission with respect to this transaction and the public interest review associated with them, the domestic transfer of control application is not subject to streamlined treatment.</w:t>
      </w:r>
      <w:r>
        <w:rPr>
          <w:color w:val="000000"/>
          <w:szCs w:val="22"/>
          <w:vertAlign w:val="superscript"/>
        </w:rPr>
        <w:footnoteReference w:id="22"/>
      </w:r>
    </w:p>
    <w:p w:rsidR="00F964D7" w:rsidP="00F964D7" w14:paraId="75DF56DC" w14:textId="77777777">
      <w:pPr>
        <w:autoSpaceDE w:val="0"/>
        <w:autoSpaceDN w:val="0"/>
        <w:adjustRightInd w:val="0"/>
        <w:rPr>
          <w:szCs w:val="22"/>
        </w:rPr>
      </w:pPr>
    </w:p>
    <w:p w:rsidR="003E3BDF" w:rsidP="00F964D7" w14:paraId="4BE8282D" w14:textId="77777777">
      <w:pPr>
        <w:autoSpaceDE w:val="0"/>
        <w:autoSpaceDN w:val="0"/>
        <w:adjustRightInd w:val="0"/>
        <w:jc w:val="center"/>
        <w:rPr>
          <w:b/>
          <w:szCs w:val="22"/>
        </w:rPr>
      </w:pPr>
    </w:p>
    <w:p w:rsidR="003E3BDF" w:rsidP="003E3BDF" w14:paraId="4B733005" w14:textId="136C3F65">
      <w:pPr>
        <w:autoSpaceDE w:val="0"/>
        <w:autoSpaceDN w:val="0"/>
        <w:adjustRightInd w:val="0"/>
        <w:rPr>
          <w:b/>
          <w:szCs w:val="22"/>
          <w:u w:val="single"/>
        </w:rPr>
      </w:pPr>
      <w:r>
        <w:rPr>
          <w:b/>
          <w:szCs w:val="22"/>
          <w:u w:val="single"/>
        </w:rPr>
        <w:t xml:space="preserve">List of Correctional </w:t>
      </w:r>
      <w:r w:rsidR="00E45083">
        <w:rPr>
          <w:b/>
          <w:szCs w:val="22"/>
          <w:u w:val="single"/>
        </w:rPr>
        <w:t>F</w:t>
      </w:r>
      <w:r>
        <w:rPr>
          <w:b/>
          <w:szCs w:val="22"/>
          <w:u w:val="single"/>
        </w:rPr>
        <w:t>acility Contracts to be Transferred</w:t>
      </w:r>
    </w:p>
    <w:p w:rsidR="003E3BDF" w:rsidP="003E3BDF" w14:paraId="6DA76B82" w14:textId="4AD44DEA">
      <w:pPr>
        <w:autoSpaceDE w:val="0"/>
        <w:autoSpaceDN w:val="0"/>
        <w:adjustRightInd w:val="0"/>
        <w:rPr>
          <w:b/>
          <w:szCs w:val="22"/>
          <w:u w:val="single"/>
        </w:rPr>
      </w:pPr>
    </w:p>
    <w:p w:rsidR="003E3BDF" w:rsidP="003E3BDF" w14:paraId="2056420A" w14:textId="2F86940D">
      <w:pPr>
        <w:autoSpaceDE w:val="0"/>
        <w:autoSpaceDN w:val="0"/>
        <w:adjustRightInd w:val="0"/>
        <w:rPr>
          <w:szCs w:val="22"/>
        </w:rPr>
      </w:pPr>
      <w:r>
        <w:rPr>
          <w:szCs w:val="22"/>
        </w:rPr>
        <w:t>Applicants request approval to</w:t>
      </w:r>
      <w:r w:rsidRPr="0038034F">
        <w:rPr>
          <w:szCs w:val="22"/>
        </w:rPr>
        <w:t xml:space="preserve"> assign the following </w:t>
      </w:r>
      <w:r>
        <w:rPr>
          <w:szCs w:val="22"/>
        </w:rPr>
        <w:t xml:space="preserve">Legacy </w:t>
      </w:r>
      <w:r w:rsidRPr="0038034F">
        <w:rPr>
          <w:szCs w:val="22"/>
        </w:rPr>
        <w:t>correctional facility</w:t>
      </w:r>
      <w:r>
        <w:rPr>
          <w:szCs w:val="22"/>
        </w:rPr>
        <w:t xml:space="preserve"> </w:t>
      </w:r>
      <w:r w:rsidRPr="0038034F">
        <w:rPr>
          <w:szCs w:val="22"/>
        </w:rPr>
        <w:t>contracts to GT</w:t>
      </w:r>
      <w:r w:rsidR="00480EEE">
        <w:rPr>
          <w:szCs w:val="22"/>
        </w:rPr>
        <w:t>L</w:t>
      </w:r>
      <w:r w:rsidRPr="0038034F">
        <w:rPr>
          <w:szCs w:val="22"/>
        </w:rPr>
        <w:t>:</w:t>
      </w:r>
      <w:r w:rsidRPr="00E06639" w:rsidR="00E06639">
        <w:rPr>
          <w:rStyle w:val="FootnoteReference"/>
          <w:szCs w:val="22"/>
        </w:rPr>
        <w:t xml:space="preserve"> </w:t>
      </w:r>
      <w:r>
        <w:rPr>
          <w:rStyle w:val="FootnoteReference"/>
          <w:szCs w:val="22"/>
        </w:rPr>
        <w:footnoteReference w:id="23"/>
      </w:r>
    </w:p>
    <w:p w:rsidR="003E3BDF" w:rsidP="003E3BDF" w14:paraId="1C5768FF" w14:textId="3AC48605">
      <w:pPr>
        <w:autoSpaceDE w:val="0"/>
        <w:autoSpaceDN w:val="0"/>
        <w:adjustRightInd w:val="0"/>
        <w:rPr>
          <w:szCs w:val="22"/>
        </w:rPr>
      </w:pPr>
      <w:r w:rsidRPr="0038034F">
        <w:rPr>
          <w:szCs w:val="22"/>
        </w:rPr>
        <w:t xml:space="preserve"> </w:t>
      </w:r>
      <w:r>
        <w:rPr>
          <w:szCs w:val="22"/>
        </w:rPr>
        <w:t xml:space="preserve"> </w:t>
      </w:r>
    </w:p>
    <w:p w:rsidR="003E3BDF" w:rsidP="003E3BDF" w14:paraId="209BAB21" w14:textId="0F00DD0B">
      <w:pPr>
        <w:autoSpaceDE w:val="0"/>
        <w:autoSpaceDN w:val="0"/>
        <w:adjustRightInd w:val="0"/>
        <w:rPr>
          <w:szCs w:val="22"/>
        </w:rPr>
      </w:pPr>
      <w:r w:rsidRPr="0038034F">
        <w:rPr>
          <w:szCs w:val="22"/>
        </w:rPr>
        <w:t>Cook County, Illinois</w:t>
      </w:r>
    </w:p>
    <w:p w:rsidR="003E3BDF" w:rsidP="003E3BDF" w14:paraId="367CFCD6" w14:textId="77777777">
      <w:pPr>
        <w:autoSpaceDE w:val="0"/>
        <w:autoSpaceDN w:val="0"/>
        <w:adjustRightInd w:val="0"/>
        <w:rPr>
          <w:szCs w:val="22"/>
        </w:rPr>
      </w:pPr>
      <w:r w:rsidRPr="0038034F">
        <w:rPr>
          <w:szCs w:val="22"/>
        </w:rPr>
        <w:t>Fresno County, California</w:t>
      </w:r>
    </w:p>
    <w:p w:rsidR="003E3BDF" w:rsidP="003E3BDF" w14:paraId="65550A53" w14:textId="77777777">
      <w:pPr>
        <w:autoSpaceDE w:val="0"/>
        <w:autoSpaceDN w:val="0"/>
        <w:adjustRightInd w:val="0"/>
        <w:rPr>
          <w:szCs w:val="22"/>
        </w:rPr>
      </w:pPr>
      <w:r w:rsidRPr="0038034F">
        <w:rPr>
          <w:szCs w:val="22"/>
        </w:rPr>
        <w:t>Maine</w:t>
      </w:r>
      <w:r>
        <w:rPr>
          <w:szCs w:val="22"/>
        </w:rPr>
        <w:t xml:space="preserve"> </w:t>
      </w:r>
      <w:r w:rsidRPr="0038034F">
        <w:rPr>
          <w:szCs w:val="22"/>
        </w:rPr>
        <w:t>Department of Corrections</w:t>
      </w:r>
    </w:p>
    <w:p w:rsidR="003E3BDF" w:rsidP="003E3BDF" w14:paraId="76083517" w14:textId="77777777">
      <w:pPr>
        <w:autoSpaceDE w:val="0"/>
        <w:autoSpaceDN w:val="0"/>
        <w:adjustRightInd w:val="0"/>
        <w:rPr>
          <w:szCs w:val="22"/>
        </w:rPr>
      </w:pPr>
      <w:r w:rsidRPr="0038034F">
        <w:rPr>
          <w:szCs w:val="22"/>
        </w:rPr>
        <w:t xml:space="preserve">Bay County, Florida </w:t>
      </w:r>
    </w:p>
    <w:p w:rsidR="003E3BDF" w:rsidP="003E3BDF" w14:paraId="5C435322" w14:textId="77777777">
      <w:pPr>
        <w:autoSpaceDE w:val="0"/>
        <w:autoSpaceDN w:val="0"/>
        <w:adjustRightInd w:val="0"/>
        <w:rPr>
          <w:szCs w:val="22"/>
        </w:rPr>
      </w:pPr>
      <w:r w:rsidRPr="0038034F">
        <w:rPr>
          <w:szCs w:val="22"/>
        </w:rPr>
        <w:t>Sonoma County, California</w:t>
      </w:r>
    </w:p>
    <w:p w:rsidR="003E3BDF" w:rsidP="003E3BDF" w14:paraId="537D1C65" w14:textId="77777777">
      <w:pPr>
        <w:autoSpaceDE w:val="0"/>
        <w:autoSpaceDN w:val="0"/>
        <w:adjustRightInd w:val="0"/>
        <w:rPr>
          <w:szCs w:val="22"/>
        </w:rPr>
      </w:pPr>
      <w:r w:rsidRPr="0038034F">
        <w:rPr>
          <w:szCs w:val="22"/>
        </w:rPr>
        <w:t>Kane</w:t>
      </w:r>
      <w:r>
        <w:rPr>
          <w:szCs w:val="22"/>
        </w:rPr>
        <w:t xml:space="preserve"> </w:t>
      </w:r>
      <w:r w:rsidRPr="0038034F">
        <w:rPr>
          <w:szCs w:val="22"/>
        </w:rPr>
        <w:t>County, Illinois</w:t>
      </w:r>
    </w:p>
    <w:p w:rsidR="003E3BDF" w:rsidP="003E3BDF" w14:paraId="65DD89EC" w14:textId="77777777">
      <w:pPr>
        <w:autoSpaceDE w:val="0"/>
        <w:autoSpaceDN w:val="0"/>
        <w:adjustRightInd w:val="0"/>
        <w:rPr>
          <w:szCs w:val="22"/>
        </w:rPr>
      </w:pPr>
      <w:r w:rsidRPr="0038034F">
        <w:rPr>
          <w:szCs w:val="22"/>
        </w:rPr>
        <w:t>City of Santa Ana, California</w:t>
      </w:r>
    </w:p>
    <w:p w:rsidR="003E3BDF" w:rsidP="003E3BDF" w14:paraId="2B71ED0A" w14:textId="77777777">
      <w:pPr>
        <w:autoSpaceDE w:val="0"/>
        <w:autoSpaceDN w:val="0"/>
        <w:adjustRightInd w:val="0"/>
        <w:rPr>
          <w:szCs w:val="22"/>
        </w:rPr>
      </w:pPr>
      <w:r w:rsidRPr="0038034F">
        <w:rPr>
          <w:szCs w:val="22"/>
        </w:rPr>
        <w:t>Jackson County, Oregon</w:t>
      </w:r>
    </w:p>
    <w:p w:rsidR="003E3BDF" w:rsidP="003E3BDF" w14:paraId="1EE7CBB8" w14:textId="77777777">
      <w:pPr>
        <w:autoSpaceDE w:val="0"/>
        <w:autoSpaceDN w:val="0"/>
        <w:adjustRightInd w:val="0"/>
        <w:rPr>
          <w:szCs w:val="22"/>
        </w:rPr>
      </w:pPr>
      <w:r w:rsidRPr="0038034F">
        <w:rPr>
          <w:szCs w:val="22"/>
        </w:rPr>
        <w:t>Mendocino</w:t>
      </w:r>
      <w:r>
        <w:rPr>
          <w:szCs w:val="22"/>
        </w:rPr>
        <w:t xml:space="preserve"> </w:t>
      </w:r>
      <w:r w:rsidRPr="0038034F">
        <w:rPr>
          <w:szCs w:val="22"/>
        </w:rPr>
        <w:t>County, California</w:t>
      </w:r>
    </w:p>
    <w:p w:rsidR="003E3BDF" w:rsidP="003E3BDF" w14:paraId="0324A70D" w14:textId="77777777">
      <w:pPr>
        <w:autoSpaceDE w:val="0"/>
        <w:autoSpaceDN w:val="0"/>
        <w:adjustRightInd w:val="0"/>
        <w:rPr>
          <w:szCs w:val="22"/>
        </w:rPr>
      </w:pPr>
      <w:r w:rsidRPr="0038034F">
        <w:rPr>
          <w:szCs w:val="22"/>
        </w:rPr>
        <w:t>Carroll County, Maryland</w:t>
      </w:r>
    </w:p>
    <w:p w:rsidR="003E3BDF" w:rsidP="003E3BDF" w14:paraId="087865FF" w14:textId="77777777">
      <w:pPr>
        <w:autoSpaceDE w:val="0"/>
        <w:autoSpaceDN w:val="0"/>
        <w:adjustRightInd w:val="0"/>
        <w:rPr>
          <w:szCs w:val="22"/>
        </w:rPr>
      </w:pPr>
      <w:r w:rsidRPr="0038034F">
        <w:rPr>
          <w:szCs w:val="22"/>
        </w:rPr>
        <w:t>Yolo County, California</w:t>
      </w:r>
    </w:p>
    <w:p w:rsidR="003E3BDF" w:rsidP="003E3BDF" w14:paraId="546B7DC3" w14:textId="77777777">
      <w:pPr>
        <w:autoSpaceDE w:val="0"/>
        <w:autoSpaceDN w:val="0"/>
        <w:adjustRightInd w:val="0"/>
        <w:rPr>
          <w:szCs w:val="22"/>
        </w:rPr>
      </w:pPr>
      <w:r w:rsidRPr="0038034F">
        <w:rPr>
          <w:szCs w:val="22"/>
        </w:rPr>
        <w:t>Dunn</w:t>
      </w:r>
      <w:r>
        <w:rPr>
          <w:szCs w:val="22"/>
        </w:rPr>
        <w:t xml:space="preserve"> </w:t>
      </w:r>
      <w:r w:rsidRPr="0038034F">
        <w:rPr>
          <w:szCs w:val="22"/>
        </w:rPr>
        <w:t>County, Wisconsin</w:t>
      </w:r>
    </w:p>
    <w:p w:rsidR="003E3BDF" w:rsidRPr="003E3BDF" w:rsidP="003E3BDF" w14:paraId="4DBDF53B" w14:textId="1EF91370">
      <w:pPr>
        <w:autoSpaceDE w:val="0"/>
        <w:autoSpaceDN w:val="0"/>
        <w:adjustRightInd w:val="0"/>
        <w:rPr>
          <w:b/>
          <w:szCs w:val="22"/>
          <w:u w:val="single"/>
        </w:rPr>
      </w:pPr>
      <w:r w:rsidRPr="0038034F">
        <w:rPr>
          <w:szCs w:val="22"/>
        </w:rPr>
        <w:t>Santa Clara County, California</w:t>
      </w:r>
    </w:p>
    <w:p w:rsidR="003E3BDF" w:rsidP="00F964D7" w14:paraId="0C84DA02" w14:textId="63791C22">
      <w:pPr>
        <w:autoSpaceDE w:val="0"/>
        <w:autoSpaceDN w:val="0"/>
        <w:adjustRightInd w:val="0"/>
        <w:jc w:val="center"/>
        <w:rPr>
          <w:b/>
          <w:szCs w:val="22"/>
        </w:rPr>
      </w:pPr>
    </w:p>
    <w:p w:rsidR="000B0C02" w:rsidP="00F964D7" w14:paraId="3839327F" w14:textId="77777777">
      <w:pPr>
        <w:autoSpaceDE w:val="0"/>
        <w:autoSpaceDN w:val="0"/>
        <w:adjustRightInd w:val="0"/>
        <w:jc w:val="center"/>
        <w:rPr>
          <w:b/>
          <w:szCs w:val="22"/>
        </w:rPr>
      </w:pPr>
    </w:p>
    <w:p w:rsidR="00F964D7" w:rsidP="00F964D7" w14:paraId="14141994" w14:textId="1D060F47">
      <w:pPr>
        <w:autoSpaceDE w:val="0"/>
        <w:autoSpaceDN w:val="0"/>
        <w:adjustRightInd w:val="0"/>
        <w:jc w:val="center"/>
        <w:rPr>
          <w:color w:val="000000"/>
          <w:szCs w:val="22"/>
        </w:rPr>
      </w:pPr>
      <w:r>
        <w:rPr>
          <w:b/>
          <w:szCs w:val="22"/>
        </w:rPr>
        <w:t>-FCC-</w:t>
      </w:r>
    </w:p>
    <w:p w:rsidR="00F964D7" w:rsidP="00F964D7" w14:paraId="62260CB8" w14:textId="77777777">
      <w:pPr>
        <w:autoSpaceDE w:val="0"/>
        <w:autoSpaceDN w:val="0"/>
        <w:adjustRightInd w:val="0"/>
        <w:spacing w:after="120"/>
        <w:jc w:val="center"/>
        <w:rPr>
          <w:b/>
          <w:szCs w:val="22"/>
        </w:rPr>
      </w:pPr>
    </w:p>
    <w:p w:rsidR="00F964D7" w:rsidP="00F964D7" w14:paraId="68C2D365" w14:textId="77777777">
      <w:pPr>
        <w:autoSpaceDE w:val="0"/>
        <w:autoSpaceDN w:val="0"/>
        <w:adjustRightInd w:val="0"/>
        <w:jc w:val="center"/>
        <w:rPr>
          <w:b/>
          <w:szCs w:val="22"/>
        </w:rPr>
      </w:pPr>
    </w:p>
    <w:p w:rsidR="00F964D7" w:rsidP="00F964D7" w14:paraId="1534C0C1" w14:textId="77777777">
      <w:pPr>
        <w:autoSpaceDE w:val="0"/>
        <w:autoSpaceDN w:val="0"/>
        <w:adjustRightInd w:val="0"/>
        <w:rPr>
          <w:color w:val="000000"/>
          <w:szCs w:val="22"/>
        </w:rPr>
      </w:pPr>
    </w:p>
    <w:p w:rsidR="00930ECF" w:rsidRPr="00930ECF" w:rsidP="00F96F63" w14:paraId="60AF1CE8"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65D" w:rsidP="0055614C" w14:paraId="52DADA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73265D" w14:paraId="310BB9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65D" w:rsidP="00910F12" w14:paraId="0C4C5C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65D" w14:paraId="75A641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265D" w14:paraId="38F4D3DD" w14:textId="77777777">
      <w:r>
        <w:separator/>
      </w:r>
    </w:p>
  </w:footnote>
  <w:footnote w:type="continuationSeparator" w:id="1">
    <w:p w:rsidR="0073265D" w14:paraId="30DAB437" w14:textId="77777777">
      <w:pPr>
        <w:rPr>
          <w:sz w:val="20"/>
        </w:rPr>
      </w:pPr>
      <w:r>
        <w:rPr>
          <w:sz w:val="20"/>
        </w:rPr>
        <w:t xml:space="preserve">(Continued from previous page)  </w:t>
      </w:r>
      <w:r>
        <w:rPr>
          <w:sz w:val="20"/>
        </w:rPr>
        <w:separator/>
      </w:r>
    </w:p>
  </w:footnote>
  <w:footnote w:type="continuationNotice" w:id="2">
    <w:p w:rsidR="0073265D" w:rsidP="00910F12" w14:paraId="2F291800" w14:textId="77777777">
      <w:pPr>
        <w:jc w:val="right"/>
        <w:rPr>
          <w:sz w:val="20"/>
        </w:rPr>
      </w:pPr>
      <w:r>
        <w:rPr>
          <w:sz w:val="20"/>
        </w:rPr>
        <w:t>(continued….)</w:t>
      </w:r>
    </w:p>
  </w:footnote>
  <w:footnote w:id="3">
    <w:p w:rsidR="000273DA" w:rsidRPr="00DC20D0" w:rsidP="000273DA" w14:paraId="3D0E10FD" w14:textId="76588DA4">
      <w:pPr>
        <w:spacing w:after="120"/>
        <w:rPr>
          <w:sz w:val="20"/>
        </w:rPr>
      </w:pPr>
      <w:r w:rsidRPr="00DC20D0">
        <w:rPr>
          <w:rStyle w:val="FootnoteReference"/>
          <w:sz w:val="20"/>
        </w:rPr>
        <w:footnoteRef/>
      </w:r>
      <w:r w:rsidRPr="00DC20D0">
        <w:rPr>
          <w:sz w:val="20"/>
        </w:rPr>
        <w:t xml:space="preserve"> </w:t>
      </w:r>
      <w:r w:rsidRPr="00BE2948">
        <w:rPr>
          <w:sz w:val="20"/>
        </w:rPr>
        <w:t>47 U.S.C. § 214; 47 CFR §§ 63.03-04</w:t>
      </w:r>
      <w:r>
        <w:rPr>
          <w:sz w:val="20"/>
        </w:rPr>
        <w:t xml:space="preserve">, 63.18, 63.24; </w:t>
      </w:r>
      <w:r w:rsidRPr="006331B3">
        <w:rPr>
          <w:rFonts w:eastAsia="Calibri"/>
          <w:sz w:val="20"/>
        </w:rPr>
        <w:t xml:space="preserve">Joint Application of Legacy Long Distance International, Inc. d/b/a Legacy Inmate Communications and </w:t>
      </w:r>
      <w:r w:rsidRPr="00712393">
        <w:rPr>
          <w:rFonts w:eastAsia="Calibri"/>
          <w:sz w:val="20"/>
        </w:rPr>
        <w:t>Global Tel*Link Corp</w:t>
      </w:r>
      <w:r w:rsidRPr="00DC20D0">
        <w:rPr>
          <w:rFonts w:eastAsia="Calibri"/>
          <w:sz w:val="20"/>
        </w:rPr>
        <w:t xml:space="preserve">oration for Consent to Assign Assets and/or Transfer Control of Certain Assets, WC Docket No. 20-218 (filed Jul. 8, 2020) (Application).  </w:t>
      </w:r>
      <w:r w:rsidRPr="00993C29" w:rsidR="00EE714B">
        <w:rPr>
          <w:sz w:val="20"/>
        </w:rPr>
        <w:t xml:space="preserve">The </w:t>
      </w:r>
      <w:r w:rsidR="00EE714B">
        <w:rPr>
          <w:sz w:val="20"/>
        </w:rPr>
        <w:t>assets</w:t>
      </w:r>
      <w:r w:rsidRPr="00993C29" w:rsidR="00EE714B">
        <w:rPr>
          <w:sz w:val="20"/>
        </w:rPr>
        <w:t xml:space="preserve"> subject to the </w:t>
      </w:r>
      <w:r w:rsidR="00EE714B">
        <w:rPr>
          <w:sz w:val="20"/>
        </w:rPr>
        <w:t>A</w:t>
      </w:r>
      <w:r w:rsidRPr="00993C29" w:rsidR="00EE714B">
        <w:rPr>
          <w:sz w:val="20"/>
        </w:rPr>
        <w:t xml:space="preserve">pplication are listed in </w:t>
      </w:r>
      <w:r w:rsidR="00EE714B">
        <w:rPr>
          <w:sz w:val="20"/>
        </w:rPr>
        <w:t>Attachment</w:t>
      </w:r>
      <w:r w:rsidRPr="00993C29" w:rsidR="00EE714B">
        <w:rPr>
          <w:sz w:val="20"/>
        </w:rPr>
        <w:t xml:space="preserve"> A</w:t>
      </w:r>
      <w:r w:rsidR="00EE714B">
        <w:rPr>
          <w:sz w:val="20"/>
        </w:rPr>
        <w:t xml:space="preserve"> to this Public Notice</w:t>
      </w:r>
      <w:r w:rsidR="00480EEE">
        <w:rPr>
          <w:sz w:val="20"/>
        </w:rPr>
        <w:t xml:space="preserve">.  </w:t>
      </w:r>
      <w:r w:rsidR="00D12738">
        <w:rPr>
          <w:rFonts w:eastAsia="Calibri"/>
          <w:sz w:val="20"/>
        </w:rPr>
        <w:t xml:space="preserve">On July 30, 2020, Applicants filed a supplement to the Application.  Letter from Cherie R. Kiser and Angela F. Collins, Counsel for GTL, to Marlene H. Dortch, Secretary, FCC, WC Docket No. 20-218, File No. ITC-ASG-20200708-00112 (July 30, 2020) (July 30 Supplement).  </w:t>
      </w:r>
    </w:p>
  </w:footnote>
  <w:footnote w:id="4">
    <w:p w:rsidR="008A608A" w:rsidRPr="00CC2B92" w:rsidP="008A608A" w14:paraId="6864B2C7" w14:textId="77777777">
      <w:pPr>
        <w:pStyle w:val="FootnoteText"/>
      </w:pPr>
      <w:r w:rsidRPr="00CC2B92">
        <w:rPr>
          <w:rStyle w:val="FootnoteReference"/>
        </w:rPr>
        <w:footnoteRef/>
      </w:r>
      <w:r w:rsidRPr="00CC2B92">
        <w:t xml:space="preserve"> Application at 3.</w:t>
      </w:r>
    </w:p>
  </w:footnote>
  <w:footnote w:id="5">
    <w:p w:rsidR="008A608A" w:rsidRPr="001D2931" w:rsidP="008A608A" w14:paraId="7A2B5E85" w14:textId="27958BD6">
      <w:pPr>
        <w:pStyle w:val="FootnoteText"/>
      </w:pPr>
      <w:r w:rsidRPr="00CC2B92">
        <w:rPr>
          <w:rStyle w:val="FootnoteReference"/>
        </w:rPr>
        <w:footnoteRef/>
      </w:r>
      <w:r w:rsidRPr="00CC2B92">
        <w:t xml:space="preserve"> </w:t>
      </w:r>
      <w:r w:rsidRPr="00E16A5A">
        <w:rPr>
          <w:i/>
          <w:iCs/>
        </w:rPr>
        <w:t>Id</w:t>
      </w:r>
      <w:r w:rsidRPr="00E16A5A">
        <w:t>.</w:t>
      </w:r>
    </w:p>
  </w:footnote>
  <w:footnote w:id="6">
    <w:p w:rsidR="0073265D" w:rsidRPr="00DC20D0" w:rsidP="00F964D7" w14:paraId="7A0AFC01" w14:textId="2D6E7CBD">
      <w:pPr>
        <w:pStyle w:val="FootnoteText"/>
      </w:pPr>
      <w:r w:rsidRPr="00DC20D0">
        <w:rPr>
          <w:rStyle w:val="FootnoteReference"/>
        </w:rPr>
        <w:footnoteRef/>
      </w:r>
      <w:r w:rsidRPr="00DC20D0">
        <w:t xml:space="preserve"> </w:t>
      </w:r>
      <w:r w:rsidRPr="000273DA">
        <w:rPr>
          <w:i/>
          <w:iCs/>
        </w:rPr>
        <w:t>Id.</w:t>
      </w:r>
      <w:r w:rsidRPr="00DC20D0">
        <w:t xml:space="preserve"> at 4.</w:t>
      </w:r>
    </w:p>
  </w:footnote>
  <w:footnote w:id="7">
    <w:p w:rsidR="005C3DFE" w:rsidRPr="005C3DFE" w14:paraId="4E3CB8A7" w14:textId="0CA42D12">
      <w:pPr>
        <w:pStyle w:val="FootnoteText"/>
      </w:pPr>
      <w:r>
        <w:rPr>
          <w:rStyle w:val="FootnoteReference"/>
        </w:rPr>
        <w:footnoteRef/>
      </w:r>
      <w:r w:rsidR="00B32324">
        <w:rPr>
          <w:rStyle w:val="FootnoteReference"/>
        </w:rPr>
        <w:t xml:space="preserve"> </w:t>
      </w:r>
      <w:r>
        <w:rPr>
          <w:i/>
          <w:iCs/>
        </w:rPr>
        <w:t>Id</w:t>
      </w:r>
      <w:r>
        <w:t>. at 10.</w:t>
      </w:r>
      <w:r w:rsidRPr="00B32324" w:rsidR="00B32324">
        <w:t xml:space="preserve"> </w:t>
      </w:r>
      <w:r w:rsidR="00B32324">
        <w:t xml:space="preserve"> </w:t>
      </w:r>
      <w:bookmarkStart w:id="5" w:name="_Hlk48289712"/>
      <w:r w:rsidR="00B32324">
        <w:t>As part of Legacy’s plan to withdraw from the inmate calling service market, L</w:t>
      </w:r>
      <w:r w:rsidRPr="00BE2948" w:rsidR="00B32324">
        <w:t>egacy</w:t>
      </w:r>
      <w:r w:rsidR="00B32324">
        <w:t xml:space="preserve"> and</w:t>
      </w:r>
      <w:r w:rsidRPr="00BE2948" w:rsidR="00B32324">
        <w:t xml:space="preserve"> </w:t>
      </w:r>
      <w:r w:rsidR="00B32324">
        <w:t>Network Communications International Corp. d/b/a NCIC Inmate Communications (NCIC)</w:t>
      </w:r>
      <w:r w:rsidR="00D93789">
        <w:t xml:space="preserve"> </w:t>
      </w:r>
      <w:r w:rsidRPr="00BE2948" w:rsidR="00B32324">
        <w:t xml:space="preserve">filed </w:t>
      </w:r>
      <w:r w:rsidR="005F6A66">
        <w:t xml:space="preserve">section 214 </w:t>
      </w:r>
      <w:r w:rsidRPr="00BE2948" w:rsidR="00B32324">
        <w:t>application</w:t>
      </w:r>
      <w:r w:rsidR="005F6A66">
        <w:t>s</w:t>
      </w:r>
      <w:r w:rsidRPr="00BE2948" w:rsidR="00B32324">
        <w:t xml:space="preserve"> for the transfer </w:t>
      </w:r>
      <w:r w:rsidR="00B32324">
        <w:t xml:space="preserve">to NCIC </w:t>
      </w:r>
      <w:r w:rsidRPr="00BE2948" w:rsidR="00B32324">
        <w:t>of</w:t>
      </w:r>
      <w:r w:rsidR="00B32324">
        <w:t xml:space="preserve"> certain</w:t>
      </w:r>
      <w:r w:rsidRPr="00BE2948" w:rsidR="00B32324">
        <w:t xml:space="preserve"> </w:t>
      </w:r>
      <w:r w:rsidR="00B32324">
        <w:t>of Legacy’s customer contracts for jails in several states</w:t>
      </w:r>
      <w:bookmarkEnd w:id="5"/>
      <w:r w:rsidR="00B32324">
        <w:t xml:space="preserve">.  </w:t>
      </w:r>
      <w:r w:rsidRPr="007C3DA5" w:rsidR="00B32324">
        <w:rPr>
          <w:rFonts w:eastAsia="Calibri"/>
          <w:i/>
          <w:iCs/>
        </w:rPr>
        <w:t xml:space="preserve">Applications Filed for the Acquisition of Certain Assets of Legacy Long Distance International, Inc. </w:t>
      </w:r>
      <w:r w:rsidR="00D93789">
        <w:rPr>
          <w:rFonts w:eastAsia="Calibri"/>
          <w:i/>
          <w:iCs/>
        </w:rPr>
        <w:t>d</w:t>
      </w:r>
      <w:r w:rsidRPr="007C3DA5" w:rsidR="00B32324">
        <w:rPr>
          <w:rFonts w:eastAsia="Calibri"/>
          <w:i/>
          <w:iCs/>
        </w:rPr>
        <w:t>/</w:t>
      </w:r>
      <w:r w:rsidR="00D93789">
        <w:rPr>
          <w:rFonts w:eastAsia="Calibri"/>
          <w:i/>
          <w:iCs/>
        </w:rPr>
        <w:t>b</w:t>
      </w:r>
      <w:r w:rsidRPr="007C3DA5" w:rsidR="00B32324">
        <w:rPr>
          <w:rFonts w:eastAsia="Calibri"/>
          <w:i/>
          <w:iCs/>
        </w:rPr>
        <w:t>/</w:t>
      </w:r>
      <w:r w:rsidR="00D93789">
        <w:rPr>
          <w:rFonts w:eastAsia="Calibri"/>
          <w:i/>
          <w:iCs/>
        </w:rPr>
        <w:t>a</w:t>
      </w:r>
      <w:r w:rsidRPr="007C3DA5" w:rsidR="00B32324">
        <w:rPr>
          <w:rFonts w:eastAsia="Calibri"/>
          <w:i/>
          <w:iCs/>
        </w:rPr>
        <w:t xml:space="preserve"> Legacy Inmate Communications by Network Communications International Corp. D/B/A NCIC Inmate Communications</w:t>
      </w:r>
      <w:r w:rsidR="00B32324">
        <w:rPr>
          <w:rFonts w:eastAsia="Calibri"/>
        </w:rPr>
        <w:t>, WC Docket No. 20-207, Public Notice, DA 20-</w:t>
      </w:r>
      <w:r w:rsidR="00965C38">
        <w:rPr>
          <w:rFonts w:eastAsia="Calibri"/>
        </w:rPr>
        <w:t>966</w:t>
      </w:r>
      <w:r w:rsidR="00B32324">
        <w:rPr>
          <w:rFonts w:eastAsia="Calibri"/>
        </w:rPr>
        <w:t xml:space="preserve"> (WCB 2020); </w:t>
      </w:r>
      <w:bookmarkStart w:id="6" w:name="_Hlk48291541"/>
      <w:r w:rsidR="00B32324">
        <w:rPr>
          <w:rFonts w:eastAsia="Calibri"/>
        </w:rPr>
        <w:t>Letter from Sharon R. Warren, Consultant, to Marlene H. Dortch, Secretary, FCC,WC Docket No.20-207, at 1 (filed July 30, 2020) (stating that Legacy is transferring contracts for services to jails to NCIC, that the proposed transaction with NCIC does not involve prison contracts, and that Legacy will serve a few remaining customer contracts that will expire before the end of 2020, at which point, Legacy will finalize its withdrawal from the states it serves).</w:t>
      </w:r>
      <w:bookmarkEnd w:id="6"/>
    </w:p>
  </w:footnote>
  <w:footnote w:id="8">
    <w:p w:rsidR="0073265D" w:rsidRPr="00DC20D0" w:rsidP="00F964D7" w14:paraId="527EB5C6" w14:textId="1AE4059D">
      <w:pPr>
        <w:pStyle w:val="FootnoteText"/>
      </w:pPr>
      <w:r w:rsidRPr="00DC20D0">
        <w:rPr>
          <w:rStyle w:val="FootnoteReference"/>
        </w:rPr>
        <w:footnoteRef/>
      </w:r>
      <w:r w:rsidRPr="00DC20D0">
        <w:t xml:space="preserve"> </w:t>
      </w:r>
      <w:r w:rsidR="00B23F7F">
        <w:t>Application</w:t>
      </w:r>
      <w:r w:rsidR="0064077F">
        <w:t xml:space="preserve"> at 2-3</w:t>
      </w:r>
      <w:r w:rsidRPr="00DC20D0" w:rsidR="0064077F">
        <w:t xml:space="preserve">.  </w:t>
      </w:r>
      <w:r w:rsidR="005C3DFE">
        <w:rPr>
          <w:szCs w:val="22"/>
        </w:rPr>
        <w:t xml:space="preserve">The Commission has stated that GTL is the largest provider in the </w:t>
      </w:r>
      <w:r w:rsidR="00B32324">
        <w:rPr>
          <w:szCs w:val="22"/>
        </w:rPr>
        <w:t>inmate calling services market.</w:t>
      </w:r>
      <w:r w:rsidR="005C3DFE">
        <w:rPr>
          <w:szCs w:val="22"/>
        </w:rPr>
        <w:t xml:space="preserve">  </w:t>
      </w:r>
      <w:r w:rsidR="005C3DFE">
        <w:rPr>
          <w:i/>
          <w:iCs/>
        </w:rPr>
        <w:t>Rates for</w:t>
      </w:r>
      <w:r w:rsidRPr="00235FC2" w:rsidR="005C3DFE">
        <w:rPr>
          <w:i/>
          <w:iCs/>
        </w:rPr>
        <w:t xml:space="preserve"> Interstate Calling Services</w:t>
      </w:r>
      <w:r w:rsidRPr="00235FC2" w:rsidR="005C3DFE">
        <w:t xml:space="preserve">, WC Docket 12-375, Report and Order on Remand and Fourth Further Notice of Proposed Rulemaking, </w:t>
      </w:r>
      <w:bookmarkStart w:id="7" w:name="_Hlk47438008"/>
      <w:r w:rsidRPr="00235FC2" w:rsidR="005C3DFE">
        <w:t>FCC</w:t>
      </w:r>
      <w:r w:rsidR="005C3DFE">
        <w:t xml:space="preserve"> 20-111,</w:t>
      </w:r>
      <w:r w:rsidRPr="00235FC2" w:rsidR="005C3DFE">
        <w:rPr>
          <w:szCs w:val="22"/>
        </w:rPr>
        <w:t xml:space="preserve"> at para. </w:t>
      </w:r>
      <w:r w:rsidR="005C3DFE">
        <w:rPr>
          <w:szCs w:val="22"/>
        </w:rPr>
        <w:t>94 (2020)</w:t>
      </w:r>
      <w:r w:rsidRPr="00235FC2" w:rsidR="005C3DFE">
        <w:rPr>
          <w:szCs w:val="22"/>
        </w:rPr>
        <w:t xml:space="preserve"> </w:t>
      </w:r>
      <w:bookmarkEnd w:id="7"/>
      <w:r w:rsidRPr="00235FC2" w:rsidR="005C3DFE">
        <w:rPr>
          <w:szCs w:val="22"/>
        </w:rPr>
        <w:t>(</w:t>
      </w:r>
      <w:bookmarkStart w:id="8" w:name="_Hlk48144928"/>
      <w:r w:rsidR="005C3DFE">
        <w:rPr>
          <w:szCs w:val="22"/>
        </w:rPr>
        <w:t xml:space="preserve">2020 </w:t>
      </w:r>
      <w:r w:rsidRPr="00235FC2" w:rsidR="005C3DFE">
        <w:rPr>
          <w:i/>
          <w:iCs/>
          <w:szCs w:val="22"/>
        </w:rPr>
        <w:t>ICS Order and NPRM</w:t>
      </w:r>
      <w:bookmarkEnd w:id="8"/>
      <w:r w:rsidRPr="00235FC2" w:rsidR="005C3DFE">
        <w:rPr>
          <w:szCs w:val="22"/>
        </w:rPr>
        <w:t>)</w:t>
      </w:r>
      <w:r w:rsidR="005C3DFE">
        <w:rPr>
          <w:szCs w:val="22"/>
        </w:rPr>
        <w:t xml:space="preserve">.   </w:t>
      </w:r>
      <w:r w:rsidR="002F7662">
        <w:rPr>
          <w:szCs w:val="22"/>
        </w:rPr>
        <w:t xml:space="preserve">  </w:t>
      </w:r>
      <w:r w:rsidR="002F7662">
        <w:t xml:space="preserve">  </w:t>
      </w:r>
      <w:r w:rsidR="007B2C4D">
        <w:rPr>
          <w:rFonts w:eastAsia="Calibri"/>
        </w:rPr>
        <w:t xml:space="preserve">  </w:t>
      </w:r>
    </w:p>
  </w:footnote>
  <w:footnote w:id="9">
    <w:p w:rsidR="005D1ADE" w:rsidRPr="005D1ADE" w14:paraId="2275FC57" w14:textId="7D1B7548">
      <w:pPr>
        <w:pStyle w:val="FootnoteText"/>
      </w:pPr>
      <w:r>
        <w:rPr>
          <w:rStyle w:val="FootnoteReference"/>
        </w:rPr>
        <w:footnoteRef/>
      </w:r>
      <w:r>
        <w:t xml:space="preserve"> </w:t>
      </w:r>
      <w:r w:rsidR="005F6A66">
        <w:t>Application</w:t>
      </w:r>
      <w:r>
        <w:t xml:space="preserve"> at 7.</w:t>
      </w:r>
    </w:p>
  </w:footnote>
  <w:footnote w:id="10">
    <w:p w:rsidR="0073265D" w:rsidRPr="00DC20D0" w:rsidP="00F964D7" w14:paraId="62104A4A" w14:textId="0823AE1B">
      <w:pPr>
        <w:pStyle w:val="FootnoteText"/>
      </w:pPr>
      <w:r w:rsidRPr="00DC20D0">
        <w:rPr>
          <w:rStyle w:val="FootnoteReference"/>
        </w:rPr>
        <w:footnoteRef/>
      </w:r>
      <w:r w:rsidRPr="00DC20D0">
        <w:t xml:space="preserve"> </w:t>
      </w:r>
      <w:r w:rsidRPr="000273DA">
        <w:rPr>
          <w:i/>
          <w:iCs/>
        </w:rPr>
        <w:t>Id.</w:t>
      </w:r>
      <w:r w:rsidRPr="00DC20D0">
        <w:t xml:space="preserve"> at 7-8.</w:t>
      </w:r>
      <w:r w:rsidR="00D12738">
        <w:t xml:space="preserve">  ASP VI is a private equity fund managed by American Securities LLC (AmSec), a New York limited liability company.  Applicants state that AmSec does not have any ownership interest or day-to-day management role in GTL or ASP VI.  July 30 Supplement at 1.</w:t>
      </w:r>
    </w:p>
  </w:footnote>
  <w:footnote w:id="11">
    <w:p w:rsidR="0073265D" w:rsidRPr="00DC20D0" w:rsidP="00F964D7" w14:paraId="25FEDF29" w14:textId="313C4C00">
      <w:pPr>
        <w:pStyle w:val="FootnoteText"/>
      </w:pPr>
      <w:r w:rsidRPr="00DC20D0">
        <w:rPr>
          <w:rStyle w:val="FootnoteReference"/>
        </w:rPr>
        <w:footnoteRef/>
      </w:r>
      <w:r w:rsidRPr="00DC20D0">
        <w:t xml:space="preserve"> </w:t>
      </w:r>
      <w:r w:rsidR="00B23F7F">
        <w:t>Application</w:t>
      </w:r>
      <w:r w:rsidRPr="00DC20D0">
        <w:t xml:space="preserve"> at 8</w:t>
      </w:r>
      <w:r w:rsidR="00D12738">
        <w:t>; July 30 Supplement at 2.</w:t>
      </w:r>
    </w:p>
  </w:footnote>
  <w:footnote w:id="12">
    <w:p w:rsidR="00121CDD" w:rsidRPr="00121CDD" w14:paraId="605B5A3D" w14:textId="4F3782B0">
      <w:pPr>
        <w:pStyle w:val="FootnoteText"/>
      </w:pPr>
      <w:r>
        <w:rPr>
          <w:rStyle w:val="FootnoteReference"/>
        </w:rPr>
        <w:footnoteRef/>
      </w:r>
      <w:r>
        <w:t xml:space="preserve"> July 30 Supplement at 2.  Michael G. Fisch and David L. Horing are the managing members of ASA.  </w:t>
      </w:r>
      <w:r>
        <w:rPr>
          <w:i/>
          <w:iCs/>
        </w:rPr>
        <w:t>Id</w:t>
      </w:r>
      <w:r>
        <w:t>.</w:t>
      </w:r>
    </w:p>
  </w:footnote>
  <w:footnote w:id="13">
    <w:p w:rsidR="00121CDD" w14:paraId="6A026188" w14:textId="3752FB29">
      <w:pPr>
        <w:pStyle w:val="FootnoteText"/>
      </w:pPr>
      <w:r>
        <w:rPr>
          <w:rStyle w:val="FootnoteReference"/>
        </w:rPr>
        <w:footnoteRef/>
      </w:r>
      <w:r>
        <w:t xml:space="preserve"> </w:t>
      </w:r>
      <w:r>
        <w:rPr>
          <w:i/>
          <w:iCs/>
        </w:rPr>
        <w:t>Id</w:t>
      </w:r>
      <w:r>
        <w:t>.</w:t>
      </w:r>
    </w:p>
  </w:footnote>
  <w:footnote w:id="14">
    <w:p w:rsidR="0073265D" w:rsidRPr="00D12AB2" w:rsidP="00F964D7" w14:paraId="3DC3FF69" w14:textId="4D7BCA0E">
      <w:pPr>
        <w:pStyle w:val="FootnoteText"/>
        <w:rPr>
          <w:i/>
          <w:iCs/>
        </w:rPr>
      </w:pPr>
      <w:r w:rsidRPr="00DC20D0">
        <w:rPr>
          <w:rStyle w:val="FootnoteReference"/>
        </w:rPr>
        <w:footnoteRef/>
      </w:r>
      <w:r w:rsidR="00B23F7F">
        <w:t xml:space="preserve"> Application</w:t>
      </w:r>
      <w:r w:rsidRPr="00DC20D0">
        <w:t xml:space="preserve"> at 3</w:t>
      </w:r>
      <w:r w:rsidR="00B23F7F">
        <w:t>-4</w:t>
      </w:r>
      <w:r w:rsidRPr="00DC20D0">
        <w:t xml:space="preserve">.  </w:t>
      </w:r>
      <w:r w:rsidR="003E6A22">
        <w:t>According to Applicants, the a</w:t>
      </w:r>
      <w:r w:rsidR="003E6A22">
        <w:rPr>
          <w:szCs w:val="22"/>
        </w:rPr>
        <w:t xml:space="preserve">ssets to be purchased do not include the Commission authorizations that Legacy </w:t>
      </w:r>
      <w:r w:rsidR="005D1ADE">
        <w:rPr>
          <w:szCs w:val="22"/>
        </w:rPr>
        <w:t xml:space="preserve">currently </w:t>
      </w:r>
      <w:r w:rsidR="003E6A22">
        <w:rPr>
          <w:szCs w:val="22"/>
        </w:rPr>
        <w:t xml:space="preserve">holds.  </w:t>
      </w:r>
      <w:r w:rsidR="003E6A22">
        <w:rPr>
          <w:i/>
          <w:iCs/>
          <w:szCs w:val="22"/>
        </w:rPr>
        <w:t>Id</w:t>
      </w:r>
      <w:r w:rsidR="003E6A22">
        <w:rPr>
          <w:szCs w:val="22"/>
        </w:rPr>
        <w:t>.</w:t>
      </w:r>
      <w:r w:rsidR="00D12AB2">
        <w:rPr>
          <w:szCs w:val="22"/>
        </w:rPr>
        <w:t xml:space="preserve">  </w:t>
      </w:r>
    </w:p>
  </w:footnote>
  <w:footnote w:id="15">
    <w:p w:rsidR="0073265D" w:rsidRPr="00DC20D0" w:rsidP="00F964D7" w14:paraId="04126DFE" w14:textId="1223BF88">
      <w:pPr>
        <w:pStyle w:val="FootnoteText"/>
      </w:pPr>
      <w:r w:rsidRPr="00DC20D0">
        <w:rPr>
          <w:rStyle w:val="FootnoteReference"/>
        </w:rPr>
        <w:footnoteRef/>
      </w:r>
      <w:r w:rsidRPr="00DC20D0">
        <w:t xml:space="preserve"> </w:t>
      </w:r>
      <w:r w:rsidRPr="000273DA">
        <w:rPr>
          <w:i/>
          <w:iCs/>
        </w:rPr>
        <w:t>Id.</w:t>
      </w:r>
    </w:p>
  </w:footnote>
  <w:footnote w:id="16">
    <w:p w:rsidR="005D1ADE" w:rsidRPr="005D1ADE" w14:paraId="7864E7C9" w14:textId="2FEAA77E">
      <w:pPr>
        <w:pStyle w:val="FootnoteText"/>
      </w:pPr>
      <w:r>
        <w:rPr>
          <w:rStyle w:val="FootnoteReference"/>
        </w:rPr>
        <w:footnoteRef/>
      </w:r>
      <w:r>
        <w:t xml:space="preserve"> </w:t>
      </w:r>
      <w:r>
        <w:rPr>
          <w:i/>
          <w:iCs/>
        </w:rPr>
        <w:t>Id</w:t>
      </w:r>
      <w:r>
        <w:t>. at 4-5.</w:t>
      </w:r>
    </w:p>
  </w:footnote>
  <w:footnote w:id="17">
    <w:p w:rsidR="005C2366" w14:paraId="592838CE" w14:textId="4FEB6139">
      <w:pPr>
        <w:pStyle w:val="FootnoteText"/>
      </w:pPr>
      <w:r>
        <w:rPr>
          <w:rStyle w:val="FootnoteReference"/>
        </w:rPr>
        <w:footnoteRef/>
      </w:r>
      <w:r>
        <w:t xml:space="preserve"> </w:t>
      </w:r>
      <w:r w:rsidRPr="000273DA">
        <w:rPr>
          <w:i/>
          <w:iCs/>
        </w:rPr>
        <w:t>Id.</w:t>
      </w:r>
      <w:r>
        <w:t xml:space="preserve"> at 5.</w:t>
      </w:r>
    </w:p>
  </w:footnote>
  <w:footnote w:id="18">
    <w:p w:rsidR="00AC3208" w:rsidRPr="0072215B" w14:paraId="2C812BD2" w14:textId="253521F7">
      <w:pPr>
        <w:pStyle w:val="FootnoteText"/>
        <w:rPr>
          <w:i/>
          <w:iCs/>
        </w:rPr>
      </w:pPr>
      <w:r>
        <w:rPr>
          <w:rStyle w:val="FootnoteReference"/>
        </w:rPr>
        <w:footnoteRef/>
      </w:r>
      <w:r>
        <w:t xml:space="preserve"> </w:t>
      </w:r>
      <w:r>
        <w:rPr>
          <w:i/>
          <w:iCs/>
        </w:rPr>
        <w:t>Id</w:t>
      </w:r>
      <w:r>
        <w:t xml:space="preserve">.  </w:t>
      </w:r>
      <w:bookmarkStart w:id="9" w:name="_Hlk49347968"/>
      <w:bookmarkStart w:id="10" w:name="_Hlk48289595"/>
      <w:r w:rsidR="00DB7BF8">
        <w:t>The Commission has long recognized that the inmate calling services market is different from other telecommunications markets</w:t>
      </w:r>
      <w:r w:rsidR="00EC2028">
        <w:t xml:space="preserve">. </w:t>
      </w:r>
      <w:r w:rsidRPr="00EC2028" w:rsidR="00EC2028">
        <w:rPr>
          <w:i/>
          <w:iCs/>
        </w:rPr>
        <w:t>Rates for Inmate Calling Services</w:t>
      </w:r>
      <w:r w:rsidR="00EC2028">
        <w:t xml:space="preserve">, WC Docket No. 12-375, Report and Order and Further Notice of Proposed Rulemaking, 28 FCC Rcd 14107, 14128-29, paras. 39-41 (2013) (finding that market forces were not operating to ensure just, reasonable, and fair rates for inmate calling services, and that the absence of competitive pressures necessitated rate regulation). </w:t>
      </w:r>
      <w:r w:rsidRPr="0072215B" w:rsidR="00EE714B">
        <w:t xml:space="preserve"> </w:t>
      </w:r>
      <w:bookmarkEnd w:id="9"/>
      <w:r w:rsidR="00FA5108">
        <w:t>T</w:t>
      </w:r>
      <w:r w:rsidRPr="0072215B" w:rsidR="00EE714B">
        <w:t xml:space="preserve">he Bureaus have evaluated inmate calling transactions in light of these market characteristics.  </w:t>
      </w:r>
      <w:r w:rsidRPr="0072215B" w:rsidR="00EE714B">
        <w:rPr>
          <w:i/>
          <w:iCs/>
        </w:rPr>
        <w:t>See Applications Granted for the Transfer of Control of CenturyLink Public Communications, Inc. to Inmate Calling Solutions, LLC D/B/A ICSolutions</w:t>
      </w:r>
      <w:r w:rsidRPr="0072215B" w:rsidR="00EE714B">
        <w:t>, WC Docket No. 20-150, Public Notice, DA 20-866, at 3-4 and n.15 (WCB/IB 2020) (</w:t>
      </w:r>
      <w:r w:rsidRPr="0072215B" w:rsidR="00EE714B">
        <w:rPr>
          <w:i/>
          <w:iCs/>
        </w:rPr>
        <w:t xml:space="preserve">citing </w:t>
      </w:r>
      <w:r w:rsidRPr="0072215B" w:rsidR="00FE4C1A">
        <w:t xml:space="preserve">2020 </w:t>
      </w:r>
      <w:r w:rsidRPr="0072215B" w:rsidR="00FE4C1A">
        <w:rPr>
          <w:i/>
          <w:iCs/>
        </w:rPr>
        <w:t xml:space="preserve">ICS Order and NPRM </w:t>
      </w:r>
      <w:r w:rsidRPr="0072215B" w:rsidR="00EE714B">
        <w:t>at para. 5 (explaining that an inmate calling services provider once chosen by a correctional facility operates as a monopolist)</w:t>
      </w:r>
      <w:r w:rsidRPr="0072215B" w:rsidR="00FE4C1A">
        <w:t>)</w:t>
      </w:r>
      <w:r w:rsidRPr="0072215B" w:rsidR="00EE714B">
        <w:t>.</w:t>
      </w:r>
      <w:r w:rsidRPr="0072215B" w:rsidR="00EE714B">
        <w:rPr>
          <w:i/>
          <w:iCs/>
        </w:rPr>
        <w:t xml:space="preserve">  </w:t>
      </w:r>
      <w:r w:rsidRPr="0072215B" w:rsidR="00FE45FD">
        <w:rPr>
          <w:i/>
          <w:iCs/>
        </w:rPr>
        <w:t xml:space="preserve"> </w:t>
      </w:r>
      <w:bookmarkEnd w:id="10"/>
    </w:p>
  </w:footnote>
  <w:footnote w:id="19">
    <w:p w:rsidR="00802680" w:rsidRPr="00735DB4" w:rsidP="00802680" w14:paraId="07EE8ABF" w14:textId="77777777">
      <w:pPr>
        <w:pStyle w:val="FootnoteText"/>
      </w:pPr>
      <w:r w:rsidRPr="0072215B">
        <w:rPr>
          <w:rStyle w:val="FootnoteReference"/>
          <w:sz w:val="20"/>
        </w:rPr>
        <w:footnoteRef/>
      </w:r>
      <w:r w:rsidRPr="0072215B">
        <w:t xml:space="preserve"> In response to the COVID-19 pandemic, the FCC has closed its current hand-delivery filing location at FCC Headquarters.  We encourage outside parties to take full advantage of</w:t>
      </w:r>
      <w:r w:rsidRPr="00735DB4">
        <w:t xml:space="preserve"> the Commission’s electronic filing system.  Any party that is unable to meet the filing deadline due to the building closure may request a waiver of the comment or reply comment deadline, to the extent permitted by law.</w:t>
      </w:r>
      <w:r w:rsidRPr="00735DB4">
        <w:rPr>
          <w:i/>
          <w:iCs/>
        </w:rPr>
        <w:t xml:space="preserve">  FCC Announces Closure of FCC Headquarters Open Window and Change in Hand-Delivery Filing</w:t>
      </w:r>
      <w:r w:rsidRPr="00735DB4">
        <w:t>,</w:t>
      </w:r>
      <w:r w:rsidRPr="00735DB4">
        <w:rPr>
          <w:i/>
          <w:iCs/>
        </w:rPr>
        <w:t xml:space="preserve"> </w:t>
      </w:r>
      <w:r w:rsidRPr="00735DB4">
        <w:t xml:space="preserve">Public Notice, DA 20-304 (rel. Mar. 19, 2020).  </w:t>
      </w:r>
      <w:r w:rsidRPr="00735DB4">
        <w:rPr>
          <w:b/>
          <w:bCs/>
          <w:color w:val="201F1E"/>
          <w:shd w:val="clear" w:color="auto" w:fill="FFFFFF"/>
        </w:rPr>
        <w:t> </w:t>
      </w:r>
      <w:hyperlink r:id="rId1" w:tgtFrame="_blank" w:history="1">
        <w:r w:rsidRPr="00735DB4">
          <w:rPr>
            <w:color w:val="0563C1"/>
            <w:u w:val="single"/>
            <w:bdr w:val="none" w:sz="0" w:space="0" w:color="auto" w:frame="1"/>
            <w:shd w:val="clear" w:color="auto" w:fill="FFFFFF"/>
          </w:rPr>
          <w:t>https://www.fcc.gov/document/fcc-closes-headquarters-open-window-and-changes-hand-delivery-policy</w:t>
        </w:r>
      </w:hyperlink>
      <w:r w:rsidRPr="00735DB4">
        <w:t>.</w:t>
      </w:r>
      <w:r w:rsidRPr="00735DB4">
        <w:rPr>
          <w:color w:val="201F1E"/>
          <w:shd w:val="clear" w:color="auto" w:fill="FFFFFF"/>
        </w:rPr>
        <w:t> </w:t>
      </w:r>
    </w:p>
  </w:footnote>
  <w:footnote w:id="20">
    <w:p w:rsidR="00802680" w:rsidRPr="00D77BE4" w:rsidP="00802680" w14:paraId="654D83B2" w14:textId="77777777">
      <w:pPr>
        <w:pStyle w:val="FootnoteText"/>
      </w:pPr>
      <w:r w:rsidRPr="00202C10">
        <w:rPr>
          <w:rStyle w:val="FootnoteReference"/>
        </w:rPr>
        <w:footnoteRef/>
      </w:r>
      <w:r w:rsidRPr="00202C10">
        <w:t xml:space="preserve"> </w:t>
      </w:r>
      <w:r w:rsidRPr="00202C10">
        <w:rPr>
          <w:i/>
        </w:rPr>
        <w:t>See</w:t>
      </w:r>
      <w:r w:rsidRPr="00202C10">
        <w:t xml:space="preserve"> 47 CFR § 1.45(c).</w:t>
      </w:r>
    </w:p>
  </w:footnote>
  <w:footnote w:id="21">
    <w:p w:rsidR="00242089" w14:paraId="76E7747C" w14:textId="0F806B9B">
      <w:pPr>
        <w:pStyle w:val="FootnoteText"/>
      </w:pPr>
      <w:r>
        <w:rPr>
          <w:rStyle w:val="FootnoteReference"/>
        </w:rPr>
        <w:footnoteRef/>
      </w:r>
      <w:r>
        <w:t xml:space="preserve"> Legacy will retain its international section 214 authorization, ITC-214-19961125-00596.  GTL will provide international service to its new customers pursuant to its existing international section 214 authorization, ITC-214</w:t>
      </w:r>
      <w:r w:rsidR="00F91C43">
        <w:t>-</w:t>
      </w:r>
      <w:r w:rsidR="0086791B">
        <w:t xml:space="preserve">19970128-00044. </w:t>
      </w:r>
    </w:p>
  </w:footnote>
  <w:footnote w:id="22">
    <w:p w:rsidR="0073265D" w:rsidRPr="00DC20D0" w:rsidP="00F964D7" w14:paraId="1C510ABD" w14:textId="77777777">
      <w:pPr>
        <w:pStyle w:val="FootnoteText"/>
        <w:rPr>
          <w:color w:val="000000"/>
        </w:rPr>
      </w:pPr>
      <w:r w:rsidRPr="006331B3">
        <w:rPr>
          <w:rStyle w:val="FootnoteReference"/>
          <w:color w:val="000000"/>
        </w:rPr>
        <w:footnoteRef/>
      </w:r>
      <w:r w:rsidRPr="00DC20D0">
        <w:rPr>
          <w:color w:val="000000"/>
        </w:rPr>
        <w:t xml:space="preserve"> 47 CFR § 63.03.</w:t>
      </w:r>
    </w:p>
  </w:footnote>
  <w:footnote w:id="23">
    <w:p w:rsidR="00E06639" w:rsidRPr="00DC20D0" w:rsidP="00E06639" w14:paraId="7EE7C2ED" w14:textId="5F8E99BD">
      <w:pPr>
        <w:pStyle w:val="FootnoteText"/>
      </w:pPr>
      <w:r w:rsidRPr="00DC20D0">
        <w:rPr>
          <w:rStyle w:val="FootnoteReference"/>
        </w:rPr>
        <w:footnoteRef/>
      </w:r>
      <w:r w:rsidRPr="00DC20D0">
        <w:t xml:space="preserve"> </w:t>
      </w:r>
      <w:r>
        <w:t xml:space="preserve">Application </w:t>
      </w:r>
      <w:r w:rsidRPr="00DC20D0">
        <w:t>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65D" w:rsidRPr="009838BC" w:rsidP="009838BC" w14:paraId="338BF2A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65D" w:rsidRPr="00A866AC" w:rsidP="009838BC" w14:paraId="118FA274" w14:textId="0E73087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3265D" w:rsidP="009838BC" w14:textId="77777777">
                          <w:pPr>
                            <w:rPr>
                              <w:rFonts w:ascii="Arial" w:hAnsi="Arial"/>
                              <w:b/>
                            </w:rPr>
                          </w:pPr>
                          <w:r>
                            <w:rPr>
                              <w:rFonts w:ascii="Arial" w:hAnsi="Arial"/>
                              <w:b/>
                            </w:rPr>
                            <w:t>Federal Communications Commission</w:t>
                          </w:r>
                        </w:p>
                        <w:p w:rsidR="0073265D"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65D"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73265D" w:rsidP="009838BC" w14:paraId="00B5CF00" w14:textId="77777777">
                    <w:pPr>
                      <w:rPr>
                        <w:rFonts w:ascii="Arial" w:hAnsi="Arial"/>
                        <w:b/>
                      </w:rPr>
                    </w:pPr>
                    <w:r>
                      <w:rPr>
                        <w:rFonts w:ascii="Arial" w:hAnsi="Arial"/>
                        <w:b/>
                      </w:rPr>
                      <w:t>Federal Communications Commission</w:t>
                    </w:r>
                  </w:p>
                  <w:p w:rsidR="0073265D" w:rsidP="009838BC" w14:paraId="59D2F0D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65D" w:rsidP="009838BC" w14:paraId="0C6D562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3377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73265D" w:rsidRPr="00357D50" w:rsidP="009838BC" w14:paraId="4E57F277" w14:textId="4FE30CE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3265D" w:rsidP="009838BC" w14:textId="77777777">
                          <w:pPr>
                            <w:spacing w:before="40"/>
                            <w:jc w:val="right"/>
                            <w:rPr>
                              <w:rFonts w:ascii="Arial" w:hAnsi="Arial"/>
                              <w:b/>
                              <w:sz w:val="16"/>
                            </w:rPr>
                          </w:pPr>
                          <w:r>
                            <w:rPr>
                              <w:rFonts w:ascii="Arial" w:hAnsi="Arial"/>
                              <w:b/>
                              <w:sz w:val="16"/>
                            </w:rPr>
                            <w:t>News Media Information 202 / 418-0500</w:t>
                          </w:r>
                        </w:p>
                        <w:p w:rsidR="0073265D" w:rsidP="009838BC"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73265D"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73265D" w:rsidP="009838BC" w14:paraId="52C4142D" w14:textId="77777777">
                    <w:pPr>
                      <w:spacing w:before="40"/>
                      <w:jc w:val="right"/>
                      <w:rPr>
                        <w:rFonts w:ascii="Arial" w:hAnsi="Arial"/>
                        <w:b/>
                        <w:sz w:val="16"/>
                      </w:rPr>
                    </w:pPr>
                    <w:r>
                      <w:rPr>
                        <w:rFonts w:ascii="Arial" w:hAnsi="Arial"/>
                        <w:b/>
                        <w:sz w:val="16"/>
                      </w:rPr>
                      <w:t>News Media Information 202 / 418-0500</w:t>
                    </w:r>
                  </w:p>
                  <w:p w:rsidR="0073265D" w:rsidP="009838BC" w14:paraId="4746F07E"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73265D" w:rsidP="009838BC" w14:paraId="0784EC11" w14:textId="77777777">
                    <w:pPr>
                      <w:jc w:val="right"/>
                    </w:pPr>
                    <w:r>
                      <w:rPr>
                        <w:rFonts w:ascii="Arial" w:hAnsi="Arial"/>
                        <w:b/>
                        <w:sz w:val="16"/>
                      </w:rPr>
                      <w:t>TTY: 1-888-835-5322</w:t>
                    </w:r>
                  </w:p>
                </w:txbxContent>
              </v:textbox>
            </v:shape>
          </w:pict>
        </mc:Fallback>
      </mc:AlternateContent>
    </w:r>
  </w:p>
  <w:p w:rsidR="0073265D" w:rsidRPr="009838BC" w:rsidP="009838BC" w14:paraId="1EFD8D2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64C2F"/>
    <w:multiLevelType w:val="hybridMultilevel"/>
    <w:tmpl w:val="655ABF4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9"/>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7"/>
    <w:rsid w:val="000072CE"/>
    <w:rsid w:val="00013A8B"/>
    <w:rsid w:val="00021445"/>
    <w:rsid w:val="000273DA"/>
    <w:rsid w:val="00036039"/>
    <w:rsid w:val="00037F90"/>
    <w:rsid w:val="000875BF"/>
    <w:rsid w:val="00096D8C"/>
    <w:rsid w:val="000A571B"/>
    <w:rsid w:val="000B0C02"/>
    <w:rsid w:val="000C0B65"/>
    <w:rsid w:val="000E3D42"/>
    <w:rsid w:val="000E5884"/>
    <w:rsid w:val="0012101C"/>
    <w:rsid w:val="00121CDD"/>
    <w:rsid w:val="00122BD5"/>
    <w:rsid w:val="00191F27"/>
    <w:rsid w:val="00195FCA"/>
    <w:rsid w:val="001979D9"/>
    <w:rsid w:val="001B2B61"/>
    <w:rsid w:val="001D2931"/>
    <w:rsid w:val="001D6BCF"/>
    <w:rsid w:val="001E01CA"/>
    <w:rsid w:val="00202C10"/>
    <w:rsid w:val="002060D9"/>
    <w:rsid w:val="00226822"/>
    <w:rsid w:val="00235FC2"/>
    <w:rsid w:val="00242089"/>
    <w:rsid w:val="0025667B"/>
    <w:rsid w:val="00260594"/>
    <w:rsid w:val="00285017"/>
    <w:rsid w:val="002A2D2E"/>
    <w:rsid w:val="002F7662"/>
    <w:rsid w:val="00343749"/>
    <w:rsid w:val="00344286"/>
    <w:rsid w:val="00357D50"/>
    <w:rsid w:val="0038034F"/>
    <w:rsid w:val="003925DC"/>
    <w:rsid w:val="003B0550"/>
    <w:rsid w:val="003B694F"/>
    <w:rsid w:val="003E3BDF"/>
    <w:rsid w:val="003E6A22"/>
    <w:rsid w:val="003F171C"/>
    <w:rsid w:val="0040026C"/>
    <w:rsid w:val="00412FC5"/>
    <w:rsid w:val="00422276"/>
    <w:rsid w:val="004242F1"/>
    <w:rsid w:val="004371C7"/>
    <w:rsid w:val="00445A00"/>
    <w:rsid w:val="00451B0F"/>
    <w:rsid w:val="0046125F"/>
    <w:rsid w:val="00480EEE"/>
    <w:rsid w:val="00485A5F"/>
    <w:rsid w:val="00487524"/>
    <w:rsid w:val="00496106"/>
    <w:rsid w:val="004C12D0"/>
    <w:rsid w:val="004C2EE3"/>
    <w:rsid w:val="004E4A22"/>
    <w:rsid w:val="00500CA8"/>
    <w:rsid w:val="00510FC7"/>
    <w:rsid w:val="00511968"/>
    <w:rsid w:val="0055614C"/>
    <w:rsid w:val="00572D51"/>
    <w:rsid w:val="005A5228"/>
    <w:rsid w:val="005B2A41"/>
    <w:rsid w:val="005C09D5"/>
    <w:rsid w:val="005C2366"/>
    <w:rsid w:val="005C3DFE"/>
    <w:rsid w:val="005D1ADE"/>
    <w:rsid w:val="005E3BBE"/>
    <w:rsid w:val="005F6A66"/>
    <w:rsid w:val="00607BA5"/>
    <w:rsid w:val="00614B64"/>
    <w:rsid w:val="00626EB6"/>
    <w:rsid w:val="006331B3"/>
    <w:rsid w:val="006353A3"/>
    <w:rsid w:val="0064077F"/>
    <w:rsid w:val="00655D03"/>
    <w:rsid w:val="00683F84"/>
    <w:rsid w:val="006A6A81"/>
    <w:rsid w:val="006D686C"/>
    <w:rsid w:val="006E1F60"/>
    <w:rsid w:val="006E26AF"/>
    <w:rsid w:val="006F7393"/>
    <w:rsid w:val="0070224F"/>
    <w:rsid w:val="007115F7"/>
    <w:rsid w:val="00712393"/>
    <w:rsid w:val="0072215B"/>
    <w:rsid w:val="0073265A"/>
    <w:rsid w:val="0073265D"/>
    <w:rsid w:val="00735DB4"/>
    <w:rsid w:val="00770C8A"/>
    <w:rsid w:val="00785689"/>
    <w:rsid w:val="0079754B"/>
    <w:rsid w:val="007A1E6D"/>
    <w:rsid w:val="007B2C4D"/>
    <w:rsid w:val="007C0B80"/>
    <w:rsid w:val="007C3DA5"/>
    <w:rsid w:val="007E252A"/>
    <w:rsid w:val="007E7363"/>
    <w:rsid w:val="00802680"/>
    <w:rsid w:val="00807CFA"/>
    <w:rsid w:val="00822CE0"/>
    <w:rsid w:val="00837C62"/>
    <w:rsid w:val="00841AB1"/>
    <w:rsid w:val="008609E1"/>
    <w:rsid w:val="0086791B"/>
    <w:rsid w:val="008A608A"/>
    <w:rsid w:val="008B21A1"/>
    <w:rsid w:val="008C22FD"/>
    <w:rsid w:val="00910F12"/>
    <w:rsid w:val="00926503"/>
    <w:rsid w:val="00930ECF"/>
    <w:rsid w:val="00965C38"/>
    <w:rsid w:val="009838BC"/>
    <w:rsid w:val="00985BFB"/>
    <w:rsid w:val="00993C29"/>
    <w:rsid w:val="009B0EBD"/>
    <w:rsid w:val="009C3B81"/>
    <w:rsid w:val="00A02A6A"/>
    <w:rsid w:val="00A43E6C"/>
    <w:rsid w:val="00A44753"/>
    <w:rsid w:val="00A45F4F"/>
    <w:rsid w:val="00A600A9"/>
    <w:rsid w:val="00A6143B"/>
    <w:rsid w:val="00A866AC"/>
    <w:rsid w:val="00AA55B7"/>
    <w:rsid w:val="00AA5B9E"/>
    <w:rsid w:val="00AB2407"/>
    <w:rsid w:val="00AB53DF"/>
    <w:rsid w:val="00AC3208"/>
    <w:rsid w:val="00AD3A40"/>
    <w:rsid w:val="00AF4186"/>
    <w:rsid w:val="00B07E5C"/>
    <w:rsid w:val="00B23F7F"/>
    <w:rsid w:val="00B32324"/>
    <w:rsid w:val="00B32485"/>
    <w:rsid w:val="00B326E3"/>
    <w:rsid w:val="00B74620"/>
    <w:rsid w:val="00B811F7"/>
    <w:rsid w:val="00BA5DC6"/>
    <w:rsid w:val="00BA6196"/>
    <w:rsid w:val="00BC6D8C"/>
    <w:rsid w:val="00BE2948"/>
    <w:rsid w:val="00C16AF2"/>
    <w:rsid w:val="00C34006"/>
    <w:rsid w:val="00C426B1"/>
    <w:rsid w:val="00C82B6B"/>
    <w:rsid w:val="00C90D6A"/>
    <w:rsid w:val="00CB63A9"/>
    <w:rsid w:val="00CC2B92"/>
    <w:rsid w:val="00CC72B6"/>
    <w:rsid w:val="00D0218D"/>
    <w:rsid w:val="00D12738"/>
    <w:rsid w:val="00D12AB2"/>
    <w:rsid w:val="00D216CD"/>
    <w:rsid w:val="00D50196"/>
    <w:rsid w:val="00D539F4"/>
    <w:rsid w:val="00D77BE4"/>
    <w:rsid w:val="00D93789"/>
    <w:rsid w:val="00DA004A"/>
    <w:rsid w:val="00DA2529"/>
    <w:rsid w:val="00DB130A"/>
    <w:rsid w:val="00DB7BF8"/>
    <w:rsid w:val="00DC10A1"/>
    <w:rsid w:val="00DC20D0"/>
    <w:rsid w:val="00DC655F"/>
    <w:rsid w:val="00DD7EBD"/>
    <w:rsid w:val="00DF62B6"/>
    <w:rsid w:val="00E06639"/>
    <w:rsid w:val="00E07225"/>
    <w:rsid w:val="00E155B7"/>
    <w:rsid w:val="00E16A5A"/>
    <w:rsid w:val="00E31C9E"/>
    <w:rsid w:val="00E45083"/>
    <w:rsid w:val="00E5409F"/>
    <w:rsid w:val="00E77DEF"/>
    <w:rsid w:val="00EC0185"/>
    <w:rsid w:val="00EC2028"/>
    <w:rsid w:val="00EE714B"/>
    <w:rsid w:val="00EF0C24"/>
    <w:rsid w:val="00F021FA"/>
    <w:rsid w:val="00F4746A"/>
    <w:rsid w:val="00F57ACA"/>
    <w:rsid w:val="00F62E97"/>
    <w:rsid w:val="00F64209"/>
    <w:rsid w:val="00F91C43"/>
    <w:rsid w:val="00F93BF5"/>
    <w:rsid w:val="00F964D7"/>
    <w:rsid w:val="00F96F63"/>
    <w:rsid w:val="00FA5108"/>
    <w:rsid w:val="00FE45FD"/>
    <w:rsid w:val="00FE4C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C163EE4-7B1F-42EB-89DE-914289A5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D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F964D7"/>
  </w:style>
  <w:style w:type="paragraph" w:styleId="ListParagraph">
    <w:name w:val="List Paragraph"/>
    <w:basedOn w:val="Normal"/>
    <w:uiPriority w:val="34"/>
    <w:qFormat/>
    <w:rsid w:val="00F964D7"/>
    <w:pPr>
      <w:ind w:left="720"/>
    </w:pPr>
  </w:style>
  <w:style w:type="character" w:styleId="CommentReference">
    <w:name w:val="annotation reference"/>
    <w:rsid w:val="00F964D7"/>
    <w:rPr>
      <w:sz w:val="16"/>
      <w:szCs w:val="16"/>
    </w:rPr>
  </w:style>
  <w:style w:type="paragraph" w:styleId="CommentText">
    <w:name w:val="annotation text"/>
    <w:basedOn w:val="Normal"/>
    <w:link w:val="CommentTextChar"/>
    <w:rsid w:val="00F964D7"/>
    <w:rPr>
      <w:sz w:val="20"/>
    </w:rPr>
  </w:style>
  <w:style w:type="character" w:customStyle="1" w:styleId="CommentTextChar">
    <w:name w:val="Comment Text Char"/>
    <w:basedOn w:val="DefaultParagraphFont"/>
    <w:link w:val="CommentText"/>
    <w:rsid w:val="00F964D7"/>
  </w:style>
  <w:style w:type="paragraph" w:styleId="NoSpacing">
    <w:name w:val="No Spacing"/>
    <w:uiPriority w:val="1"/>
    <w:qFormat/>
    <w:rsid w:val="00F964D7"/>
    <w:rPr>
      <w:sz w:val="22"/>
    </w:rPr>
  </w:style>
  <w:style w:type="paragraph" w:styleId="BalloonText">
    <w:name w:val="Balloon Text"/>
    <w:basedOn w:val="Normal"/>
    <w:link w:val="BalloonTextChar"/>
    <w:uiPriority w:val="99"/>
    <w:semiHidden/>
    <w:unhideWhenUsed/>
    <w:rsid w:val="005B2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41"/>
    <w:rPr>
      <w:rFonts w:ascii="Segoe UI" w:hAnsi="Segoe UI" w:cs="Segoe UI"/>
      <w:sz w:val="18"/>
      <w:szCs w:val="18"/>
    </w:rPr>
  </w:style>
  <w:style w:type="character" w:customStyle="1" w:styleId="UnresolvedMention">
    <w:name w:val="Unresolved Mention"/>
    <w:basedOn w:val="DefaultParagraphFont"/>
    <w:uiPriority w:val="99"/>
    <w:semiHidden/>
    <w:unhideWhenUsed/>
    <w:rsid w:val="00770C8A"/>
    <w:rPr>
      <w:color w:val="605E5C"/>
      <w:shd w:val="clear" w:color="auto" w:fill="E1DFDD"/>
    </w:rPr>
  </w:style>
  <w:style w:type="character" w:customStyle="1" w:styleId="costarpage">
    <w:name w:val="co_starpage"/>
    <w:basedOn w:val="DefaultParagraphFont"/>
    <w:rsid w:val="0048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myrva.charles@fcc.gov" TargetMode="External" /><Relationship Id="rId7" Type="http://schemas.openxmlformats.org/officeDocument/2006/relationships/hyperlink" Target="mailto:dennis.johnson@fcc.gov" TargetMode="External" /><Relationship Id="rId8" Type="http://schemas.openxmlformats.org/officeDocument/2006/relationships/hyperlink" Target="mailto:jordan.reth@fcc.gov" TargetMode="External" /><Relationship Id="rId9" Type="http://schemas.openxmlformats.org/officeDocument/2006/relationships/hyperlink" Target="mailto:david.krech@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