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C39F8">
      <w:pPr>
        <w:spacing w:before="120" w:after="240"/>
        <w:rPr>
          <w:b/>
          <w:sz w:val="24"/>
        </w:rPr>
      </w:pPr>
      <w:bookmarkStart w:id="0" w:name="_GoBack"/>
      <w:bookmarkEnd w:id="0"/>
    </w:p>
    <w:p w:rsidR="00BC39F8">
      <w:pPr>
        <w:widowControl/>
        <w:suppressAutoHyphens/>
        <w:jc w:val="right"/>
        <w:rPr>
          <w:b/>
          <w:color w:val="000000"/>
        </w:rPr>
      </w:pPr>
      <w:r>
        <w:rPr>
          <w:b/>
          <w:snapToGrid/>
          <w:color w:val="000000"/>
          <w:kern w:val="0"/>
          <w:sz w:val="24"/>
          <w:szCs w:val="24"/>
        </w:rPr>
        <w:t xml:space="preserve">               </w:t>
      </w:r>
      <w:r>
        <w:rPr>
          <w:b/>
          <w:color w:val="000000"/>
        </w:rPr>
        <w:t xml:space="preserve">DA </w:t>
      </w:r>
      <w:r w:rsidR="00082B52">
        <w:rPr>
          <w:b/>
          <w:color w:val="000000"/>
        </w:rPr>
        <w:t>20-</w:t>
      </w:r>
      <w:r w:rsidR="00832D93">
        <w:rPr>
          <w:b/>
          <w:color w:val="000000"/>
        </w:rPr>
        <w:t>96</w:t>
      </w:r>
    </w:p>
    <w:p w:rsidR="00BC39F8">
      <w:pPr>
        <w:widowControl/>
        <w:suppressAutoHyphens/>
        <w:spacing w:after="240"/>
        <w:jc w:val="right"/>
        <w:rPr>
          <w:b/>
          <w:color w:val="000000"/>
        </w:rPr>
      </w:pPr>
      <w:r>
        <w:rPr>
          <w:b/>
          <w:color w:val="000000"/>
        </w:rPr>
        <w:t xml:space="preserve">Released:  </w:t>
      </w:r>
      <w:r w:rsidR="00082B52">
        <w:rPr>
          <w:b/>
          <w:color w:val="000000"/>
        </w:rPr>
        <w:t xml:space="preserve">January </w:t>
      </w:r>
      <w:r w:rsidRPr="00572CEF" w:rsidR="00082B52">
        <w:rPr>
          <w:b/>
          <w:color w:val="000000"/>
        </w:rPr>
        <w:t>2</w:t>
      </w:r>
      <w:r w:rsidR="00834E30">
        <w:rPr>
          <w:b/>
          <w:color w:val="000000"/>
        </w:rPr>
        <w:t>2</w:t>
      </w:r>
      <w:r>
        <w:rPr>
          <w:b/>
          <w:color w:val="000000"/>
        </w:rPr>
        <w:t>, 20</w:t>
      </w:r>
      <w:r w:rsidR="00082B52">
        <w:rPr>
          <w:b/>
          <w:color w:val="000000"/>
        </w:rPr>
        <w:t>20</w:t>
      </w:r>
    </w:p>
    <w:p w:rsidR="00E63953" w:rsidRPr="00E63953" w:rsidP="00386C36">
      <w:pPr>
        <w:jc w:val="center"/>
        <w:rPr>
          <w:b/>
          <w:bCs/>
          <w:snapToGrid/>
          <w:kern w:val="0"/>
          <w:szCs w:val="22"/>
        </w:rPr>
      </w:pPr>
      <w:r>
        <w:rPr>
          <w:b/>
          <w:szCs w:val="22"/>
        </w:rPr>
        <w:t xml:space="preserve">DOMESTIC SECTION 214 APPLICATION GRANTED </w:t>
      </w:r>
      <w:r>
        <w:rPr>
          <w:b/>
          <w:bCs/>
          <w:snapToGrid/>
          <w:kern w:val="0"/>
          <w:szCs w:val="22"/>
        </w:rPr>
        <w:t xml:space="preserve">FOR THE TRANSFER OF CONTROL </w:t>
      </w:r>
    </w:p>
    <w:p w:rsidR="00082B52" w:rsidP="00E63953">
      <w:pPr>
        <w:widowControl/>
        <w:jc w:val="center"/>
        <w:rPr>
          <w:b/>
          <w:bCs/>
          <w:color w:val="000000"/>
          <w:szCs w:val="22"/>
        </w:rPr>
      </w:pPr>
      <w:r w:rsidRPr="00DA0970">
        <w:rPr>
          <w:b/>
          <w:bCs/>
          <w:color w:val="000000"/>
          <w:szCs w:val="22"/>
        </w:rPr>
        <w:t xml:space="preserve">OF </w:t>
      </w:r>
      <w:r w:rsidRPr="009A5035" w:rsidR="009A5035">
        <w:rPr>
          <w:b/>
          <w:bCs/>
          <w:color w:val="000000"/>
          <w:szCs w:val="22"/>
        </w:rPr>
        <w:t xml:space="preserve">U.S. TELEPACIFIC HOLDINGS CORP. AND ITS SUBSIDIARIES TO </w:t>
      </w:r>
    </w:p>
    <w:p w:rsidR="00BC39F8" w:rsidP="00E63953">
      <w:pPr>
        <w:widowControl/>
        <w:jc w:val="center"/>
        <w:rPr>
          <w:b/>
          <w:bCs/>
          <w:color w:val="000000"/>
          <w:szCs w:val="22"/>
        </w:rPr>
      </w:pPr>
      <w:r w:rsidRPr="009A5035">
        <w:rPr>
          <w:b/>
          <w:bCs/>
          <w:color w:val="000000"/>
          <w:szCs w:val="22"/>
        </w:rPr>
        <w:t>TANGO PRIVATE HOLDINGS II, LLC</w:t>
      </w:r>
    </w:p>
    <w:p w:rsidR="00DA0970" w:rsidP="00E63953">
      <w:pPr>
        <w:widowControl/>
        <w:jc w:val="center"/>
        <w:rPr>
          <w:b/>
          <w:color w:val="000000"/>
          <w:szCs w:val="22"/>
        </w:rPr>
      </w:pPr>
    </w:p>
    <w:p w:rsidR="00BC39F8" w:rsidP="009A5035">
      <w:pPr>
        <w:widowControl/>
        <w:suppressAutoHyphens/>
        <w:jc w:val="center"/>
        <w:rPr>
          <w:b/>
          <w:color w:val="000000"/>
          <w:szCs w:val="22"/>
        </w:rPr>
      </w:pPr>
      <w:r>
        <w:rPr>
          <w:b/>
          <w:color w:val="000000"/>
          <w:szCs w:val="22"/>
        </w:rPr>
        <w:t>WC Docket No. 1</w:t>
      </w:r>
      <w:r w:rsidR="009A5035">
        <w:rPr>
          <w:b/>
          <w:color w:val="000000"/>
          <w:szCs w:val="22"/>
        </w:rPr>
        <w:t>9-248</w:t>
      </w:r>
    </w:p>
    <w:p w:rsidR="00BC39F8" w:rsidRPr="009A5035" w:rsidP="009A5035">
      <w:pPr>
        <w:widowControl/>
        <w:autoSpaceDE w:val="0"/>
        <w:autoSpaceDN w:val="0"/>
        <w:adjustRightInd w:val="0"/>
        <w:spacing w:before="120"/>
        <w:ind w:firstLine="720"/>
        <w:rPr>
          <w:snapToGrid/>
          <w:color w:val="231F20"/>
          <w:kern w:val="0"/>
          <w:szCs w:val="22"/>
        </w:rPr>
      </w:pPr>
      <w:r>
        <w:rPr>
          <w:snapToGrid/>
          <w:color w:val="231F20"/>
          <w:kern w:val="0"/>
          <w:szCs w:val="22"/>
        </w:rPr>
        <w:t xml:space="preserve">By this Public Notice, the Wireline Competition Bureau </w:t>
      </w:r>
      <w:r w:rsidR="00937A26">
        <w:rPr>
          <w:snapToGrid/>
          <w:color w:val="231F20"/>
          <w:kern w:val="0"/>
          <w:szCs w:val="22"/>
        </w:rPr>
        <w:t xml:space="preserve">(Bureau) </w:t>
      </w:r>
      <w:r>
        <w:rPr>
          <w:snapToGrid/>
          <w:color w:val="231F20"/>
          <w:kern w:val="0"/>
          <w:szCs w:val="22"/>
        </w:rPr>
        <w:t xml:space="preserve">grants </w:t>
      </w:r>
      <w:r w:rsidR="00E50A62">
        <w:rPr>
          <w:snapToGrid/>
          <w:color w:val="231F20"/>
          <w:kern w:val="0"/>
          <w:szCs w:val="22"/>
        </w:rPr>
        <w:t>an</w:t>
      </w:r>
      <w:r w:rsidR="00E63953">
        <w:rPr>
          <w:snapToGrid/>
          <w:color w:val="231F20"/>
          <w:kern w:val="0"/>
          <w:szCs w:val="22"/>
        </w:rPr>
        <w:t xml:space="preserve"> </w:t>
      </w:r>
      <w:r>
        <w:rPr>
          <w:snapToGrid/>
          <w:color w:val="231F20"/>
          <w:kern w:val="0"/>
          <w:szCs w:val="22"/>
        </w:rPr>
        <w:t xml:space="preserve">application </w:t>
      </w:r>
      <w:r w:rsidRPr="008C49B6" w:rsidR="00DA43BE">
        <w:rPr>
          <w:szCs w:val="22"/>
        </w:rPr>
        <w:t xml:space="preserve">filed by </w:t>
      </w:r>
      <w:r w:rsidRPr="009A5035" w:rsidR="009A5035">
        <w:rPr>
          <w:szCs w:val="22"/>
        </w:rPr>
        <w:t>U.S. TelePacific Holdings Corp. (TPx Holdings), Arrival Communications, Inc. (Arrival), DSCI, LLC (DSCI), Mpower Communications Corp. (Mpower), TPx Communications Co. (TCC), U.S. TelePacific Corp. (TelePacific, together with Arrival, DSCI, Mpower, and TCC, the Licensees), and Tango Private Holdings II, LLC (Tango)</w:t>
      </w:r>
      <w:r w:rsidR="00B7191A">
        <w:rPr>
          <w:szCs w:val="22"/>
        </w:rPr>
        <w:t xml:space="preserve"> (collectively, Applicants)</w:t>
      </w:r>
      <w:r w:rsidR="009A5035">
        <w:rPr>
          <w:szCs w:val="22"/>
        </w:rPr>
        <w:t xml:space="preserve">, </w:t>
      </w:r>
      <w:r w:rsidRPr="008C49B6" w:rsidR="00DA43BE">
        <w:rPr>
          <w:szCs w:val="22"/>
        </w:rPr>
        <w:t>pursuant to section 214 of the Communications Act of 1934, as amended, and sections 63.0</w:t>
      </w:r>
      <w:r w:rsidR="00DA43BE">
        <w:rPr>
          <w:szCs w:val="22"/>
        </w:rPr>
        <w:t xml:space="preserve">3-04 of the Commission’s rules, </w:t>
      </w:r>
      <w:r w:rsidRPr="008C49B6" w:rsidR="00DA43BE">
        <w:rPr>
          <w:rFonts w:ascii="TimesNewRomanPSMT" w:hAnsi="TimesNewRomanPSMT" w:cs="TimesNewRomanPSMT"/>
          <w:szCs w:val="22"/>
        </w:rPr>
        <w:t>requesting</w:t>
      </w:r>
      <w:r w:rsidR="00DA43BE">
        <w:rPr>
          <w:rFonts w:ascii="TimesNewRomanPSMT" w:hAnsi="TimesNewRomanPSMT" w:cs="TimesNewRomanPSMT"/>
          <w:szCs w:val="22"/>
        </w:rPr>
        <w:t xml:space="preserve"> consent to transfer control of</w:t>
      </w:r>
      <w:r w:rsidR="009A5035">
        <w:rPr>
          <w:rFonts w:ascii="TimesNewRomanPSMT" w:hAnsi="TimesNewRomanPSMT" w:cs="TimesNewRomanPSMT"/>
          <w:szCs w:val="22"/>
        </w:rPr>
        <w:t xml:space="preserve"> T</w:t>
      </w:r>
      <w:r w:rsidRPr="009A5035" w:rsidR="009A5035">
        <w:rPr>
          <w:rFonts w:ascii="TimesNewRomanPSMT" w:hAnsi="TimesNewRomanPSMT" w:cs="TimesNewRomanPSMT"/>
          <w:szCs w:val="22"/>
        </w:rPr>
        <w:t>Px Holdings and the Licensees to Tango</w:t>
      </w:r>
      <w:r w:rsidR="009A5035">
        <w:rPr>
          <w:rFonts w:ascii="TimesNewRomanPSMT" w:hAnsi="TimesNewRomanPSMT" w:cs="TimesNewRomanPSMT"/>
          <w:szCs w:val="22"/>
        </w:rPr>
        <w:t>.</w:t>
      </w:r>
      <w:r>
        <w:rPr>
          <w:rStyle w:val="FootnoteReference"/>
          <w:snapToGrid/>
          <w:kern w:val="0"/>
          <w:szCs w:val="22"/>
        </w:rPr>
        <w:footnoteReference w:id="3"/>
      </w:r>
    </w:p>
    <w:p w:rsidR="00BC39F8" w:rsidRPr="00C96861" w:rsidP="00C96861">
      <w:pPr>
        <w:spacing w:before="120"/>
        <w:ind w:firstLine="720"/>
        <w:rPr>
          <w:color w:val="212121"/>
          <w:szCs w:val="22"/>
        </w:rPr>
      </w:pPr>
      <w:r>
        <w:rPr>
          <w:szCs w:val="22"/>
        </w:rPr>
        <w:t xml:space="preserve">On </w:t>
      </w:r>
      <w:r w:rsidR="009A5035">
        <w:rPr>
          <w:szCs w:val="22"/>
        </w:rPr>
        <w:t>September 30</w:t>
      </w:r>
      <w:r w:rsidR="00DA43BE">
        <w:rPr>
          <w:szCs w:val="22"/>
        </w:rPr>
        <w:t>, 2019</w:t>
      </w:r>
      <w:r>
        <w:rPr>
          <w:szCs w:val="22"/>
        </w:rPr>
        <w:t xml:space="preserve">, the Bureau released a Public Notice requesting comment on the </w:t>
      </w:r>
      <w:r w:rsidR="00AA0FC8">
        <w:rPr>
          <w:szCs w:val="22"/>
        </w:rPr>
        <w:t>Application</w:t>
      </w:r>
      <w:r>
        <w:rPr>
          <w:szCs w:val="22"/>
        </w:rPr>
        <w:t>.</w:t>
      </w:r>
      <w:r>
        <w:rPr>
          <w:szCs w:val="22"/>
          <w:vertAlign w:val="superscript"/>
        </w:rPr>
        <w:footnoteReference w:id="4"/>
      </w:r>
      <w:r>
        <w:rPr>
          <w:szCs w:val="22"/>
        </w:rPr>
        <w:t xml:space="preserve">  </w:t>
      </w:r>
      <w:r w:rsidRPr="0027592B" w:rsidR="0027592B">
        <w:rPr>
          <w:snapToGrid/>
          <w:kern w:val="0"/>
        </w:rPr>
        <w:t xml:space="preserve">On </w:t>
      </w:r>
      <w:r w:rsidR="00883FD9">
        <w:rPr>
          <w:snapToGrid/>
          <w:kern w:val="0"/>
        </w:rPr>
        <w:t>October 4</w:t>
      </w:r>
      <w:r w:rsidRPr="0027592B" w:rsidR="0027592B">
        <w:rPr>
          <w:snapToGrid/>
          <w:kern w:val="0"/>
        </w:rPr>
        <w:t xml:space="preserve">, 2019, the U.S. Department of Justice, with concurrence of the </w:t>
      </w:r>
      <w:r w:rsidR="0027592B">
        <w:rPr>
          <w:snapToGrid/>
          <w:kern w:val="0"/>
        </w:rPr>
        <w:t xml:space="preserve">U.S. </w:t>
      </w:r>
      <w:r w:rsidRPr="0027592B" w:rsidR="0027592B">
        <w:rPr>
          <w:snapToGrid/>
          <w:kern w:val="0"/>
        </w:rPr>
        <w:t xml:space="preserve">Department of Homeland Security and the </w:t>
      </w:r>
      <w:r w:rsidR="0027592B">
        <w:rPr>
          <w:snapToGrid/>
          <w:kern w:val="0"/>
        </w:rPr>
        <w:t xml:space="preserve">U.S. </w:t>
      </w:r>
      <w:r w:rsidRPr="0027592B" w:rsidR="0027592B">
        <w:rPr>
          <w:snapToGrid/>
          <w:kern w:val="0"/>
        </w:rPr>
        <w:t>Department of Defense (collectively, Agencies), filed a letter requesting that the Commission defer action on WC Docket No. 1</w:t>
      </w:r>
      <w:r w:rsidR="00883FD9">
        <w:rPr>
          <w:snapToGrid/>
          <w:kern w:val="0"/>
        </w:rPr>
        <w:t>9-248</w:t>
      </w:r>
      <w:r w:rsidRPr="0027592B" w:rsidR="0027592B">
        <w:rPr>
          <w:snapToGrid/>
          <w:kern w:val="0"/>
        </w:rPr>
        <w:t xml:space="preserve"> while they complete</w:t>
      </w:r>
      <w:r w:rsidR="0027592B">
        <w:rPr>
          <w:snapToGrid/>
          <w:kern w:val="0"/>
        </w:rPr>
        <w:t>d</w:t>
      </w:r>
      <w:r w:rsidRPr="0027592B" w:rsidR="0027592B">
        <w:rPr>
          <w:snapToGrid/>
          <w:kern w:val="0"/>
        </w:rPr>
        <w:t xml:space="preserve"> their review of any national security, law enforcement, and public safety </w:t>
      </w:r>
      <w:r w:rsidR="00B7191A">
        <w:rPr>
          <w:snapToGrid/>
          <w:kern w:val="0"/>
        </w:rPr>
        <w:t>issues</w:t>
      </w:r>
      <w:r w:rsidRPr="0027592B" w:rsidR="0027592B">
        <w:rPr>
          <w:snapToGrid/>
          <w:kern w:val="0"/>
        </w:rPr>
        <w:t>.</w:t>
      </w:r>
      <w:r>
        <w:rPr>
          <w:snapToGrid/>
          <w:kern w:val="0"/>
          <w:vertAlign w:val="superscript"/>
        </w:rPr>
        <w:footnoteReference w:id="5"/>
      </w:r>
      <w:r w:rsidRPr="0027592B" w:rsidR="0027592B">
        <w:rPr>
          <w:snapToGrid/>
          <w:kern w:val="0"/>
        </w:rPr>
        <w:t xml:space="preserve">  </w:t>
      </w:r>
      <w:r w:rsidR="00015B8A">
        <w:rPr>
          <w:szCs w:val="22"/>
        </w:rPr>
        <w:t xml:space="preserve">We deferred action in response to this request. </w:t>
      </w:r>
      <w:r w:rsidR="00883FD9">
        <w:rPr>
          <w:szCs w:val="22"/>
        </w:rPr>
        <w:t xml:space="preserve"> </w:t>
      </w:r>
      <w:r>
        <w:rPr>
          <w:szCs w:val="22"/>
        </w:rPr>
        <w:t xml:space="preserve">On </w:t>
      </w:r>
      <w:r w:rsidR="00883FD9">
        <w:rPr>
          <w:szCs w:val="22"/>
        </w:rPr>
        <w:t xml:space="preserve">January </w:t>
      </w:r>
      <w:r w:rsidRPr="00572CEF" w:rsidR="00883FD9">
        <w:rPr>
          <w:szCs w:val="22"/>
        </w:rPr>
        <w:t>21</w:t>
      </w:r>
      <w:r w:rsidR="0027592B">
        <w:rPr>
          <w:szCs w:val="22"/>
        </w:rPr>
        <w:t>, 20</w:t>
      </w:r>
      <w:r w:rsidR="00883FD9">
        <w:rPr>
          <w:szCs w:val="22"/>
        </w:rPr>
        <w:t>20</w:t>
      </w:r>
      <w:r>
        <w:rPr>
          <w:szCs w:val="22"/>
        </w:rPr>
        <w:t xml:space="preserve">, </w:t>
      </w:r>
      <w:r>
        <w:rPr>
          <w:snapToGrid/>
          <w:kern w:val="0"/>
          <w:szCs w:val="22"/>
        </w:rPr>
        <w:t>the Agencies notified the Bureau that they withdraw their request to defer action.</w:t>
      </w:r>
      <w:r>
        <w:rPr>
          <w:snapToGrid/>
          <w:kern w:val="0"/>
          <w:szCs w:val="22"/>
          <w:vertAlign w:val="superscript"/>
        </w:rPr>
        <w:footnoteReference w:id="6"/>
      </w:r>
      <w:r>
        <w:rPr>
          <w:snapToGrid/>
          <w:kern w:val="0"/>
          <w:szCs w:val="22"/>
        </w:rPr>
        <w:t xml:space="preserve">  T</w:t>
      </w:r>
      <w:r>
        <w:rPr>
          <w:color w:val="212121"/>
          <w:szCs w:val="22"/>
        </w:rPr>
        <w:t xml:space="preserve">hey state that, </w:t>
      </w:r>
      <w:r w:rsidR="007868E7">
        <w:rPr>
          <w:color w:val="212121"/>
          <w:szCs w:val="22"/>
        </w:rPr>
        <w:t>b</w:t>
      </w:r>
      <w:r>
        <w:rPr>
          <w:color w:val="212121"/>
          <w:szCs w:val="22"/>
        </w:rPr>
        <w:t>ased on the information provided to them</w:t>
      </w:r>
      <w:r w:rsidR="001A367E">
        <w:rPr>
          <w:color w:val="212121"/>
          <w:szCs w:val="22"/>
        </w:rPr>
        <w:t xml:space="preserve"> by </w:t>
      </w:r>
      <w:r w:rsidR="00314CFB">
        <w:rPr>
          <w:color w:val="212121"/>
          <w:szCs w:val="22"/>
        </w:rPr>
        <w:t>A</w:t>
      </w:r>
      <w:r w:rsidR="001A367E">
        <w:rPr>
          <w:color w:val="212121"/>
          <w:szCs w:val="22"/>
        </w:rPr>
        <w:t>pplicants</w:t>
      </w:r>
      <w:r>
        <w:rPr>
          <w:color w:val="212121"/>
          <w:szCs w:val="22"/>
        </w:rPr>
        <w:t xml:space="preserve"> and their analysis of potential national security, law enforcement, and public safety issues, they</w:t>
      </w:r>
      <w:r w:rsidR="00572CEF">
        <w:rPr>
          <w:color w:val="212121"/>
          <w:szCs w:val="22"/>
        </w:rPr>
        <w:t xml:space="preserve"> recommend granting the Application “</w:t>
      </w:r>
      <w:r w:rsidRPr="00572CEF" w:rsidR="00572CEF">
        <w:rPr>
          <w:color w:val="212121"/>
          <w:szCs w:val="22"/>
        </w:rPr>
        <w:t>on the condition of the September 2, 2016 Letter of Assurances</w:t>
      </w:r>
      <w:r w:rsidR="00B7191A">
        <w:rPr>
          <w:color w:val="212121"/>
          <w:szCs w:val="22"/>
        </w:rPr>
        <w:t xml:space="preserve"> (LOA)</w:t>
      </w:r>
      <w:r w:rsidR="00572CEF">
        <w:rPr>
          <w:color w:val="212121"/>
          <w:szCs w:val="22"/>
        </w:rPr>
        <w:t>.”</w:t>
      </w:r>
      <w:r>
        <w:rPr>
          <w:rStyle w:val="FootnoteReference"/>
          <w:szCs w:val="22"/>
        </w:rPr>
        <w:footnoteReference w:id="7"/>
      </w:r>
      <w:r>
        <w:rPr>
          <w:snapToGrid/>
          <w:kern w:val="0"/>
          <w:szCs w:val="22"/>
        </w:rPr>
        <w:t xml:space="preserve"> </w:t>
      </w:r>
    </w:p>
    <w:p w:rsidR="00B7191A" w:rsidP="009A5035">
      <w:pPr>
        <w:widowControl/>
        <w:spacing w:before="120"/>
        <w:ind w:firstLine="720"/>
        <w:rPr>
          <w:color w:val="000000"/>
          <w:szCs w:val="22"/>
        </w:rPr>
      </w:pPr>
      <w:bookmarkStart w:id="1" w:name="sp_999_1"/>
      <w:bookmarkStart w:id="2" w:name="SDU_1"/>
      <w:bookmarkStart w:id="3" w:name="SearchTerm"/>
      <w:bookmarkEnd w:id="1"/>
      <w:bookmarkEnd w:id="2"/>
      <w:r w:rsidRPr="00CE4613">
        <w:t xml:space="preserve">TelePacific and </w:t>
      </w:r>
      <w:r>
        <w:t xml:space="preserve">TPx </w:t>
      </w:r>
      <w:r w:rsidRPr="00CE4613">
        <w:t>Holdings made commitments regarding potential national security, law enforcement</w:t>
      </w:r>
      <w:r w:rsidR="00314CFB">
        <w:t>,</w:t>
      </w:r>
      <w:r w:rsidRPr="00CE4613">
        <w:t xml:space="preserve"> and public safety issues in a September 2, 2016 LOA</w:t>
      </w:r>
      <w:r>
        <w:t xml:space="preserve"> </w:t>
      </w:r>
      <w:r w:rsidRPr="00CE4613">
        <w:t xml:space="preserve">from Richard A. Jalkut, President &amp; Chief Executive Officer, </w:t>
      </w:r>
      <w:r>
        <w:t>TelePacific and TPx Holdings</w:t>
      </w:r>
      <w:r w:rsidRPr="00CE4613">
        <w:t xml:space="preserve">, to the Assistant Attorney General for National </w:t>
      </w:r>
      <w:r w:rsidRPr="00CE4613">
        <w:t xml:space="preserve">Security, National Security Division, </w:t>
      </w:r>
      <w:r>
        <w:t xml:space="preserve">U.S. </w:t>
      </w:r>
      <w:r w:rsidRPr="00CE4613">
        <w:t xml:space="preserve">Department of Justice, and the Assistant Secretary of Policy, </w:t>
      </w:r>
      <w:r>
        <w:t xml:space="preserve">U.S. </w:t>
      </w:r>
      <w:r w:rsidRPr="00CE4613">
        <w:t xml:space="preserve">Department of Homeland Security.  </w:t>
      </w:r>
      <w:r>
        <w:t>Applicants</w:t>
      </w:r>
      <w:r w:rsidRPr="00CE4613">
        <w:t xml:space="preserve"> agree to retain and comply with those commitments.  Accordingly, we condition grant of th</w:t>
      </w:r>
      <w:r>
        <w:t>e Application</w:t>
      </w:r>
      <w:r w:rsidRPr="00CE4613">
        <w:t xml:space="preserve"> on compliance by TelePacific, </w:t>
      </w:r>
      <w:r>
        <w:t xml:space="preserve">TPx </w:t>
      </w:r>
      <w:r w:rsidRPr="00CE4613">
        <w:t>Holdings</w:t>
      </w:r>
      <w:r>
        <w:t>,</w:t>
      </w:r>
      <w:r w:rsidRPr="00CE4613">
        <w:t xml:space="preserve"> and Tango with the commitments and undertakings set forth in the September 2, 2016 LOA.  </w:t>
      </w:r>
      <w:r w:rsidRPr="00D53A67">
        <w:t xml:space="preserve">A failure to comply and/or remain in compliance with any of these commitments and undertakings shall constitute a failure to meet a condition of the underlying authorization and thus grounds for declaring the authorization terminated without further action on the part of the Commission.  Failure to meet a condition of the authorization may also result in monetary sanctions or other enforcement action by the Commission.  The DOJ Letter and LOA may be viewed on the </w:t>
      </w:r>
      <w:r w:rsidRPr="00D53A67" w:rsidR="00D53A67">
        <w:t xml:space="preserve">Commission’s website through the Electronic Comment Filing System at </w:t>
      </w:r>
      <w:hyperlink r:id="rId5" w:history="1">
        <w:r w:rsidRPr="00D53A67" w:rsidR="00D53A67">
          <w:rPr>
            <w:color w:val="0000FF"/>
            <w:u w:val="single"/>
          </w:rPr>
          <w:t>https://www.fcc.gov/ecfs/search/filings?proceedings_name=19-248&amp;sort=date_disseminated,DESC</w:t>
        </w:r>
      </w:hyperlink>
      <w:r w:rsidRPr="00D53A67">
        <w:t>.</w:t>
      </w:r>
    </w:p>
    <w:p w:rsidR="00BC39F8" w:rsidP="009A5035">
      <w:pPr>
        <w:widowControl/>
        <w:spacing w:before="120"/>
        <w:ind w:firstLine="720"/>
        <w:rPr>
          <w:color w:val="000000"/>
          <w:szCs w:val="22"/>
        </w:rPr>
      </w:pPr>
      <w:r>
        <w:rPr>
          <w:color w:val="000000"/>
          <w:szCs w:val="22"/>
        </w:rPr>
        <w:t xml:space="preserve">No </w:t>
      </w:r>
      <w:r w:rsidR="00015B8A">
        <w:rPr>
          <w:color w:val="000000"/>
          <w:szCs w:val="22"/>
        </w:rPr>
        <w:t xml:space="preserve">party filed comments in </w:t>
      </w:r>
      <w:r>
        <w:rPr>
          <w:color w:val="000000"/>
          <w:szCs w:val="22"/>
        </w:rPr>
        <w:t xml:space="preserve">opposition to a grant of the </w:t>
      </w:r>
      <w:r w:rsidR="007868E7">
        <w:rPr>
          <w:color w:val="000000"/>
          <w:szCs w:val="22"/>
        </w:rPr>
        <w:t>Application</w:t>
      </w:r>
      <w:r w:rsidR="00015B8A">
        <w:rPr>
          <w:color w:val="000000"/>
          <w:szCs w:val="22"/>
        </w:rPr>
        <w:t>,</w:t>
      </w:r>
      <w:r w:rsidR="007868E7">
        <w:rPr>
          <w:color w:val="000000"/>
          <w:szCs w:val="22"/>
        </w:rPr>
        <w:t xml:space="preserve"> and </w:t>
      </w:r>
      <w:r>
        <w:rPr>
          <w:color w:val="000000"/>
          <w:szCs w:val="22"/>
        </w:rPr>
        <w:t>the Bureau finds, upon consideration of the record, that grant</w:t>
      </w:r>
      <w:r w:rsidR="00E0258B">
        <w:rPr>
          <w:color w:val="000000"/>
          <w:szCs w:val="22"/>
        </w:rPr>
        <w:t xml:space="preserve">ing </w:t>
      </w:r>
      <w:r>
        <w:rPr>
          <w:color w:val="000000"/>
          <w:szCs w:val="22"/>
        </w:rPr>
        <w:t>the</w:t>
      </w:r>
      <w:bookmarkEnd w:id="3"/>
      <w:r w:rsidR="00EF0F16">
        <w:rPr>
          <w:color w:val="000000"/>
          <w:szCs w:val="22"/>
        </w:rPr>
        <w:t xml:space="preserve"> Application</w:t>
      </w:r>
      <w:r>
        <w:rPr>
          <w:color w:val="000000"/>
          <w:szCs w:val="22"/>
        </w:rPr>
        <w:t xml:space="preserve"> will serve the public interest, convenience, and necessity.</w:t>
      </w:r>
      <w:r>
        <w:rPr>
          <w:szCs w:val="22"/>
          <w:vertAlign w:val="superscript"/>
        </w:rPr>
        <w:footnoteReference w:id="8"/>
      </w:r>
      <w:r>
        <w:rPr>
          <w:color w:val="000000"/>
          <w:szCs w:val="22"/>
        </w:rPr>
        <w:t xml:space="preserve"> </w:t>
      </w:r>
      <w:bookmarkStart w:id="4" w:name="FN[FN9]"/>
      <w:bookmarkEnd w:id="4"/>
      <w:r>
        <w:rPr>
          <w:color w:val="000000"/>
          <w:szCs w:val="22"/>
        </w:rPr>
        <w:t xml:space="preserve"> Pursuant to </w:t>
      </w:r>
      <w:r w:rsidR="0052751F">
        <w:rPr>
          <w:color w:val="000000"/>
          <w:szCs w:val="22"/>
        </w:rPr>
        <w:t>s</w:t>
      </w:r>
      <w:r>
        <w:rPr>
          <w:color w:val="000000"/>
          <w:szCs w:val="22"/>
        </w:rPr>
        <w:t>ection 1.103 of the Commission's rules, 47 C.F.R. § 1.103, the grant is effective upon release of this Public Notice.</w:t>
      </w:r>
      <w:bookmarkStart w:id="5" w:name="FN[FN11]"/>
      <w:bookmarkEnd w:id="5"/>
      <w:r>
        <w:rPr>
          <w:color w:val="000000"/>
          <w:szCs w:val="22"/>
        </w:rPr>
        <w:t xml:space="preserve">  Petitions for reconsideration under </w:t>
      </w:r>
      <w:r w:rsidR="0052751F">
        <w:rPr>
          <w:color w:val="000000"/>
          <w:szCs w:val="22"/>
        </w:rPr>
        <w:t>s</w:t>
      </w:r>
      <w:r>
        <w:rPr>
          <w:color w:val="000000"/>
          <w:szCs w:val="22"/>
        </w:rPr>
        <w:t xml:space="preserve">ection 1.106 or applications for review under </w:t>
      </w:r>
      <w:r w:rsidR="0052751F">
        <w:rPr>
          <w:color w:val="000000"/>
          <w:szCs w:val="22"/>
        </w:rPr>
        <w:t>s</w:t>
      </w:r>
      <w:r>
        <w:rPr>
          <w:color w:val="000000"/>
          <w:szCs w:val="22"/>
        </w:rPr>
        <w:t>ection 1.115 of the Commission's rules, 47 C.F.R. §§ 1.106, 1.115, may be filed within 30 days of the date of this Public Notice.</w:t>
      </w:r>
      <w:bookmarkStart w:id="6" w:name="FN[FN12]"/>
      <w:bookmarkStart w:id="7" w:name="sp_999_2"/>
      <w:bookmarkStart w:id="8" w:name="SDU_2"/>
      <w:bookmarkEnd w:id="6"/>
      <w:bookmarkEnd w:id="7"/>
      <w:bookmarkEnd w:id="8"/>
    </w:p>
    <w:p w:rsidR="00BC39F8" w:rsidP="009A5035">
      <w:pPr>
        <w:spacing w:before="120"/>
        <w:ind w:firstLine="720"/>
        <w:rPr>
          <w:color w:val="000000"/>
          <w:szCs w:val="22"/>
        </w:rPr>
      </w:pPr>
      <w:r>
        <w:rPr>
          <w:color w:val="000000"/>
          <w:szCs w:val="22"/>
        </w:rPr>
        <w:t xml:space="preserve">For further information, please contact </w:t>
      </w:r>
      <w:r w:rsidR="00EF577E">
        <w:rPr>
          <w:color w:val="000000"/>
          <w:szCs w:val="22"/>
        </w:rPr>
        <w:t>Gregory Kwan</w:t>
      </w:r>
      <w:r>
        <w:rPr>
          <w:color w:val="000000"/>
          <w:szCs w:val="22"/>
        </w:rPr>
        <w:t>, Wireline Competition Bureau,</w:t>
      </w:r>
      <w:r w:rsidR="00CE4613">
        <w:rPr>
          <w:color w:val="000000"/>
          <w:szCs w:val="22"/>
        </w:rPr>
        <w:t xml:space="preserve"> </w:t>
      </w:r>
      <w:r>
        <w:rPr>
          <w:color w:val="000000"/>
          <w:szCs w:val="22"/>
        </w:rPr>
        <w:t>Competition Policy Division, (202) 418-</w:t>
      </w:r>
      <w:r w:rsidR="00EF577E">
        <w:rPr>
          <w:color w:val="000000"/>
          <w:szCs w:val="22"/>
        </w:rPr>
        <w:t>1191</w:t>
      </w:r>
      <w:r>
        <w:rPr>
          <w:color w:val="000000"/>
          <w:szCs w:val="22"/>
        </w:rPr>
        <w:t>.</w:t>
      </w:r>
    </w:p>
    <w:p w:rsidR="00C93ED3" w:rsidP="009A5035">
      <w:pPr>
        <w:rPr>
          <w:color w:val="000000"/>
          <w:szCs w:val="22"/>
        </w:rPr>
      </w:pPr>
    </w:p>
    <w:p w:rsidR="00C93ED3">
      <w:pPr>
        <w:ind w:firstLine="720"/>
        <w:rPr>
          <w:color w:val="000000"/>
          <w:szCs w:val="22"/>
        </w:rPr>
      </w:pPr>
    </w:p>
    <w:p w:rsidR="00C93ED3" w:rsidRPr="00C93ED3" w:rsidP="00C93ED3">
      <w:pPr>
        <w:widowControl/>
        <w:autoSpaceDE w:val="0"/>
        <w:autoSpaceDN w:val="0"/>
        <w:adjustRightInd w:val="0"/>
        <w:jc w:val="center"/>
        <w:rPr>
          <w:snapToGrid/>
          <w:kern w:val="0"/>
          <w:szCs w:val="22"/>
        </w:rPr>
      </w:pPr>
      <w:r w:rsidRPr="00C93ED3">
        <w:rPr>
          <w:b/>
          <w:snapToGrid/>
          <w:kern w:val="0"/>
          <w:szCs w:val="22"/>
        </w:rPr>
        <w:t>- FCC -</w:t>
      </w:r>
    </w:p>
    <w:p w:rsidR="00C93ED3">
      <w:pPr>
        <w:ind w:firstLine="720"/>
        <w:rPr>
          <w:color w:val="000000"/>
          <w:szCs w:val="22"/>
        </w:rPr>
      </w:pPr>
    </w:p>
    <w:p w:rsidR="00BC39F8">
      <w:pPr>
        <w:widowControl/>
        <w:ind w:left="7200"/>
        <w:rPr>
          <w:sz w:val="24"/>
        </w:rPr>
      </w:pPr>
    </w:p>
    <w:sectPr>
      <w:footerReference w:type="even" r:id="rId6"/>
      <w:footerReference w:type="default" r:id="rId7"/>
      <w:headerReference w:type="first" r:id="rId8"/>
      <w:footerReference w:type="first" r:id="rId9"/>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fldChar w:fldCharType="end"/>
    </w:r>
  </w:p>
  <w:p w:rsidR="00BC39F8">
    <w:pPr>
      <w:pStyle w:val="Footer"/>
    </w:pPr>
  </w:p>
  <w:p w:rsidR="00BC39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rsidR="00B54498">
      <w:rPr>
        <w:noProof/>
      </w:rPr>
      <w:t>2</w:t>
    </w:r>
    <w:r>
      <w:fldChar w:fldCharType="end"/>
    </w:r>
  </w:p>
  <w:p w:rsidR="00BC39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431B">
      <w:r>
        <w:separator/>
      </w:r>
    </w:p>
  </w:footnote>
  <w:footnote w:type="continuationSeparator" w:id="1">
    <w:p w:rsidR="007D431B">
      <w:pPr>
        <w:spacing w:before="120"/>
        <w:rPr>
          <w:sz w:val="20"/>
        </w:rPr>
      </w:pPr>
      <w:r>
        <w:rPr>
          <w:sz w:val="20"/>
        </w:rPr>
        <w:t xml:space="preserve">(Continued from previous page)  </w:t>
      </w:r>
      <w:r>
        <w:rPr>
          <w:sz w:val="20"/>
        </w:rPr>
        <w:separator/>
      </w:r>
    </w:p>
  </w:footnote>
  <w:footnote w:type="continuationNotice" w:id="2">
    <w:p w:rsidR="007D431B">
      <w:pPr>
        <w:jc w:val="right"/>
        <w:rPr>
          <w:sz w:val="20"/>
        </w:rPr>
      </w:pPr>
      <w:r>
        <w:rPr>
          <w:sz w:val="20"/>
        </w:rPr>
        <w:t>(continued….)</w:t>
      </w:r>
    </w:p>
  </w:footnote>
  <w:footnote w:id="3">
    <w:p w:rsidR="00E50A62">
      <w:pPr>
        <w:pStyle w:val="FootnoteText"/>
      </w:pPr>
      <w:r>
        <w:rPr>
          <w:rStyle w:val="FootnoteReference"/>
        </w:rPr>
        <w:footnoteRef/>
      </w:r>
      <w:r>
        <w:t xml:space="preserve"> </w:t>
      </w:r>
      <w:r w:rsidRPr="00D70EA8" w:rsidR="00937A26">
        <w:rPr>
          <w:i/>
        </w:rPr>
        <w:t xml:space="preserve">See </w:t>
      </w:r>
      <w:r w:rsidRPr="00D70EA8" w:rsidR="00937A26">
        <w:t>47 U.S.C. § 214; 47 CFR §</w:t>
      </w:r>
      <w:r w:rsidR="00DA43BE">
        <w:t>§</w:t>
      </w:r>
      <w:r w:rsidRPr="00D70EA8" w:rsidR="00937A26">
        <w:t xml:space="preserve"> 63.03</w:t>
      </w:r>
      <w:r w:rsidR="00DA43BE">
        <w:t xml:space="preserve">-04; Joint </w:t>
      </w:r>
      <w:r>
        <w:t xml:space="preserve">Application of </w:t>
      </w:r>
      <w:r w:rsidR="009A5035">
        <w:t>U.S. TelePacific Holdings Corp.</w:t>
      </w:r>
      <w:r w:rsidR="00D53A67">
        <w:t xml:space="preserve"> and Tango Private Holdings II, LLC</w:t>
      </w:r>
      <w:r w:rsidR="009A5035">
        <w:t xml:space="preserve">, </w:t>
      </w:r>
      <w:r w:rsidRPr="00082B52" w:rsidR="009A5035">
        <w:t>et al</w:t>
      </w:r>
      <w:r w:rsidR="009A5035">
        <w:t xml:space="preserve">. for Grant of Authority Pursuant to </w:t>
      </w:r>
      <w:r w:rsidR="00DA43BE">
        <w:t xml:space="preserve">Section 214 of the Communications Act of 1934, as Amended, </w:t>
      </w:r>
      <w:r w:rsidR="00D53A67">
        <w:t xml:space="preserve">and Sections 63.04 and 63.24 of the Commission’s Rules to Complete a Transfer of Control of Authorized Domestic and International Section 214 Carriers, </w:t>
      </w:r>
      <w:r w:rsidR="00DA43BE">
        <w:t>WC Docket No. 1</w:t>
      </w:r>
      <w:r w:rsidR="009A5035">
        <w:t>9-248</w:t>
      </w:r>
      <w:r w:rsidR="00DA43BE">
        <w:t xml:space="preserve"> (filed </w:t>
      </w:r>
      <w:r w:rsidR="009A5035">
        <w:t>Sept. 5</w:t>
      </w:r>
      <w:r w:rsidR="00DA43BE">
        <w:t>, 201</w:t>
      </w:r>
      <w:r w:rsidR="009A5035">
        <w:t>9</w:t>
      </w:r>
      <w:r w:rsidR="00DA43BE">
        <w:t xml:space="preserve">) </w:t>
      </w:r>
      <w:r w:rsidR="00937A26">
        <w:t>(Application).</w:t>
      </w:r>
      <w:r>
        <w:t xml:space="preserve"> </w:t>
      </w:r>
    </w:p>
  </w:footnote>
  <w:footnote w:id="4">
    <w:p w:rsidR="00BC39F8">
      <w:pPr>
        <w:pStyle w:val="FootnoteText"/>
        <w:rPr>
          <w:i/>
        </w:rPr>
      </w:pPr>
      <w:r>
        <w:rPr>
          <w:rStyle w:val="FootnoteReference"/>
        </w:rPr>
        <w:footnoteRef/>
      </w:r>
      <w:r>
        <w:t xml:space="preserve"> </w:t>
      </w:r>
      <w:r>
        <w:rPr>
          <w:i/>
        </w:rPr>
        <w:t>Domestic Section 214 Application Filed for the Transfer of Control of</w:t>
      </w:r>
      <w:r w:rsidR="009A5035">
        <w:rPr>
          <w:i/>
        </w:rPr>
        <w:t xml:space="preserve"> U.S. TelePacific Holdings Corp. and its Subsidiaries to Tango Private Holdings II, LLC</w:t>
      </w:r>
      <w:r w:rsidR="0027592B">
        <w:t>, W</w:t>
      </w:r>
      <w:r w:rsidR="00D747E1">
        <w:t>C Docket No</w:t>
      </w:r>
      <w:r w:rsidR="00937A26">
        <w:t>. 1</w:t>
      </w:r>
      <w:r w:rsidR="009A5035">
        <w:t>9-248</w:t>
      </w:r>
      <w:r w:rsidR="00D747E1">
        <w:t>,</w:t>
      </w:r>
      <w:r>
        <w:rPr>
          <w:i/>
          <w:iCs/>
        </w:rPr>
        <w:t xml:space="preserve"> </w:t>
      </w:r>
      <w:r>
        <w:t>Public Notice,</w:t>
      </w:r>
      <w:r w:rsidR="0031049D">
        <w:t xml:space="preserve"> </w:t>
      </w:r>
      <w:r w:rsidR="0027592B">
        <w:t>DA 19-</w:t>
      </w:r>
      <w:r w:rsidR="009A5035">
        <w:t>983</w:t>
      </w:r>
      <w:r w:rsidR="0027592B">
        <w:t xml:space="preserve"> </w:t>
      </w:r>
      <w:r>
        <w:t xml:space="preserve">(WCB </w:t>
      </w:r>
      <w:r w:rsidR="00937A26">
        <w:t>201</w:t>
      </w:r>
      <w:r w:rsidR="0027592B">
        <w:t>9</w:t>
      </w:r>
      <w:r w:rsidR="00937A26">
        <w:t>)</w:t>
      </w:r>
      <w:r>
        <w:t>.</w:t>
      </w:r>
    </w:p>
  </w:footnote>
  <w:footnote w:id="5">
    <w:p w:rsidR="0027592B" w:rsidP="0027592B">
      <w:pPr>
        <w:pStyle w:val="FootnoteText"/>
      </w:pPr>
      <w:r>
        <w:rPr>
          <w:rStyle w:val="FootnoteReference"/>
        </w:rPr>
        <w:footnoteRef/>
      </w:r>
      <w:r>
        <w:t xml:space="preserve"> </w:t>
      </w:r>
      <w:r>
        <w:rPr>
          <w:rFonts w:ascii="Times New (W1)" w:hAnsi="Times New (W1)"/>
        </w:rPr>
        <w:t xml:space="preserve">Letter from Lee Licata, U.S. Department of Justice, to Marlene H. Dortch, </w:t>
      </w:r>
      <w:r w:rsidR="00520BA0">
        <w:rPr>
          <w:rFonts w:ascii="Times New (W1)" w:hAnsi="Times New (W1)"/>
        </w:rPr>
        <w:t xml:space="preserve">Secretary, </w:t>
      </w:r>
      <w:r>
        <w:rPr>
          <w:rFonts w:ascii="Times New (W1)" w:hAnsi="Times New (W1)"/>
        </w:rPr>
        <w:t>FCC, WC</w:t>
      </w:r>
      <w:r>
        <w:t xml:space="preserve"> Docket No. 1</w:t>
      </w:r>
      <w:r w:rsidR="002B562A">
        <w:t>9-248</w:t>
      </w:r>
      <w:r>
        <w:t xml:space="preserve"> </w:t>
      </w:r>
      <w:r>
        <w:rPr>
          <w:rFonts w:ascii="Times New (W1)" w:hAnsi="Times New (W1)"/>
        </w:rPr>
        <w:t>(</w:t>
      </w:r>
      <w:r w:rsidR="00883FD9">
        <w:rPr>
          <w:rFonts w:ascii="Times New (W1)" w:hAnsi="Times New (W1)"/>
        </w:rPr>
        <w:t>Oct. 4</w:t>
      </w:r>
      <w:r>
        <w:rPr>
          <w:rFonts w:ascii="Times New (W1)" w:hAnsi="Times New (W1)"/>
        </w:rPr>
        <w:t>, 2019)</w:t>
      </w:r>
      <w:r w:rsidR="00883FD9">
        <w:rPr>
          <w:rFonts w:ascii="Times New (W1)" w:hAnsi="Times New (W1)"/>
        </w:rPr>
        <w:t xml:space="preserve"> (</w:t>
      </w:r>
      <w:r w:rsidRPr="003260D5" w:rsidR="00883FD9">
        <w:rPr>
          <w:rFonts w:ascii="Times New (W1)" w:hAnsi="Times New (W1)"/>
        </w:rPr>
        <w:t xml:space="preserve">on file in WC </w:t>
      </w:r>
      <w:r w:rsidR="003260D5">
        <w:rPr>
          <w:rFonts w:ascii="Times New (W1)" w:hAnsi="Times New (W1)"/>
        </w:rPr>
        <w:t>D</w:t>
      </w:r>
      <w:r w:rsidRPr="003260D5" w:rsidR="00883FD9">
        <w:rPr>
          <w:rFonts w:ascii="Times New (W1)" w:hAnsi="Times New (W1)"/>
        </w:rPr>
        <w:t>ocket No. 19-248</w:t>
      </w:r>
      <w:r w:rsidR="00883FD9">
        <w:rPr>
          <w:rFonts w:ascii="Times New (W1)" w:hAnsi="Times New (W1)"/>
        </w:rPr>
        <w:t>)</w:t>
      </w:r>
      <w:r>
        <w:rPr>
          <w:rFonts w:ascii="Times New (W1)" w:hAnsi="Times New (W1)"/>
        </w:rPr>
        <w:t>.</w:t>
      </w:r>
    </w:p>
  </w:footnote>
  <w:footnote w:id="6">
    <w:p w:rsidR="00BC39F8">
      <w:pPr>
        <w:pStyle w:val="FootnoteText"/>
      </w:pPr>
      <w:r>
        <w:rPr>
          <w:rStyle w:val="FootnoteReference"/>
        </w:rPr>
        <w:footnoteRef/>
      </w:r>
      <w:r w:rsidR="0052751F">
        <w:t xml:space="preserve"> Letter from</w:t>
      </w:r>
      <w:r w:rsidR="00F07848">
        <w:t xml:space="preserve"> </w:t>
      </w:r>
      <w:r w:rsidR="0027592B">
        <w:t>Lee Licata</w:t>
      </w:r>
      <w:r>
        <w:t xml:space="preserve">, </w:t>
      </w:r>
      <w:r>
        <w:rPr>
          <w:rFonts w:ascii="Times New (W1)" w:hAnsi="Times New (W1)"/>
        </w:rPr>
        <w:t>U.S. Department of Justice, to Marlene H. Dortch, Secretary, FCC, WC</w:t>
      </w:r>
      <w:r>
        <w:t xml:space="preserve"> Docket No</w:t>
      </w:r>
      <w:r w:rsidR="00F07848">
        <w:t>. 1</w:t>
      </w:r>
      <w:r w:rsidR="00883FD9">
        <w:t>9-248</w:t>
      </w:r>
      <w:r>
        <w:t xml:space="preserve"> </w:t>
      </w:r>
      <w:r>
        <w:rPr>
          <w:rFonts w:ascii="Times New (W1)" w:hAnsi="Times New (W1)"/>
        </w:rPr>
        <w:t>(</w:t>
      </w:r>
      <w:r w:rsidR="004D7E47">
        <w:rPr>
          <w:rFonts w:ascii="Times New (W1)" w:hAnsi="Times New (W1)"/>
        </w:rPr>
        <w:t>Jan.</w:t>
      </w:r>
      <w:r w:rsidR="0027592B">
        <w:rPr>
          <w:rFonts w:ascii="Times New (W1)" w:hAnsi="Times New (W1)"/>
        </w:rPr>
        <w:t xml:space="preserve"> 21</w:t>
      </w:r>
      <w:r>
        <w:rPr>
          <w:rFonts w:ascii="Times New (W1)" w:hAnsi="Times New (W1)"/>
        </w:rPr>
        <w:t>, 20</w:t>
      </w:r>
      <w:r w:rsidR="004D7E47">
        <w:rPr>
          <w:rFonts w:ascii="Times New (W1)" w:hAnsi="Times New (W1)"/>
        </w:rPr>
        <w:t>20</w:t>
      </w:r>
      <w:r>
        <w:rPr>
          <w:rFonts w:ascii="Times New (W1)" w:hAnsi="Times New (W1)"/>
        </w:rPr>
        <w:t>)</w:t>
      </w:r>
      <w:r w:rsidR="00883FD9">
        <w:rPr>
          <w:rFonts w:ascii="Times New (W1)" w:hAnsi="Times New (W1)"/>
        </w:rPr>
        <w:t xml:space="preserve"> (on file in WC Docket No. 19-248)</w:t>
      </w:r>
      <w:r w:rsidR="00B7191A">
        <w:rPr>
          <w:rFonts w:ascii="Times New (W1)" w:hAnsi="Times New (W1)"/>
        </w:rPr>
        <w:t xml:space="preserve"> (DOJ Letter)</w:t>
      </w:r>
      <w:r>
        <w:rPr>
          <w:rFonts w:ascii="Times New (W1)" w:hAnsi="Times New (W1)"/>
        </w:rPr>
        <w:t>.</w:t>
      </w:r>
      <w:r w:rsidR="00CE4613">
        <w:rPr>
          <w:rFonts w:ascii="Times New (W1)" w:hAnsi="Times New (W1)"/>
        </w:rPr>
        <w:t xml:space="preserve">  </w:t>
      </w:r>
    </w:p>
  </w:footnote>
  <w:footnote w:id="7">
    <w:p w:rsidR="00BC39F8">
      <w:pPr>
        <w:pStyle w:val="FootnoteText"/>
      </w:pPr>
      <w:r>
        <w:rPr>
          <w:rStyle w:val="FootnoteReference"/>
        </w:rPr>
        <w:footnoteRef/>
      </w:r>
      <w:r>
        <w:t xml:space="preserve"> </w:t>
      </w:r>
      <w:r>
        <w:rPr>
          <w:i/>
        </w:rPr>
        <w:t>Id</w:t>
      </w:r>
      <w:r>
        <w:t>. at 1.</w:t>
      </w:r>
      <w:r w:rsidR="00CE4613">
        <w:t xml:space="preserve"> </w:t>
      </w:r>
    </w:p>
  </w:footnote>
  <w:footnote w:id="8">
    <w:p w:rsidR="00BC39F8">
      <w:pPr>
        <w:pStyle w:val="FootnoteText"/>
      </w:pPr>
      <w:r>
        <w:rPr>
          <w:rStyle w:val="FootnoteReference"/>
        </w:rPr>
        <w:footnoteRef/>
      </w:r>
      <w:r w:rsidR="00926E59">
        <w:t xml:space="preserve"> 47 CFR § 63.03(b).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BC39F8">
                <w:pPr>
                  <w:rPr>
                    <w:rFonts w:ascii="Arial" w:hAnsi="Arial"/>
                    <w:b/>
                  </w:rPr>
                </w:pPr>
                <w:r>
                  <w:rPr>
                    <w:rFonts w:ascii="Arial" w:hAnsi="Arial"/>
                    <w:b/>
                  </w:rPr>
                  <w:t>Federal Communications Commission</w:t>
                </w:r>
              </w:p>
              <w:p w:rsidR="00BC39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39F8">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t>PUBLIC NOTICE</w:t>
    </w:r>
  </w:p>
  <w:p w:rsidR="00BC39F8">
    <w:pPr>
      <w:pStyle w:val="Header"/>
    </w:pPr>
    <w:r>
      <w:rPr>
        <w:noProof/>
      </w:rPr>
      <w:pict>
        <v:line id="Line 4" o:spid="_x0000_s2051" style="mso-position-horizontal:right;mso-position-horizontal-relative:margin;position:absolute;visibility:visible;z-index:251659264" from="1667.2pt,56.7pt" to="2135.2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BC39F8">
                <w:pPr>
                  <w:spacing w:before="40"/>
                  <w:jc w:val="right"/>
                  <w:rPr>
                    <w:rFonts w:ascii="Arial" w:hAnsi="Arial"/>
                    <w:b/>
                    <w:sz w:val="16"/>
                  </w:rPr>
                </w:pPr>
                <w:r>
                  <w:rPr>
                    <w:rFonts w:ascii="Arial" w:hAnsi="Arial"/>
                    <w:b/>
                    <w:sz w:val="16"/>
                  </w:rPr>
                  <w:t>News Media Information 202 / 418-0500</w:t>
                </w:r>
              </w:p>
              <w:p w:rsidR="00BC39F8">
                <w:pPr>
                  <w:jc w:val="right"/>
                  <w:rPr>
                    <w:rFonts w:ascii="Arial" w:hAnsi="Arial"/>
                    <w:b/>
                    <w:sz w:val="16"/>
                  </w:rPr>
                </w:pPr>
                <w:r>
                  <w:rPr>
                    <w:rFonts w:ascii="Arial" w:hAnsi="Arial"/>
                    <w:b/>
                    <w:sz w:val="16"/>
                  </w:rPr>
                  <w:t xml:space="preserve">Internet: </w:t>
                </w:r>
                <w:bookmarkStart w:id="9" w:name="_Hlt233824"/>
                <w:hyperlink r:id="rId2" w:history="1">
                  <w:r>
                    <w:rPr>
                      <w:rStyle w:val="Hyperlink"/>
                      <w:rFonts w:ascii="Arial" w:hAnsi="Arial"/>
                      <w:b/>
                      <w:sz w:val="16"/>
                    </w:rPr>
                    <w:t>h</w:t>
                  </w:r>
                  <w:bookmarkEnd w:id="9"/>
                  <w:r>
                    <w:rPr>
                      <w:rStyle w:val="Hyperlink"/>
                      <w:rFonts w:ascii="Arial" w:hAnsi="Arial"/>
                      <w:b/>
                      <w:sz w:val="16"/>
                    </w:rPr>
                    <w:t>ttps://www.fcc.gov</w:t>
                  </w:r>
                </w:hyperlink>
              </w:p>
              <w:p w:rsidR="00BC39F8">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92"/>
    <w:rsid w:val="00015B8A"/>
    <w:rsid w:val="000255FD"/>
    <w:rsid w:val="00032CB6"/>
    <w:rsid w:val="00055637"/>
    <w:rsid w:val="00082B52"/>
    <w:rsid w:val="000F7636"/>
    <w:rsid w:val="001005E5"/>
    <w:rsid w:val="00172EC6"/>
    <w:rsid w:val="001873DE"/>
    <w:rsid w:val="00190968"/>
    <w:rsid w:val="001A367E"/>
    <w:rsid w:val="001B732E"/>
    <w:rsid w:val="001C6F51"/>
    <w:rsid w:val="001E3069"/>
    <w:rsid w:val="001E3E88"/>
    <w:rsid w:val="001F6337"/>
    <w:rsid w:val="0027592B"/>
    <w:rsid w:val="00293524"/>
    <w:rsid w:val="002A5D79"/>
    <w:rsid w:val="002A63E5"/>
    <w:rsid w:val="002A6BCA"/>
    <w:rsid w:val="002B562A"/>
    <w:rsid w:val="002F6EF5"/>
    <w:rsid w:val="0031049D"/>
    <w:rsid w:val="0031480B"/>
    <w:rsid w:val="00314CFB"/>
    <w:rsid w:val="00315A07"/>
    <w:rsid w:val="003260D5"/>
    <w:rsid w:val="003529F3"/>
    <w:rsid w:val="00353E66"/>
    <w:rsid w:val="00377BBB"/>
    <w:rsid w:val="00386C36"/>
    <w:rsid w:val="003A28EE"/>
    <w:rsid w:val="003E620A"/>
    <w:rsid w:val="004159D4"/>
    <w:rsid w:val="004465D5"/>
    <w:rsid w:val="00446940"/>
    <w:rsid w:val="004626E8"/>
    <w:rsid w:val="004C30AD"/>
    <w:rsid w:val="004D7E47"/>
    <w:rsid w:val="00520BA0"/>
    <w:rsid w:val="0052751F"/>
    <w:rsid w:val="00572CEF"/>
    <w:rsid w:val="005838DD"/>
    <w:rsid w:val="005A5078"/>
    <w:rsid w:val="005B33E8"/>
    <w:rsid w:val="005D150C"/>
    <w:rsid w:val="00600BF1"/>
    <w:rsid w:val="006028E9"/>
    <w:rsid w:val="00637515"/>
    <w:rsid w:val="00695EAA"/>
    <w:rsid w:val="006A539C"/>
    <w:rsid w:val="006E226F"/>
    <w:rsid w:val="00765DBD"/>
    <w:rsid w:val="007868E7"/>
    <w:rsid w:val="007B6A22"/>
    <w:rsid w:val="007D431B"/>
    <w:rsid w:val="008138BE"/>
    <w:rsid w:val="00832D93"/>
    <w:rsid w:val="00834E30"/>
    <w:rsid w:val="00883FD9"/>
    <w:rsid w:val="008A1587"/>
    <w:rsid w:val="008B1BB5"/>
    <w:rsid w:val="008C49B6"/>
    <w:rsid w:val="00911B15"/>
    <w:rsid w:val="00926E59"/>
    <w:rsid w:val="00937A26"/>
    <w:rsid w:val="009423D2"/>
    <w:rsid w:val="00957F6B"/>
    <w:rsid w:val="009805E9"/>
    <w:rsid w:val="009A5035"/>
    <w:rsid w:val="009B7757"/>
    <w:rsid w:val="009C2AA3"/>
    <w:rsid w:val="009C3946"/>
    <w:rsid w:val="009F5D40"/>
    <w:rsid w:val="00A07B7A"/>
    <w:rsid w:val="00A13BCC"/>
    <w:rsid w:val="00A47605"/>
    <w:rsid w:val="00A72A04"/>
    <w:rsid w:val="00A87168"/>
    <w:rsid w:val="00AA0FC8"/>
    <w:rsid w:val="00B26A5F"/>
    <w:rsid w:val="00B5332A"/>
    <w:rsid w:val="00B54498"/>
    <w:rsid w:val="00B7191A"/>
    <w:rsid w:val="00B77D44"/>
    <w:rsid w:val="00B912DC"/>
    <w:rsid w:val="00BB798C"/>
    <w:rsid w:val="00BC39F8"/>
    <w:rsid w:val="00C11393"/>
    <w:rsid w:val="00C14B31"/>
    <w:rsid w:val="00C611B2"/>
    <w:rsid w:val="00C82F70"/>
    <w:rsid w:val="00C93ED3"/>
    <w:rsid w:val="00C96861"/>
    <w:rsid w:val="00CB09CC"/>
    <w:rsid w:val="00CB4367"/>
    <w:rsid w:val="00CD7231"/>
    <w:rsid w:val="00CE4613"/>
    <w:rsid w:val="00D53A67"/>
    <w:rsid w:val="00D70EA8"/>
    <w:rsid w:val="00D747E1"/>
    <w:rsid w:val="00DA0970"/>
    <w:rsid w:val="00DA1E80"/>
    <w:rsid w:val="00DA43BE"/>
    <w:rsid w:val="00DB34EE"/>
    <w:rsid w:val="00DC3929"/>
    <w:rsid w:val="00DE40CC"/>
    <w:rsid w:val="00E0258B"/>
    <w:rsid w:val="00E50A62"/>
    <w:rsid w:val="00E522F0"/>
    <w:rsid w:val="00E63953"/>
    <w:rsid w:val="00E67460"/>
    <w:rsid w:val="00E74E3B"/>
    <w:rsid w:val="00EA1666"/>
    <w:rsid w:val="00EC6892"/>
    <w:rsid w:val="00EF0F16"/>
    <w:rsid w:val="00EF577E"/>
    <w:rsid w:val="00F07848"/>
    <w:rsid w:val="00F54652"/>
    <w:rsid w:val="00F63D25"/>
    <w:rsid w:val="00FB64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style>
  <w:style w:type="character" w:styleId="CommentReference">
    <w:name w:val="annotation reference"/>
    <w:semiHidden/>
    <w:unhideWhenUsed/>
    <w:rsid w:val="00A72A04"/>
    <w:rPr>
      <w:sz w:val="16"/>
      <w:szCs w:val="16"/>
    </w:rPr>
  </w:style>
  <w:style w:type="paragraph" w:styleId="CommentText">
    <w:name w:val="annotation text"/>
    <w:basedOn w:val="Normal"/>
    <w:link w:val="CommentTextChar"/>
    <w:semiHidden/>
    <w:unhideWhenUsed/>
    <w:rsid w:val="00A72A04"/>
    <w:rPr>
      <w:sz w:val="20"/>
    </w:rPr>
  </w:style>
  <w:style w:type="character" w:customStyle="1" w:styleId="CommentTextChar">
    <w:name w:val="Comment Text Char"/>
    <w:link w:val="CommentText"/>
    <w:semiHidden/>
    <w:rsid w:val="00A72A04"/>
    <w:rPr>
      <w:snapToGrid w:val="0"/>
      <w:kern w:val="28"/>
    </w:rPr>
  </w:style>
  <w:style w:type="paragraph" w:styleId="CommentSubject">
    <w:name w:val="annotation subject"/>
    <w:basedOn w:val="CommentText"/>
    <w:next w:val="CommentText"/>
    <w:link w:val="CommentSubjectChar"/>
    <w:semiHidden/>
    <w:unhideWhenUsed/>
    <w:rsid w:val="00A72A04"/>
    <w:rPr>
      <w:b/>
      <w:bCs/>
    </w:rPr>
  </w:style>
  <w:style w:type="character" w:customStyle="1" w:styleId="CommentSubjectChar">
    <w:name w:val="Comment Subject Char"/>
    <w:link w:val="CommentSubject"/>
    <w:semiHidden/>
    <w:rsid w:val="00A72A0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search/filings?proceedings_name=19-248&amp;sort=date_disseminated,DESC"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