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461159">
      <w:pPr>
        <w:jc w:val="center"/>
        <w:rPr>
          <w:b/>
          <w:szCs w:val="22"/>
        </w:rPr>
      </w:pPr>
      <w:r w:rsidRPr="00461159">
        <w:rPr>
          <w:b/>
          <w:kern w:val="0"/>
          <w:szCs w:val="22"/>
        </w:rPr>
        <w:t>Before</w:t>
      </w:r>
      <w:r w:rsidRPr="00461159">
        <w:rPr>
          <w:b/>
          <w:szCs w:val="22"/>
        </w:rPr>
        <w:t xml:space="preserve"> the</w:t>
      </w:r>
    </w:p>
    <w:p w:rsidR="00921803" w:rsidRPr="00461159" w:rsidP="00921803">
      <w:pPr>
        <w:pStyle w:val="StyleBoldCentered"/>
        <w:rPr>
          <w:rFonts w:ascii="Times New Roman" w:hAnsi="Times New Roman"/>
        </w:rPr>
      </w:pPr>
      <w:r w:rsidRPr="00461159">
        <w:rPr>
          <w:rFonts w:ascii="Times New Roman" w:hAnsi="Times New Roman"/>
        </w:rPr>
        <w:t>F</w:t>
      </w:r>
      <w:r w:rsidRPr="00461159">
        <w:rPr>
          <w:rFonts w:ascii="Times New Roman" w:hAnsi="Times New Roman"/>
          <w:caps w:val="0"/>
        </w:rPr>
        <w:t>ederal Communications Commission</w:t>
      </w:r>
    </w:p>
    <w:p w:rsidR="004C2EE3" w:rsidRPr="00461159" w:rsidP="00096D8C">
      <w:pPr>
        <w:pStyle w:val="StyleBoldCentered"/>
        <w:rPr>
          <w:rFonts w:ascii="Times New Roman" w:hAnsi="Times New Roman"/>
        </w:rPr>
      </w:pPr>
      <w:r w:rsidRPr="00461159">
        <w:rPr>
          <w:rFonts w:ascii="Times New Roman" w:hAnsi="Times New Roman"/>
          <w:caps w:val="0"/>
        </w:rPr>
        <w:t>Washington, D.C. 20554</w:t>
      </w:r>
    </w:p>
    <w:p w:rsidR="004C2EE3" w:rsidRPr="00461159" w:rsidP="0070224F">
      <w:pPr>
        <w:rPr>
          <w:szCs w:val="22"/>
        </w:rPr>
      </w:pPr>
    </w:p>
    <w:p w:rsidR="004C2EE3" w:rsidRPr="00461159" w:rsidP="0070224F">
      <w:pPr>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461159">
            <w:pPr>
              <w:tabs>
                <w:tab w:val="center" w:pos="4680"/>
              </w:tabs>
              <w:suppressAutoHyphens/>
              <w:rPr>
                <w:spacing w:val="-2"/>
                <w:szCs w:val="22"/>
              </w:rPr>
            </w:pPr>
            <w:r w:rsidRPr="00461159">
              <w:rPr>
                <w:spacing w:val="-2"/>
                <w:szCs w:val="22"/>
              </w:rPr>
              <w:t>In the Matter of</w:t>
            </w:r>
          </w:p>
          <w:p w:rsidR="004C2EE3" w:rsidRPr="00461159">
            <w:pPr>
              <w:tabs>
                <w:tab w:val="center" w:pos="4680"/>
              </w:tabs>
              <w:suppressAutoHyphens/>
              <w:rPr>
                <w:spacing w:val="-2"/>
                <w:szCs w:val="22"/>
              </w:rPr>
            </w:pPr>
          </w:p>
          <w:p w:rsidR="00E442AC" w:rsidRPr="00461159" w:rsidP="007115F7">
            <w:pPr>
              <w:tabs>
                <w:tab w:val="center" w:pos="4680"/>
              </w:tabs>
              <w:suppressAutoHyphens/>
              <w:rPr>
                <w:spacing w:val="-2"/>
                <w:szCs w:val="22"/>
              </w:rPr>
            </w:pPr>
            <w:r w:rsidRPr="00461159">
              <w:rPr>
                <w:spacing w:val="-2"/>
                <w:szCs w:val="22"/>
              </w:rPr>
              <w:t>Rules and Regulat</w:t>
            </w:r>
            <w:r w:rsidRPr="00461159" w:rsidR="00651A4C">
              <w:rPr>
                <w:spacing w:val="-2"/>
                <w:szCs w:val="22"/>
              </w:rPr>
              <w:t>i</w:t>
            </w:r>
            <w:r w:rsidRPr="00461159">
              <w:rPr>
                <w:spacing w:val="-2"/>
                <w:szCs w:val="22"/>
              </w:rPr>
              <w:t>ons Implementing the Telephone Consumer Protection Act of 1991</w:t>
            </w:r>
          </w:p>
          <w:p w:rsidR="00E442AC" w:rsidRPr="00461159" w:rsidP="007115F7">
            <w:pPr>
              <w:tabs>
                <w:tab w:val="center" w:pos="4680"/>
              </w:tabs>
              <w:suppressAutoHyphens/>
              <w:rPr>
                <w:spacing w:val="-2"/>
                <w:szCs w:val="22"/>
              </w:rPr>
            </w:pPr>
          </w:p>
          <w:p w:rsidR="00B127CF" w:rsidP="007115F7">
            <w:pPr>
              <w:tabs>
                <w:tab w:val="center" w:pos="4680"/>
              </w:tabs>
              <w:suppressAutoHyphens/>
              <w:rPr>
                <w:spacing w:val="-2"/>
                <w:szCs w:val="22"/>
              </w:rPr>
            </w:pPr>
            <w:r w:rsidRPr="00461159">
              <w:rPr>
                <w:spacing w:val="-2"/>
                <w:szCs w:val="22"/>
              </w:rPr>
              <w:t>Petitions for Waiver and/or Retro</w:t>
            </w:r>
            <w:r w:rsidRPr="00461159" w:rsidR="00135241">
              <w:rPr>
                <w:spacing w:val="-2"/>
                <w:szCs w:val="22"/>
              </w:rPr>
              <w:t>active Waiver of 47 CFR Section 64.1200(a)(2) Regarding the Commission’s Prior Express Written Consent Requirement</w:t>
            </w:r>
          </w:p>
          <w:p w:rsidR="00B127CF" w:rsidRPr="0078515D" w:rsidP="0078515D">
            <w:pPr>
              <w:tabs>
                <w:tab w:val="center" w:pos="4680"/>
              </w:tabs>
              <w:suppressAutoHyphens/>
              <w:rPr>
                <w:spacing w:val="-2"/>
              </w:rPr>
            </w:pPr>
          </w:p>
          <w:p w:rsidR="00B127CF" w:rsidP="00B127CF">
            <w:pPr>
              <w:rPr>
                <w:szCs w:val="22"/>
              </w:rPr>
            </w:pPr>
            <w:r>
              <w:rPr>
                <w:szCs w:val="22"/>
              </w:rPr>
              <w:t>Petition for Reconsideration by Lori Wakefield</w:t>
            </w:r>
          </w:p>
          <w:p w:rsidR="00B127CF" w:rsidRPr="00461159" w:rsidP="007115F7">
            <w:pPr>
              <w:tabs>
                <w:tab w:val="center" w:pos="4680"/>
              </w:tabs>
              <w:suppressAutoHyphens/>
              <w:rPr>
                <w:spacing w:val="-2"/>
                <w:szCs w:val="22"/>
              </w:rPr>
            </w:pPr>
          </w:p>
        </w:tc>
        <w:tc>
          <w:tcPr>
            <w:tcW w:w="630" w:type="dxa"/>
          </w:tcPr>
          <w:p w:rsidR="004C2EE3" w:rsidRPr="00461159">
            <w:pPr>
              <w:tabs>
                <w:tab w:val="center" w:pos="4680"/>
              </w:tabs>
              <w:suppressAutoHyphens/>
              <w:rPr>
                <w:b/>
                <w:spacing w:val="-2"/>
                <w:szCs w:val="22"/>
              </w:rPr>
            </w:pPr>
            <w:r w:rsidRPr="00461159">
              <w:rPr>
                <w:b/>
                <w:spacing w:val="-2"/>
                <w:szCs w:val="22"/>
              </w:rPr>
              <w:t>)</w:t>
            </w:r>
          </w:p>
          <w:p w:rsidR="004C2EE3" w:rsidRPr="00461159">
            <w:pPr>
              <w:tabs>
                <w:tab w:val="center" w:pos="4680"/>
              </w:tabs>
              <w:suppressAutoHyphens/>
              <w:rPr>
                <w:b/>
                <w:spacing w:val="-2"/>
                <w:szCs w:val="22"/>
              </w:rPr>
            </w:pPr>
            <w:r w:rsidRPr="00461159">
              <w:rPr>
                <w:b/>
                <w:spacing w:val="-2"/>
                <w:szCs w:val="22"/>
              </w:rPr>
              <w:t>)</w:t>
            </w:r>
          </w:p>
          <w:p w:rsidR="004C2EE3" w:rsidRPr="00461159">
            <w:pPr>
              <w:tabs>
                <w:tab w:val="center" w:pos="4680"/>
              </w:tabs>
              <w:suppressAutoHyphens/>
              <w:rPr>
                <w:b/>
                <w:spacing w:val="-2"/>
                <w:szCs w:val="22"/>
              </w:rPr>
            </w:pPr>
            <w:r w:rsidRPr="00461159">
              <w:rPr>
                <w:b/>
                <w:spacing w:val="-2"/>
                <w:szCs w:val="22"/>
              </w:rPr>
              <w:t>)</w:t>
            </w:r>
          </w:p>
          <w:p w:rsidR="004C2EE3" w:rsidRPr="00461159">
            <w:pPr>
              <w:tabs>
                <w:tab w:val="center" w:pos="4680"/>
              </w:tabs>
              <w:suppressAutoHyphens/>
              <w:rPr>
                <w:b/>
                <w:spacing w:val="-2"/>
                <w:szCs w:val="22"/>
              </w:rPr>
            </w:pPr>
            <w:r w:rsidRPr="00461159">
              <w:rPr>
                <w:b/>
                <w:spacing w:val="-2"/>
                <w:szCs w:val="22"/>
              </w:rPr>
              <w:t>)</w:t>
            </w:r>
          </w:p>
          <w:p w:rsidR="004C2EE3" w:rsidRPr="00461159">
            <w:pPr>
              <w:tabs>
                <w:tab w:val="center" w:pos="4680"/>
              </w:tabs>
              <w:suppressAutoHyphens/>
              <w:rPr>
                <w:b/>
                <w:spacing w:val="-2"/>
                <w:szCs w:val="22"/>
              </w:rPr>
            </w:pPr>
            <w:r w:rsidRPr="00461159">
              <w:rPr>
                <w:b/>
                <w:spacing w:val="-2"/>
                <w:szCs w:val="22"/>
              </w:rPr>
              <w:t>)</w:t>
            </w:r>
          </w:p>
          <w:p w:rsidR="004C2EE3" w:rsidRPr="00461159">
            <w:pPr>
              <w:tabs>
                <w:tab w:val="center" w:pos="4680"/>
              </w:tabs>
              <w:suppressAutoHyphens/>
              <w:rPr>
                <w:b/>
                <w:spacing w:val="-2"/>
                <w:szCs w:val="22"/>
              </w:rPr>
            </w:pPr>
            <w:r w:rsidRPr="00461159">
              <w:rPr>
                <w:b/>
                <w:spacing w:val="-2"/>
                <w:szCs w:val="22"/>
              </w:rPr>
              <w:t>)</w:t>
            </w:r>
          </w:p>
          <w:p w:rsidR="004C2EE3" w:rsidRPr="00461159">
            <w:pPr>
              <w:tabs>
                <w:tab w:val="center" w:pos="4680"/>
              </w:tabs>
              <w:suppressAutoHyphens/>
              <w:rPr>
                <w:b/>
                <w:spacing w:val="-2"/>
                <w:szCs w:val="22"/>
              </w:rPr>
            </w:pPr>
            <w:r w:rsidRPr="00461159">
              <w:rPr>
                <w:b/>
                <w:spacing w:val="-2"/>
                <w:szCs w:val="22"/>
              </w:rPr>
              <w:t>)</w:t>
            </w:r>
          </w:p>
          <w:p w:rsidR="00B127CF">
            <w:pPr>
              <w:tabs>
                <w:tab w:val="center" w:pos="4680"/>
              </w:tabs>
              <w:suppressAutoHyphens/>
              <w:rPr>
                <w:b/>
                <w:spacing w:val="-2"/>
                <w:szCs w:val="22"/>
              </w:rPr>
            </w:pPr>
            <w:r w:rsidRPr="00461159">
              <w:rPr>
                <w:b/>
                <w:spacing w:val="-2"/>
                <w:szCs w:val="22"/>
              </w:rPr>
              <w:t>)</w:t>
            </w:r>
          </w:p>
          <w:p w:rsidR="00B127CF">
            <w:pPr>
              <w:tabs>
                <w:tab w:val="center" w:pos="4680"/>
              </w:tabs>
              <w:suppressAutoHyphens/>
              <w:rPr>
                <w:b/>
                <w:spacing w:val="-2"/>
                <w:szCs w:val="22"/>
              </w:rPr>
            </w:pPr>
            <w:r>
              <w:rPr>
                <w:b/>
                <w:spacing w:val="-2"/>
                <w:szCs w:val="22"/>
              </w:rPr>
              <w:t>)</w:t>
            </w:r>
          </w:p>
          <w:p w:rsidR="00B127CF">
            <w:pPr>
              <w:tabs>
                <w:tab w:val="center" w:pos="4680"/>
              </w:tabs>
              <w:suppressAutoHyphens/>
              <w:rPr>
                <w:b/>
                <w:spacing w:val="-2"/>
                <w:szCs w:val="22"/>
              </w:rPr>
            </w:pPr>
            <w:r>
              <w:rPr>
                <w:b/>
                <w:spacing w:val="-2"/>
                <w:szCs w:val="22"/>
              </w:rPr>
              <w:t>)</w:t>
            </w:r>
          </w:p>
          <w:p w:rsidR="00B127CF">
            <w:pPr>
              <w:tabs>
                <w:tab w:val="center" w:pos="4680"/>
              </w:tabs>
              <w:suppressAutoHyphens/>
              <w:rPr>
                <w:b/>
                <w:spacing w:val="-2"/>
                <w:szCs w:val="22"/>
              </w:rPr>
            </w:pPr>
            <w:r>
              <w:rPr>
                <w:b/>
                <w:spacing w:val="-2"/>
                <w:szCs w:val="22"/>
              </w:rPr>
              <w:t>)</w:t>
            </w:r>
          </w:p>
          <w:p w:rsidR="00B127CF" w:rsidRPr="002F7A84">
            <w:pPr>
              <w:tabs>
                <w:tab w:val="center" w:pos="4680"/>
              </w:tabs>
              <w:suppressAutoHyphens/>
              <w:rPr>
                <w:spacing w:val="-2"/>
                <w:szCs w:val="22"/>
              </w:rPr>
            </w:pPr>
          </w:p>
        </w:tc>
        <w:tc>
          <w:tcPr>
            <w:tcW w:w="4248" w:type="dxa"/>
          </w:tcPr>
          <w:p w:rsidR="004C2EE3" w:rsidRPr="00461159">
            <w:pPr>
              <w:tabs>
                <w:tab w:val="center" w:pos="4680"/>
              </w:tabs>
              <w:suppressAutoHyphens/>
              <w:rPr>
                <w:spacing w:val="-2"/>
                <w:szCs w:val="22"/>
              </w:rPr>
            </w:pPr>
          </w:p>
          <w:p w:rsidR="004C2EE3" w:rsidRPr="00461159">
            <w:pPr>
              <w:pStyle w:val="TOAHeading"/>
              <w:tabs>
                <w:tab w:val="center" w:pos="4680"/>
                <w:tab w:val="clear" w:pos="9360"/>
              </w:tabs>
              <w:rPr>
                <w:spacing w:val="-2"/>
                <w:szCs w:val="22"/>
              </w:rPr>
            </w:pPr>
          </w:p>
          <w:p w:rsidR="004C2EE3" w:rsidRPr="00461159">
            <w:pPr>
              <w:tabs>
                <w:tab w:val="center" w:pos="4680"/>
              </w:tabs>
              <w:suppressAutoHyphens/>
              <w:rPr>
                <w:spacing w:val="-2"/>
                <w:szCs w:val="22"/>
              </w:rPr>
            </w:pPr>
            <w:r w:rsidRPr="00461159">
              <w:rPr>
                <w:spacing w:val="-2"/>
                <w:szCs w:val="22"/>
              </w:rPr>
              <w:t>CG Docket No. 02-278</w:t>
            </w:r>
          </w:p>
        </w:tc>
      </w:tr>
    </w:tbl>
    <w:p w:rsidR="00067D53" w:rsidRPr="00461159" w:rsidP="0070224F">
      <w:pPr>
        <w:rPr>
          <w:szCs w:val="22"/>
        </w:rPr>
      </w:pPr>
    </w:p>
    <w:p w:rsidR="00841AB1" w:rsidRPr="00461159" w:rsidP="00F021FA">
      <w:pPr>
        <w:pStyle w:val="StyleBoldCentered"/>
        <w:rPr>
          <w:rFonts w:ascii="Times New Roman" w:hAnsi="Times New Roman"/>
        </w:rPr>
      </w:pPr>
      <w:r w:rsidRPr="00461159">
        <w:rPr>
          <w:rFonts w:ascii="Times New Roman" w:hAnsi="Times New Roman"/>
        </w:rPr>
        <w:t>Order on reconsideration</w:t>
      </w:r>
    </w:p>
    <w:p w:rsidR="004C2EE3" w:rsidRPr="00461159">
      <w:pPr>
        <w:tabs>
          <w:tab w:val="left" w:pos="-720"/>
        </w:tabs>
        <w:suppressAutoHyphens/>
        <w:spacing w:line="227" w:lineRule="auto"/>
        <w:rPr>
          <w:spacing w:val="-2"/>
          <w:szCs w:val="22"/>
        </w:rPr>
      </w:pPr>
    </w:p>
    <w:p w:rsidR="004C2EE3" w:rsidRPr="00461159" w:rsidP="00133F79">
      <w:pPr>
        <w:tabs>
          <w:tab w:val="left" w:pos="720"/>
          <w:tab w:val="right" w:pos="9360"/>
        </w:tabs>
        <w:suppressAutoHyphens/>
        <w:spacing w:line="227" w:lineRule="auto"/>
        <w:rPr>
          <w:spacing w:val="-2"/>
          <w:szCs w:val="22"/>
        </w:rPr>
      </w:pPr>
      <w:r w:rsidRPr="00461159">
        <w:rPr>
          <w:b/>
          <w:spacing w:val="-2"/>
          <w:szCs w:val="22"/>
        </w:rPr>
        <w:t>Adopted:</w:t>
      </w:r>
      <w:r w:rsidR="004927D8">
        <w:rPr>
          <w:b/>
          <w:spacing w:val="-2"/>
          <w:szCs w:val="22"/>
        </w:rPr>
        <w:t xml:space="preserve">  August 27, 2020</w:t>
      </w:r>
      <w:r w:rsidR="004927D8">
        <w:rPr>
          <w:b/>
          <w:spacing w:val="-2"/>
          <w:szCs w:val="22"/>
        </w:rPr>
        <w:tab/>
      </w:r>
      <w:bookmarkStart w:id="0" w:name="_GoBack"/>
      <w:bookmarkEnd w:id="0"/>
      <w:r w:rsidRPr="00461159" w:rsidR="00822CE0">
        <w:rPr>
          <w:b/>
          <w:spacing w:val="-2"/>
          <w:szCs w:val="22"/>
        </w:rPr>
        <w:t>Released</w:t>
      </w:r>
      <w:r w:rsidRPr="00461159">
        <w:rPr>
          <w:b/>
          <w:spacing w:val="-2"/>
          <w:szCs w:val="22"/>
        </w:rPr>
        <w:t>:</w:t>
      </w:r>
      <w:r w:rsidRPr="00461159" w:rsidR="00822CE0">
        <w:rPr>
          <w:b/>
          <w:spacing w:val="-2"/>
          <w:szCs w:val="22"/>
        </w:rPr>
        <w:t xml:space="preserve"> </w:t>
      </w:r>
      <w:r w:rsidRPr="00461159">
        <w:rPr>
          <w:b/>
          <w:spacing w:val="-2"/>
          <w:szCs w:val="22"/>
        </w:rPr>
        <w:t xml:space="preserve"> </w:t>
      </w:r>
      <w:r w:rsidR="004927D8">
        <w:rPr>
          <w:b/>
          <w:spacing w:val="-2"/>
          <w:szCs w:val="22"/>
        </w:rPr>
        <w:t>August 28, 2020</w:t>
      </w:r>
    </w:p>
    <w:p w:rsidR="00822CE0" w:rsidRPr="00461159">
      <w:pPr>
        <w:rPr>
          <w:szCs w:val="22"/>
        </w:rPr>
      </w:pPr>
    </w:p>
    <w:p w:rsidR="004C2EE3" w:rsidRPr="00461159">
      <w:pPr>
        <w:rPr>
          <w:spacing w:val="-2"/>
          <w:szCs w:val="22"/>
        </w:rPr>
      </w:pPr>
      <w:r w:rsidRPr="00461159">
        <w:rPr>
          <w:szCs w:val="22"/>
        </w:rPr>
        <w:t xml:space="preserve">By </w:t>
      </w:r>
      <w:r w:rsidRPr="00461159" w:rsidR="004E4A22">
        <w:rPr>
          <w:szCs w:val="22"/>
        </w:rPr>
        <w:t>the</w:t>
      </w:r>
      <w:r w:rsidRPr="00461159" w:rsidR="00622A0E">
        <w:rPr>
          <w:spacing w:val="-2"/>
          <w:szCs w:val="22"/>
        </w:rPr>
        <w:t xml:space="preserve"> Chief, Consumer and Governmental Affairs Bureau</w:t>
      </w:r>
      <w:r w:rsidRPr="00461159">
        <w:rPr>
          <w:spacing w:val="-2"/>
          <w:szCs w:val="22"/>
        </w:rPr>
        <w:t>:</w:t>
      </w:r>
    </w:p>
    <w:p w:rsidR="00822CE0" w:rsidRPr="00461159">
      <w:pPr>
        <w:rPr>
          <w:spacing w:val="-2"/>
          <w:szCs w:val="22"/>
        </w:rPr>
      </w:pPr>
    </w:p>
    <w:p w:rsidR="00412FC5" w:rsidRPr="00461159" w:rsidP="00C36B4C">
      <w:pPr>
        <w:pStyle w:val="Heading1"/>
        <w:rPr>
          <w:rFonts w:ascii="Times New Roman" w:hAnsi="Times New Roman"/>
          <w:szCs w:val="22"/>
        </w:rPr>
      </w:pPr>
      <w:r w:rsidRPr="00461159">
        <w:rPr>
          <w:rFonts w:ascii="Times New Roman" w:hAnsi="Times New Roman"/>
          <w:szCs w:val="22"/>
        </w:rPr>
        <w:t>introduction</w:t>
      </w:r>
    </w:p>
    <w:p w:rsidR="000D0799" w:rsidRPr="0078515D" w:rsidP="003E41A0">
      <w:pPr>
        <w:pStyle w:val="ParaNum"/>
        <w:rPr>
          <w:kern w:val="0"/>
          <w:sz w:val="24"/>
        </w:rPr>
      </w:pPr>
      <w:r w:rsidRPr="00461159">
        <w:t xml:space="preserve">In the </w:t>
      </w:r>
      <w:r w:rsidRPr="00461159">
        <w:rPr>
          <w:i/>
          <w:iCs/>
        </w:rPr>
        <w:t>2019</w:t>
      </w:r>
      <w:r w:rsidRPr="00594B35">
        <w:rPr>
          <w:i/>
          <w:iCs/>
        </w:rPr>
        <w:t xml:space="preserve"> TCPA</w:t>
      </w:r>
      <w:r>
        <w:t xml:space="preserve"> </w:t>
      </w:r>
      <w:r w:rsidRPr="00461159">
        <w:rPr>
          <w:i/>
          <w:iCs/>
        </w:rPr>
        <w:t>Waiver Order</w:t>
      </w:r>
      <w:r w:rsidRPr="00461159">
        <w:t xml:space="preserve">, </w:t>
      </w:r>
      <w:r>
        <w:t xml:space="preserve">the </w:t>
      </w:r>
      <w:r w:rsidR="00927344">
        <w:t xml:space="preserve">Consumer and Governmental Affairs </w:t>
      </w:r>
      <w:r>
        <w:t>Bureau</w:t>
      </w:r>
      <w:r w:rsidRPr="00461159">
        <w:t xml:space="preserve"> </w:t>
      </w:r>
      <w:r w:rsidR="00B12D4E">
        <w:t xml:space="preserve">(Bureau) </w:t>
      </w:r>
      <w:r w:rsidRPr="00461159">
        <w:t xml:space="preserve">found good cause to grant </w:t>
      </w:r>
      <w:r w:rsidR="007D18A1">
        <w:t xml:space="preserve">limited </w:t>
      </w:r>
      <w:r w:rsidRPr="00461159">
        <w:t xml:space="preserve">retroactive waivers of </w:t>
      </w:r>
      <w:r w:rsidR="00F87813">
        <w:t xml:space="preserve">the </w:t>
      </w:r>
      <w:r w:rsidR="00F027E8">
        <w:t xml:space="preserve">2012 </w:t>
      </w:r>
      <w:r w:rsidR="00927344">
        <w:t>prior</w:t>
      </w:r>
      <w:r w:rsidR="00F87813">
        <w:t>-</w:t>
      </w:r>
      <w:r w:rsidR="00927344">
        <w:t>express</w:t>
      </w:r>
      <w:r w:rsidR="00F87813">
        <w:t>-</w:t>
      </w:r>
      <w:r w:rsidR="00927344">
        <w:t>written</w:t>
      </w:r>
      <w:r w:rsidR="00F87813">
        <w:t>-</w:t>
      </w:r>
      <w:r w:rsidR="00927344">
        <w:t xml:space="preserve">consent requirements </w:t>
      </w:r>
      <w:r w:rsidRPr="00461159">
        <w:t>to</w:t>
      </w:r>
      <w:r w:rsidR="00995EE5">
        <w:t xml:space="preserve"> two petitioners, </w:t>
      </w:r>
      <w:r w:rsidR="00F027E8">
        <w:t>bebe</w:t>
      </w:r>
      <w:r w:rsidR="00F027E8">
        <w:t xml:space="preserve"> stores, </w:t>
      </w:r>
      <w:r w:rsidR="00F027E8">
        <w:t>inc.</w:t>
      </w:r>
      <w:r w:rsidR="00F027E8">
        <w:t xml:space="preserve"> and </w:t>
      </w:r>
      <w:r w:rsidR="00F027E8">
        <w:t>ViSalus</w:t>
      </w:r>
      <w:r w:rsidR="00F027E8">
        <w:t>, Inc.</w:t>
      </w:r>
      <w:r w:rsidR="00CA325E">
        <w:t>,</w:t>
      </w:r>
      <w:r w:rsidR="00F027E8">
        <w:t xml:space="preserve"> </w:t>
      </w:r>
      <w:r w:rsidRPr="00461159">
        <w:t xml:space="preserve">for calls </w:t>
      </w:r>
      <w:r w:rsidR="00927344">
        <w:t xml:space="preserve">they </w:t>
      </w:r>
      <w:r w:rsidRPr="00461159">
        <w:t>made on or before October 7, 2015</w:t>
      </w:r>
      <w:r w:rsidR="003E41A0">
        <w:t>.</w:t>
      </w:r>
      <w:r>
        <w:rPr>
          <w:rStyle w:val="FootnoteReference"/>
          <w:szCs w:val="22"/>
        </w:rPr>
        <w:footnoteReference w:id="3"/>
      </w:r>
      <w:r w:rsidRPr="0078515D" w:rsidR="00B12D4E">
        <w:rPr>
          <w:kern w:val="0"/>
          <w:sz w:val="24"/>
        </w:rPr>
        <w:t xml:space="preserve"> </w:t>
      </w:r>
      <w:r w:rsidRPr="0078515D" w:rsidR="003E41A0">
        <w:rPr>
          <w:kern w:val="0"/>
          <w:sz w:val="24"/>
        </w:rPr>
        <w:t xml:space="preserve"> </w:t>
      </w:r>
      <w:r w:rsidRPr="003E41A0" w:rsidR="00927344">
        <w:rPr>
          <w:szCs w:val="22"/>
        </w:rPr>
        <w:t xml:space="preserve">The Bureau found </w:t>
      </w:r>
      <w:r w:rsidRPr="003E41A0">
        <w:rPr>
          <w:szCs w:val="22"/>
        </w:rPr>
        <w:t xml:space="preserve">those petitioners had demonstrated that they were similarly situated to petitioners who </w:t>
      </w:r>
      <w:r w:rsidRPr="003E41A0" w:rsidR="00455852">
        <w:rPr>
          <w:szCs w:val="22"/>
        </w:rPr>
        <w:t>had been</w:t>
      </w:r>
      <w:r w:rsidRPr="003E41A0">
        <w:rPr>
          <w:szCs w:val="22"/>
        </w:rPr>
        <w:t xml:space="preserve"> granted </w:t>
      </w:r>
      <w:r w:rsidRPr="003E41A0" w:rsidR="00455852">
        <w:rPr>
          <w:szCs w:val="22"/>
        </w:rPr>
        <w:t xml:space="preserve">the same </w:t>
      </w:r>
      <w:r w:rsidRPr="003E41A0">
        <w:rPr>
          <w:szCs w:val="22"/>
        </w:rPr>
        <w:t xml:space="preserve">relief in </w:t>
      </w:r>
      <w:r w:rsidR="00F87813">
        <w:rPr>
          <w:szCs w:val="22"/>
        </w:rPr>
        <w:t>a</w:t>
      </w:r>
      <w:r w:rsidRPr="003E41A0" w:rsidR="00F87813">
        <w:rPr>
          <w:szCs w:val="22"/>
        </w:rPr>
        <w:t xml:space="preserve"> </w:t>
      </w:r>
      <w:r w:rsidRPr="003E41A0">
        <w:rPr>
          <w:i/>
          <w:iCs/>
          <w:szCs w:val="22"/>
        </w:rPr>
        <w:t>2015 TCPA Declaratory Ruling</w:t>
      </w:r>
      <w:r w:rsidRPr="003E41A0">
        <w:rPr>
          <w:szCs w:val="22"/>
        </w:rPr>
        <w:t>.</w:t>
      </w:r>
      <w:r>
        <w:rPr>
          <w:rStyle w:val="FootnoteReference"/>
          <w:sz w:val="22"/>
          <w:szCs w:val="22"/>
        </w:rPr>
        <w:footnoteReference w:id="4"/>
      </w:r>
      <w:r w:rsidRPr="003E41A0">
        <w:rPr>
          <w:szCs w:val="22"/>
        </w:rPr>
        <w:t xml:space="preserve">  The waivers applied </w:t>
      </w:r>
      <w:r w:rsidR="007720D6">
        <w:rPr>
          <w:szCs w:val="22"/>
        </w:rPr>
        <w:t xml:space="preserve">only </w:t>
      </w:r>
      <w:r w:rsidRPr="003E41A0">
        <w:rPr>
          <w:szCs w:val="22"/>
        </w:rPr>
        <w:t xml:space="preserve">to calls for which petitioners had “some form of </w:t>
      </w:r>
      <w:r w:rsidRPr="003E41A0">
        <w:rPr>
          <w:i/>
          <w:iCs/>
          <w:szCs w:val="22"/>
        </w:rPr>
        <w:t>written</w:t>
      </w:r>
      <w:r w:rsidRPr="003E41A0">
        <w:rPr>
          <w:szCs w:val="22"/>
        </w:rPr>
        <w:t xml:space="preserve"> consent previously obtained prior to the 2012 rule changes.”</w:t>
      </w:r>
      <w:r>
        <w:rPr>
          <w:rStyle w:val="FootnoteReference"/>
          <w:sz w:val="22"/>
          <w:szCs w:val="22"/>
        </w:rPr>
        <w:footnoteReference w:id="5"/>
      </w:r>
    </w:p>
    <w:p w:rsidR="00B637BC" w:rsidP="0046095F">
      <w:pPr>
        <w:pStyle w:val="ParaNum"/>
        <w:rPr>
          <w:szCs w:val="22"/>
        </w:rPr>
      </w:pPr>
      <w:r>
        <w:rPr>
          <w:szCs w:val="22"/>
        </w:rPr>
        <w:t xml:space="preserve">On July 15, 2019, </w:t>
      </w:r>
      <w:r w:rsidR="00D3069E">
        <w:rPr>
          <w:szCs w:val="22"/>
        </w:rPr>
        <w:t xml:space="preserve">Lori Wakefield </w:t>
      </w:r>
      <w:r w:rsidR="00F027E8">
        <w:rPr>
          <w:szCs w:val="22"/>
        </w:rPr>
        <w:t xml:space="preserve">sought </w:t>
      </w:r>
      <w:r w:rsidRPr="00461159" w:rsidR="00D3069E">
        <w:rPr>
          <w:szCs w:val="22"/>
        </w:rPr>
        <w:t>reconsider</w:t>
      </w:r>
      <w:r w:rsidR="00D3069E">
        <w:rPr>
          <w:szCs w:val="22"/>
        </w:rPr>
        <w:t>ation of</w:t>
      </w:r>
      <w:r w:rsidRPr="00461159" w:rsidR="00D3069E">
        <w:rPr>
          <w:szCs w:val="22"/>
        </w:rPr>
        <w:t xml:space="preserve"> </w:t>
      </w:r>
      <w:r>
        <w:rPr>
          <w:szCs w:val="22"/>
        </w:rPr>
        <w:t>the</w:t>
      </w:r>
      <w:r w:rsidR="00A46FD9">
        <w:rPr>
          <w:szCs w:val="22"/>
        </w:rPr>
        <w:t xml:space="preserve"> </w:t>
      </w:r>
      <w:r w:rsidRPr="00D218BB">
        <w:rPr>
          <w:i/>
          <w:iCs/>
          <w:szCs w:val="22"/>
        </w:rPr>
        <w:t>2019 TCPA Waiver Order</w:t>
      </w:r>
      <w:r w:rsidR="00FE780B">
        <w:rPr>
          <w:szCs w:val="22"/>
        </w:rPr>
        <w:t>.</w:t>
      </w:r>
      <w:r>
        <w:rPr>
          <w:rStyle w:val="FootnoteReference"/>
          <w:szCs w:val="22"/>
        </w:rPr>
        <w:footnoteReference w:id="6"/>
      </w:r>
      <w:r w:rsidR="00FE780B">
        <w:rPr>
          <w:szCs w:val="22"/>
        </w:rPr>
        <w:t xml:space="preserve"> </w:t>
      </w:r>
      <w:r w:rsidR="0013378B">
        <w:rPr>
          <w:szCs w:val="22"/>
        </w:rPr>
        <w:t xml:space="preserve"> Wakefield</w:t>
      </w:r>
      <w:r w:rsidR="00D74039">
        <w:rPr>
          <w:szCs w:val="22"/>
        </w:rPr>
        <w:t>, who</w:t>
      </w:r>
      <w:r w:rsidR="0013378B">
        <w:rPr>
          <w:szCs w:val="22"/>
        </w:rPr>
        <w:t xml:space="preserve"> did not participate in the </w:t>
      </w:r>
      <w:r w:rsidR="00452805">
        <w:rPr>
          <w:szCs w:val="22"/>
        </w:rPr>
        <w:t xml:space="preserve">original </w:t>
      </w:r>
      <w:r w:rsidR="0013378B">
        <w:rPr>
          <w:szCs w:val="22"/>
        </w:rPr>
        <w:t>proceeding</w:t>
      </w:r>
      <w:r w:rsidR="00D74039">
        <w:rPr>
          <w:szCs w:val="22"/>
        </w:rPr>
        <w:t>,</w:t>
      </w:r>
      <w:r w:rsidR="0013378B">
        <w:rPr>
          <w:szCs w:val="22"/>
        </w:rPr>
        <w:t xml:space="preserve"> </w:t>
      </w:r>
      <w:r w:rsidR="006D0824">
        <w:rPr>
          <w:szCs w:val="22"/>
        </w:rPr>
        <w:t>contends</w:t>
      </w:r>
      <w:r w:rsidR="0013378B">
        <w:rPr>
          <w:szCs w:val="22"/>
        </w:rPr>
        <w:t xml:space="preserve"> </w:t>
      </w:r>
      <w:r w:rsidR="000B5D59">
        <w:rPr>
          <w:szCs w:val="22"/>
        </w:rPr>
        <w:t>that she</w:t>
      </w:r>
      <w:r w:rsidR="00ED7BD3">
        <w:rPr>
          <w:szCs w:val="22"/>
        </w:rPr>
        <w:t xml:space="preserve"> </w:t>
      </w:r>
      <w:r w:rsidR="0013378B">
        <w:rPr>
          <w:szCs w:val="22"/>
        </w:rPr>
        <w:t>was adversely affected by the waiver</w:t>
      </w:r>
      <w:r w:rsidR="006D0824">
        <w:rPr>
          <w:szCs w:val="22"/>
        </w:rPr>
        <w:t xml:space="preserve"> because </w:t>
      </w:r>
      <w:r w:rsidR="006D0824">
        <w:rPr>
          <w:szCs w:val="22"/>
        </w:rPr>
        <w:t>ViSalus</w:t>
      </w:r>
      <w:r w:rsidR="006D0824">
        <w:rPr>
          <w:szCs w:val="22"/>
        </w:rPr>
        <w:t xml:space="preserve"> argued in their civil action that the </w:t>
      </w:r>
      <w:r w:rsidRPr="00D218BB" w:rsidR="006D0824">
        <w:rPr>
          <w:i/>
          <w:iCs/>
          <w:szCs w:val="22"/>
        </w:rPr>
        <w:t>2019 TCPA Waiver Order</w:t>
      </w:r>
      <w:r w:rsidR="006D0824">
        <w:rPr>
          <w:szCs w:val="22"/>
        </w:rPr>
        <w:t xml:space="preserve"> was “a bar to certain forms of relief</w:t>
      </w:r>
      <w:r w:rsidR="0013378B">
        <w:rPr>
          <w:szCs w:val="22"/>
        </w:rPr>
        <w:t>.</w:t>
      </w:r>
      <w:r w:rsidR="006D0824">
        <w:rPr>
          <w:szCs w:val="22"/>
        </w:rPr>
        <w:t>”</w:t>
      </w:r>
    </w:p>
    <w:p w:rsidR="0097225C" w:rsidP="00C6725C">
      <w:pPr>
        <w:pStyle w:val="ParaNum"/>
      </w:pPr>
      <w:r w:rsidRPr="00B1742F">
        <w:t xml:space="preserve">With this </w:t>
      </w:r>
      <w:r w:rsidRPr="00B1742F" w:rsidR="00452805">
        <w:t>O</w:t>
      </w:r>
      <w:r w:rsidRPr="00B1742F">
        <w:t xml:space="preserve">rder, </w:t>
      </w:r>
      <w:r w:rsidRPr="00B1742F" w:rsidR="00853AD9">
        <w:t xml:space="preserve">we </w:t>
      </w:r>
      <w:r w:rsidRPr="00B1742F">
        <w:t xml:space="preserve">deny the </w:t>
      </w:r>
      <w:r w:rsidRPr="00900069" w:rsidR="00D74039">
        <w:t xml:space="preserve">Petition </w:t>
      </w:r>
      <w:r w:rsidRPr="00900069">
        <w:t xml:space="preserve">based on Wakefield’s </w:t>
      </w:r>
      <w:r w:rsidRPr="00900069" w:rsidR="003D070E">
        <w:t xml:space="preserve">lack of standing under </w:t>
      </w:r>
      <w:r w:rsidRPr="00900069" w:rsidR="00553279">
        <w:t>s</w:t>
      </w:r>
      <w:r w:rsidRPr="00900069" w:rsidR="003D070E">
        <w:t xml:space="preserve">ection 1.106(b)(1) of the Commission’s rules, </w:t>
      </w:r>
      <w:r w:rsidR="003D070E">
        <w:t>which provides that a petition for reconsideration may be filed only by a “party to the proceeding, or any other person whose interests are adversely affected by any action taken by the Commission.”</w:t>
      </w:r>
      <w:r>
        <w:rPr>
          <w:rStyle w:val="FootnoteReference"/>
        </w:rPr>
        <w:footnoteReference w:id="7"/>
      </w:r>
      <w:r w:rsidR="003D070E">
        <w:t xml:space="preserve">  Wakefield was not a party to the proceeding and has not demonstrated </w:t>
      </w:r>
      <w:r w:rsidR="003D070E">
        <w:t xml:space="preserve">that her interests are adversely affected by the waiver grant.  </w:t>
      </w:r>
      <w:r w:rsidRPr="00B1742F" w:rsidR="003D070E">
        <w:t>W</w:t>
      </w:r>
      <w:r w:rsidRPr="00B1742F">
        <w:t xml:space="preserve">e emphasize the importance of Commission procedural rules that encourage parties to participate in proceedings that affect </w:t>
      </w:r>
      <w:r w:rsidRPr="00900069" w:rsidR="00861556">
        <w:t>them,</w:t>
      </w:r>
      <w:r w:rsidRPr="00900069">
        <w:t xml:space="preserve"> and</w:t>
      </w:r>
      <w:r w:rsidRPr="00900069" w:rsidR="00CA325E">
        <w:t xml:space="preserve"> </w:t>
      </w:r>
      <w:r w:rsidRPr="00900069" w:rsidR="003D070E">
        <w:t xml:space="preserve">we </w:t>
      </w:r>
      <w:r w:rsidRPr="00900069" w:rsidR="00CA325E">
        <w:t>reiterate that</w:t>
      </w:r>
      <w:r w:rsidRPr="00900069">
        <w:t xml:space="preserve">, when they do not, we only address subsequent appeals when </w:t>
      </w:r>
      <w:r w:rsidRPr="00900069" w:rsidR="003D070E">
        <w:t xml:space="preserve">the petitioner demonstrates that it suffered </w:t>
      </w:r>
      <w:r w:rsidRPr="00A41E21">
        <w:t xml:space="preserve">a specific harm </w:t>
      </w:r>
      <w:r w:rsidRPr="00A41E21" w:rsidR="003D070E">
        <w:t>as a result of the Commission’s action</w:t>
      </w:r>
      <w:r w:rsidRPr="00A41E21">
        <w:t xml:space="preserve">.  </w:t>
      </w:r>
    </w:p>
    <w:p w:rsidR="00C52657" w:rsidRPr="00B1742F" w:rsidP="0097225C">
      <w:pPr>
        <w:pStyle w:val="Heading1"/>
      </w:pPr>
      <w:r w:rsidRPr="00B1742F">
        <w:t>background</w:t>
      </w:r>
    </w:p>
    <w:p w:rsidR="002573F8" w:rsidP="00FE0797">
      <w:pPr>
        <w:pStyle w:val="ParaNum"/>
        <w:rPr>
          <w:szCs w:val="22"/>
        </w:rPr>
      </w:pPr>
      <w:r>
        <w:t xml:space="preserve">In 1991, Congress enacted the Telephone Consumer Protection Act (TCPA) to address telephone marketing calls and other calling practices that can be an invasion of consumer privacy.  </w:t>
      </w:r>
      <w:r w:rsidR="00E97B79">
        <w:t>T</w:t>
      </w:r>
      <w:r>
        <w:t xml:space="preserve">he Commission’s </w:t>
      </w:r>
      <w:r w:rsidR="00E97B79">
        <w:t xml:space="preserve">implementing </w:t>
      </w:r>
      <w:r>
        <w:t xml:space="preserve">rules, in relevant part, prohibited: (1) making telemarketing calls using an artificial or prerecorded voice to </w:t>
      </w:r>
      <w:r w:rsidRPr="009D27D1">
        <w:rPr>
          <w:i/>
        </w:rPr>
        <w:t>residential</w:t>
      </w:r>
      <w:r w:rsidRPr="002C4B55">
        <w:rPr>
          <w:i/>
        </w:rPr>
        <w:t xml:space="preserve"> </w:t>
      </w:r>
      <w:r w:rsidRPr="009D27D1">
        <w:rPr>
          <w:i/>
        </w:rPr>
        <w:t>telephones</w:t>
      </w:r>
      <w:r>
        <w:t xml:space="preserve"> without prior express consent;</w:t>
      </w:r>
      <w:r>
        <w:rPr>
          <w:rStyle w:val="FootnoteReference"/>
        </w:rPr>
        <w:footnoteReference w:id="8"/>
      </w:r>
      <w:r>
        <w:t xml:space="preserve"> and (2) making any non-emergency call using an automatic telephone dialing system (autodialer) or an artificial or prerecorded voice to a </w:t>
      </w:r>
      <w:r w:rsidRPr="009D27D1">
        <w:rPr>
          <w:i/>
        </w:rPr>
        <w:t>wireless telephone number</w:t>
      </w:r>
      <w:r>
        <w:t xml:space="preserve"> without prior express consent.</w:t>
      </w:r>
      <w:r>
        <w:rPr>
          <w:rStyle w:val="FootnoteReference"/>
        </w:rPr>
        <w:footnoteReference w:id="9"/>
      </w:r>
      <w:r>
        <w:t xml:space="preserve">  </w:t>
      </w:r>
      <w:r w:rsidR="00E97B79">
        <w:t xml:space="preserve">Prior to 2012, </w:t>
      </w:r>
      <w:r w:rsidR="003D070E">
        <w:t xml:space="preserve">the Commission’s rules stated that </w:t>
      </w:r>
      <w:r w:rsidR="00E97B79">
        <w:t>t</w:t>
      </w:r>
      <w:r>
        <w:t>he consent could be provided in either oral or written form.</w:t>
      </w:r>
      <w:r>
        <w:rPr>
          <w:rStyle w:val="FootnoteReference"/>
        </w:rPr>
        <w:footnoteReference w:id="10"/>
      </w:r>
      <w:r w:rsidR="002C4B55">
        <w:t xml:space="preserve">  </w:t>
      </w:r>
    </w:p>
    <w:p w:rsidR="00C52657" w:rsidRPr="00461159" w:rsidP="00FE0797">
      <w:pPr>
        <w:pStyle w:val="ParaNum"/>
      </w:pPr>
      <w:r>
        <w:t>T</w:t>
      </w:r>
      <w:r w:rsidRPr="00461159" w:rsidR="008E62E2">
        <w:t xml:space="preserve">he </w:t>
      </w:r>
      <w:r w:rsidR="002573F8">
        <w:t xml:space="preserve">Commission </w:t>
      </w:r>
      <w:r w:rsidR="008478D4">
        <w:t xml:space="preserve">modified its rules </w:t>
      </w:r>
      <w:r>
        <w:t xml:space="preserve">in 2012 </w:t>
      </w:r>
      <w:r w:rsidR="008478D4">
        <w:t xml:space="preserve">to require </w:t>
      </w:r>
      <w:r w:rsidR="00847B77">
        <w:t xml:space="preserve">prior express </w:t>
      </w:r>
      <w:r w:rsidRPr="00847B77" w:rsidR="00847B77">
        <w:rPr>
          <w:i/>
          <w:iCs/>
        </w:rPr>
        <w:t>written</w:t>
      </w:r>
      <w:r w:rsidR="00847B77">
        <w:t xml:space="preserve"> consent for all telephone calls using an automatic telephone dialing system or a prerecorded voice to deliver a telemarketing message to wireless numbers and residential lines</w:t>
      </w:r>
      <w:r w:rsidR="002C4B55">
        <w:rPr>
          <w:iCs/>
        </w:rPr>
        <w:t>; oral consent would no longer satisfy the rule.</w:t>
      </w:r>
      <w:r>
        <w:rPr>
          <w:rStyle w:val="FootnoteReference"/>
          <w:sz w:val="22"/>
          <w:szCs w:val="22"/>
        </w:rPr>
        <w:footnoteReference w:id="11"/>
      </w:r>
      <w:r w:rsidRPr="00461159" w:rsidR="00F91E68">
        <w:t xml:space="preserve">  </w:t>
      </w:r>
      <w:r w:rsidR="000752B4">
        <w:t xml:space="preserve">The Commission </w:t>
      </w:r>
      <w:r w:rsidR="007045F3">
        <w:t xml:space="preserve">defined </w:t>
      </w:r>
      <w:r w:rsidR="002C4B55">
        <w:t>“</w:t>
      </w:r>
      <w:r w:rsidR="007045F3">
        <w:t xml:space="preserve">prior express written consent” </w:t>
      </w:r>
      <w:r w:rsidR="002C4B55">
        <w:t xml:space="preserve">as consent </w:t>
      </w:r>
      <w:r w:rsidR="00263F44">
        <w:t xml:space="preserve">that (a) </w:t>
      </w:r>
      <w:r w:rsidRPr="00461159" w:rsidR="00F91E68">
        <w:t>includ</w:t>
      </w:r>
      <w:r w:rsidR="00263F44">
        <w:t>es</w:t>
      </w:r>
      <w:r w:rsidRPr="00461159" w:rsidR="00F91E68">
        <w:t xml:space="preserve"> </w:t>
      </w:r>
      <w:r w:rsidR="007045F3">
        <w:t xml:space="preserve">the signature of the </w:t>
      </w:r>
      <w:r w:rsidR="00263F44">
        <w:t xml:space="preserve">consenter </w:t>
      </w:r>
      <w:r w:rsidR="007045F3">
        <w:t>and the</w:t>
      </w:r>
      <w:r w:rsidR="00263F44">
        <w:t>ir</w:t>
      </w:r>
      <w:r w:rsidR="007045F3">
        <w:t xml:space="preserve"> telephone number</w:t>
      </w:r>
      <w:r w:rsidR="00263F44">
        <w:t xml:space="preserve">; (b) is </w:t>
      </w:r>
      <w:r w:rsidR="002C4B55">
        <w:t xml:space="preserve">obtained </w:t>
      </w:r>
      <w:r w:rsidR="00263F44">
        <w:t xml:space="preserve">only </w:t>
      </w:r>
      <w:r w:rsidR="002C4B55">
        <w:t xml:space="preserve">after the caller informs the consenter </w:t>
      </w:r>
      <w:r w:rsidRPr="00461159" w:rsidR="00F91E68">
        <w:t>clear</w:t>
      </w:r>
      <w:r w:rsidR="002C4B55">
        <w:t>ly</w:t>
      </w:r>
      <w:r w:rsidRPr="00461159" w:rsidR="00F91E68">
        <w:t xml:space="preserve"> and conspicuous</w:t>
      </w:r>
      <w:r w:rsidR="002C4B55">
        <w:t xml:space="preserve">ly </w:t>
      </w:r>
      <w:r w:rsidR="007045F3">
        <w:t>that</w:t>
      </w:r>
      <w:r w:rsidR="00263F44">
        <w:t xml:space="preserve"> </w:t>
      </w:r>
      <w:r w:rsidR="002C4B55">
        <w:t xml:space="preserve">the caller </w:t>
      </w:r>
      <w:r w:rsidR="00263F44">
        <w:t xml:space="preserve">will use </w:t>
      </w:r>
      <w:r w:rsidR="007045F3">
        <w:t xml:space="preserve">an </w:t>
      </w:r>
      <w:r w:rsidRPr="00461159" w:rsidR="00AD0F67">
        <w:t xml:space="preserve">automatic telephone dialing </w:t>
      </w:r>
      <w:r w:rsidR="007045F3">
        <w:t xml:space="preserve">system </w:t>
      </w:r>
      <w:r w:rsidRPr="00461159" w:rsidR="00AD0F67">
        <w:t>or an artificial or prerecorded voice</w:t>
      </w:r>
      <w:r w:rsidR="00263F44">
        <w:t>;</w:t>
      </w:r>
      <w:r w:rsidRPr="00461159" w:rsidR="00AD0F67">
        <w:t xml:space="preserve"> and </w:t>
      </w:r>
      <w:r w:rsidR="00263F44">
        <w:t xml:space="preserve">(c) </w:t>
      </w:r>
      <w:r w:rsidR="008478D4">
        <w:t xml:space="preserve">informs </w:t>
      </w:r>
      <w:r w:rsidRPr="00461159" w:rsidR="00AD0F67">
        <w:t xml:space="preserve">the </w:t>
      </w:r>
      <w:r w:rsidR="002C4B55">
        <w:t xml:space="preserve">consenter </w:t>
      </w:r>
      <w:r w:rsidR="008478D4">
        <w:t>that they are</w:t>
      </w:r>
      <w:r w:rsidRPr="00461159" w:rsidR="008478D4">
        <w:t xml:space="preserve"> </w:t>
      </w:r>
      <w:r w:rsidRPr="00461159" w:rsidR="00AD0F67">
        <w:t xml:space="preserve">not required </w:t>
      </w:r>
      <w:r w:rsidR="008478D4">
        <w:t xml:space="preserve">to give consent </w:t>
      </w:r>
      <w:r w:rsidRPr="00461159" w:rsidR="00AD0F67">
        <w:t xml:space="preserve">as a condition of </w:t>
      </w:r>
      <w:r w:rsidR="002C4B55">
        <w:t xml:space="preserve">any </w:t>
      </w:r>
      <w:r w:rsidRPr="00461159" w:rsidR="00AD0F67">
        <w:t>purchas</w:t>
      </w:r>
      <w:r w:rsidR="00263F44">
        <w:t>e</w:t>
      </w:r>
      <w:r w:rsidRPr="00461159" w:rsidR="00AD0F67">
        <w:t>.</w:t>
      </w:r>
      <w:r>
        <w:rPr>
          <w:rStyle w:val="FootnoteReference"/>
          <w:sz w:val="22"/>
          <w:szCs w:val="22"/>
        </w:rPr>
        <w:footnoteReference w:id="12"/>
      </w:r>
    </w:p>
    <w:p w:rsidR="00374E04" w:rsidP="005F1442">
      <w:pPr>
        <w:pStyle w:val="ParaNum"/>
        <w:widowControl/>
        <w:rPr>
          <w:kern w:val="0"/>
          <w:sz w:val="24"/>
          <w:szCs w:val="24"/>
        </w:rPr>
      </w:pPr>
      <w:r>
        <w:t xml:space="preserve">In 2015, the </w:t>
      </w:r>
      <w:r w:rsidRPr="00461159" w:rsidR="00300851">
        <w:t>Commission</w:t>
      </w:r>
      <w:r w:rsidRPr="00461159" w:rsidR="008963A9">
        <w:t xml:space="preserve"> </w:t>
      </w:r>
      <w:r w:rsidRPr="00461159" w:rsidR="00300851">
        <w:t>clarified</w:t>
      </w:r>
      <w:r>
        <w:t xml:space="preserve"> that </w:t>
      </w:r>
      <w:r w:rsidRPr="00461159" w:rsidR="00300851">
        <w:t>the</w:t>
      </w:r>
      <w:r>
        <w:t>se</w:t>
      </w:r>
      <w:r w:rsidRPr="00461159" w:rsidR="00A44326">
        <w:t xml:space="preserve"> </w:t>
      </w:r>
      <w:r w:rsidR="0027761B">
        <w:t xml:space="preserve">consent </w:t>
      </w:r>
      <w:r w:rsidRPr="00461159" w:rsidR="00300851">
        <w:t xml:space="preserve">requirements apply “per call </w:t>
      </w:r>
      <w:r>
        <w:t xml:space="preserve">[not per consenter] </w:t>
      </w:r>
      <w:r w:rsidRPr="00461159" w:rsidR="00300851">
        <w:t>and . . . telemarketers should not rely on a consumer’s written consent obtained before the 2012 rules took effect</w:t>
      </w:r>
      <w:r w:rsidR="00847B77">
        <w:t xml:space="preserve"> if that consent does not satisfy the current rule</w:t>
      </w:r>
      <w:r w:rsidRPr="00461159" w:rsidR="00300851">
        <w:t>.”</w:t>
      </w:r>
      <w:r>
        <w:rPr>
          <w:rStyle w:val="FootnoteReference"/>
          <w:sz w:val="22"/>
          <w:szCs w:val="22"/>
        </w:rPr>
        <w:footnoteReference w:id="13"/>
      </w:r>
      <w:r w:rsidRPr="00461159" w:rsidR="009B3FCC">
        <w:t xml:space="preserve">  </w:t>
      </w:r>
      <w:r w:rsidR="00BB0A59">
        <w:t>T</w:t>
      </w:r>
      <w:r w:rsidRPr="00461159" w:rsidR="00EA21DF">
        <w:t xml:space="preserve">he Commission </w:t>
      </w:r>
      <w:r w:rsidR="00136035">
        <w:t xml:space="preserve">also </w:t>
      </w:r>
      <w:r w:rsidRPr="00461159" w:rsidR="00EA21DF">
        <w:t xml:space="preserve">granted retroactive </w:t>
      </w:r>
      <w:r w:rsidR="00045BC1">
        <w:t xml:space="preserve">limited </w:t>
      </w:r>
      <w:r w:rsidRPr="00461159" w:rsidR="00EA21DF">
        <w:t>waivers to the Direct Marketing Association and the Coalition of Mobile Engagement Providers</w:t>
      </w:r>
      <w:r w:rsidR="0040114A">
        <w:t>,</w:t>
      </w:r>
      <w:r w:rsidR="000752B4">
        <w:t xml:space="preserve"> </w:t>
      </w:r>
      <w:r w:rsidRPr="00461159" w:rsidR="00EA21DF">
        <w:t>allow</w:t>
      </w:r>
      <w:r w:rsidR="000752B4">
        <w:t>ing</w:t>
      </w:r>
      <w:r w:rsidRPr="00461159" w:rsidR="00EA21DF">
        <w:t xml:space="preserve"> them to rely on previous</w:t>
      </w:r>
      <w:r w:rsidR="000752B4">
        <w:t xml:space="preserve"> </w:t>
      </w:r>
      <w:r w:rsidRPr="00461159" w:rsidR="00EA21DF">
        <w:t>written consents for a limited time.</w:t>
      </w:r>
      <w:r>
        <w:rPr>
          <w:rStyle w:val="FootnoteReference"/>
          <w:sz w:val="22"/>
          <w:szCs w:val="22"/>
        </w:rPr>
        <w:footnoteReference w:id="14"/>
      </w:r>
      <w:r w:rsidRPr="00461159" w:rsidR="00EA21DF">
        <w:t xml:space="preserve">  </w:t>
      </w:r>
      <w:r w:rsidR="000752B4">
        <w:t xml:space="preserve">This came in light of </w:t>
      </w:r>
      <w:r w:rsidRPr="00744F62" w:rsidR="00744F62">
        <w:t xml:space="preserve">evidence </w:t>
      </w:r>
      <w:r w:rsidR="00E41517">
        <w:t>of confusion on the part of the petitioners</w:t>
      </w:r>
      <w:r w:rsidRPr="00744F62" w:rsidR="00744F62">
        <w:t xml:space="preserve"> as to whether </w:t>
      </w:r>
      <w:r w:rsidR="000752B4">
        <w:t xml:space="preserve">pre-2012 </w:t>
      </w:r>
      <w:r w:rsidRPr="00744F62" w:rsidR="00744F62">
        <w:t xml:space="preserve">written consent would </w:t>
      </w:r>
      <w:r w:rsidR="000752B4">
        <w:t xml:space="preserve">suffice </w:t>
      </w:r>
      <w:r w:rsidRPr="00744F62" w:rsidR="00744F62">
        <w:t xml:space="preserve">after the new rules became effective.  The Commission </w:t>
      </w:r>
      <w:r w:rsidR="000752B4">
        <w:t>gave affected parties</w:t>
      </w:r>
      <w:r w:rsidR="00DF339E">
        <w:t xml:space="preserve"> 90 days </w:t>
      </w:r>
      <w:r w:rsidR="000752B4">
        <w:t>to obtain consent that complied with the new rules; until then, they could rely on the old written consent</w:t>
      </w:r>
      <w:r w:rsidRPr="00744F62" w:rsidR="00744F62">
        <w:t>.</w:t>
      </w:r>
      <w:r>
        <w:rPr>
          <w:rStyle w:val="FootnoteReference"/>
          <w:szCs w:val="22"/>
        </w:rPr>
        <w:footnoteReference w:id="15"/>
      </w:r>
      <w:r w:rsidRPr="00744F62" w:rsidR="00744F62">
        <w:t xml:space="preserve"> </w:t>
      </w:r>
      <w:r w:rsidR="00586BCD">
        <w:t xml:space="preserve"> </w:t>
      </w:r>
      <w:r>
        <w:t xml:space="preserve">Subsequently, in the </w:t>
      </w:r>
      <w:r>
        <w:rPr>
          <w:i/>
          <w:iCs/>
        </w:rPr>
        <w:t>2016 TCPA Waiver Order</w:t>
      </w:r>
      <w:r>
        <w:t xml:space="preserve">, the Bureau granted retroactive waivers to seven </w:t>
      </w:r>
      <w:r w:rsidR="007844D0">
        <w:t xml:space="preserve">additional </w:t>
      </w:r>
      <w:r>
        <w:t xml:space="preserve">petitioners </w:t>
      </w:r>
      <w:r>
        <w:t xml:space="preserve">who claimed they also needed time to obtain new consents from consumers, as required by the </w:t>
      </w:r>
      <w:r>
        <w:rPr>
          <w:i/>
          <w:iCs/>
        </w:rPr>
        <w:t>2012 TCPA Order</w:t>
      </w:r>
      <w:r>
        <w:t>.</w:t>
      </w:r>
      <w:r>
        <w:rPr>
          <w:rStyle w:val="FootnoteReference"/>
          <w:szCs w:val="22"/>
        </w:rPr>
        <w:footnoteReference w:id="16"/>
      </w:r>
      <w:r>
        <w:t xml:space="preserve">  </w:t>
      </w:r>
    </w:p>
    <w:p w:rsidR="00422458" w:rsidRPr="00ED7BD3" w:rsidP="000725F1">
      <w:pPr>
        <w:pStyle w:val="ParaNum"/>
      </w:pPr>
      <w:r>
        <w:t>Bebe</w:t>
      </w:r>
      <w:r>
        <w:t xml:space="preserve"> </w:t>
      </w:r>
      <w:r w:rsidR="00D74039">
        <w:t xml:space="preserve">stores </w:t>
      </w:r>
      <w:r>
        <w:t xml:space="preserve">and </w:t>
      </w:r>
      <w:r>
        <w:t>ViSalus</w:t>
      </w:r>
      <w:r>
        <w:t xml:space="preserve"> filed petitions seeking similar waivers after the </w:t>
      </w:r>
      <w:r w:rsidRPr="000725F1">
        <w:rPr>
          <w:i/>
          <w:iCs/>
        </w:rPr>
        <w:t>2016 TCPA Waiver Order</w:t>
      </w:r>
      <w:r w:rsidR="00E54AA3">
        <w:t xml:space="preserve"> and</w:t>
      </w:r>
      <w:r w:rsidR="00281EB9">
        <w:t xml:space="preserve"> the Bureau sought comment on the</w:t>
      </w:r>
      <w:r w:rsidR="00E54AA3">
        <w:t>ir</w:t>
      </w:r>
      <w:r w:rsidR="00281EB9">
        <w:t xml:space="preserve"> petitions</w:t>
      </w:r>
      <w:r>
        <w:t>.</w:t>
      </w:r>
      <w:r>
        <w:rPr>
          <w:rStyle w:val="FootnoteReference"/>
        </w:rPr>
        <w:footnoteReference w:id="17"/>
      </w:r>
      <w:r w:rsidRPr="00744F62" w:rsidR="00744F62">
        <w:t xml:space="preserve"> </w:t>
      </w:r>
      <w:r w:rsidR="00586BCD">
        <w:t xml:space="preserve"> </w:t>
      </w:r>
      <w:r w:rsidR="0013378B">
        <w:t>I</w:t>
      </w:r>
      <w:r w:rsidRPr="00452805" w:rsidR="00BF5C58">
        <w:t>n 2019</w:t>
      </w:r>
      <w:r w:rsidR="005526A5">
        <w:t>,</w:t>
      </w:r>
      <w:r w:rsidRPr="00452805" w:rsidR="00BF5C58">
        <w:t xml:space="preserve"> </w:t>
      </w:r>
      <w:r w:rsidRPr="005B117D" w:rsidR="00136035">
        <w:t>the Bureau</w:t>
      </w:r>
      <w:r w:rsidRPr="005B117D" w:rsidR="004016A1">
        <w:t xml:space="preserve"> granted </w:t>
      </w:r>
      <w:r w:rsidR="00E54AA3">
        <w:t xml:space="preserve">the requested </w:t>
      </w:r>
      <w:r w:rsidRPr="005B117D" w:rsidR="004016A1">
        <w:t xml:space="preserve">waivers </w:t>
      </w:r>
      <w:r w:rsidRPr="00501BB4" w:rsidR="004016A1">
        <w:t xml:space="preserve">to </w:t>
      </w:r>
      <w:r w:rsidRPr="00501BB4" w:rsidR="004016A1">
        <w:t>bebe</w:t>
      </w:r>
      <w:r w:rsidRPr="00501BB4" w:rsidR="004016A1">
        <w:t xml:space="preserve"> stores and </w:t>
      </w:r>
      <w:r w:rsidRPr="00501BB4" w:rsidR="004016A1">
        <w:t>ViSalus</w:t>
      </w:r>
      <w:r w:rsidRPr="00501BB4" w:rsidR="004016A1">
        <w:t>.</w:t>
      </w:r>
      <w:r>
        <w:rPr>
          <w:rStyle w:val="FootnoteReference"/>
          <w:sz w:val="22"/>
          <w:szCs w:val="22"/>
        </w:rPr>
        <w:footnoteReference w:id="18"/>
      </w:r>
      <w:r w:rsidRPr="00ED7BD3" w:rsidR="004016A1">
        <w:t xml:space="preserve">  </w:t>
      </w:r>
      <w:r w:rsidRPr="00ED7BD3" w:rsidR="00BF5C58">
        <w:t>T</w:t>
      </w:r>
      <w:r w:rsidRPr="00852D7C" w:rsidR="00136035">
        <w:t xml:space="preserve">he </w:t>
      </w:r>
      <w:r w:rsidR="00E54AA3">
        <w:t xml:space="preserve">waivers were </w:t>
      </w:r>
      <w:r w:rsidRPr="00501BB4" w:rsidR="00D11D7A">
        <w:t xml:space="preserve">for calls </w:t>
      </w:r>
      <w:r w:rsidRPr="00501BB4" w:rsidR="005A2EFD">
        <w:t>made on or before October 7, 2015.</w:t>
      </w:r>
      <w:r>
        <w:rPr>
          <w:rStyle w:val="FootnoteReference"/>
          <w:sz w:val="22"/>
          <w:szCs w:val="22"/>
        </w:rPr>
        <w:footnoteReference w:id="19"/>
      </w:r>
      <w:r w:rsidRPr="00ED7BD3" w:rsidR="00D25487">
        <w:t xml:space="preserve">  </w:t>
      </w:r>
      <w:r w:rsidR="002A29F2">
        <w:t xml:space="preserve">And they </w:t>
      </w:r>
      <w:r w:rsidRPr="00ED7BD3" w:rsidR="00D25487">
        <w:t xml:space="preserve">applied </w:t>
      </w:r>
      <w:r w:rsidRPr="00ED7BD3" w:rsidR="002A29F2">
        <w:t xml:space="preserve">only </w:t>
      </w:r>
      <w:r w:rsidRPr="00ED7BD3" w:rsidR="00D25487">
        <w:t>to calls for which the petitioner</w:t>
      </w:r>
      <w:r w:rsidRPr="00ED7BD3" w:rsidR="0040114A">
        <w:t>s</w:t>
      </w:r>
      <w:r w:rsidRPr="00ED7BD3" w:rsidR="00D25487">
        <w:t xml:space="preserve"> had obtained “some form of </w:t>
      </w:r>
      <w:r w:rsidRPr="00ED7BD3" w:rsidR="00D25487">
        <w:rPr>
          <w:i/>
          <w:iCs/>
        </w:rPr>
        <w:t>written</w:t>
      </w:r>
      <w:r w:rsidRPr="00975468" w:rsidR="00D25487">
        <w:t xml:space="preserve"> consent previously obtained prior t</w:t>
      </w:r>
      <w:r w:rsidRPr="00452805" w:rsidR="00D25487">
        <w:t>o the 2012 rule changes.”</w:t>
      </w:r>
      <w:r>
        <w:rPr>
          <w:rStyle w:val="FootnoteReference"/>
          <w:sz w:val="22"/>
          <w:szCs w:val="22"/>
        </w:rPr>
        <w:footnoteReference w:id="20"/>
      </w:r>
      <w:r w:rsidRPr="00ED7BD3" w:rsidR="00C14B37">
        <w:t xml:space="preserve"> </w:t>
      </w:r>
    </w:p>
    <w:p w:rsidR="00374C3C" w:rsidP="00DA2FBE">
      <w:pPr>
        <w:pStyle w:val="ParaNum"/>
      </w:pPr>
      <w:r>
        <w:t xml:space="preserve">Wakefield did not file </w:t>
      </w:r>
      <w:r w:rsidR="00586BCD">
        <w:t xml:space="preserve">comments </w:t>
      </w:r>
      <w:r>
        <w:t xml:space="preserve">in response to the waiver petition filed by </w:t>
      </w:r>
      <w:r>
        <w:t>ViSalus</w:t>
      </w:r>
      <w:r>
        <w:t xml:space="preserve">.  Now, in </w:t>
      </w:r>
      <w:r w:rsidR="00586BCD">
        <w:t>her</w:t>
      </w:r>
      <w:r>
        <w:t xml:space="preserve"> petition seeking reconsideration of the </w:t>
      </w:r>
      <w:r w:rsidR="009D2D57">
        <w:rPr>
          <w:i/>
          <w:iCs/>
        </w:rPr>
        <w:t>2019 TCPA Waiver Order</w:t>
      </w:r>
      <w:r>
        <w:t xml:space="preserve">, </w:t>
      </w:r>
      <w:r w:rsidR="00C14B37">
        <w:t xml:space="preserve">Wakefield argues </w:t>
      </w:r>
      <w:r w:rsidR="008478D4">
        <w:t>that</w:t>
      </w:r>
      <w:r w:rsidR="005D5FA1">
        <w:t xml:space="preserve"> the Bureau erred in granting the waiver because</w:t>
      </w:r>
      <w:r w:rsidR="00B32D13">
        <w:t xml:space="preserve"> </w:t>
      </w:r>
      <w:r w:rsidR="00B32D13">
        <w:t>ViSalus</w:t>
      </w:r>
      <w:r w:rsidR="00B32D13">
        <w:t xml:space="preserve"> </w:t>
      </w:r>
      <w:r w:rsidR="005D5FA1">
        <w:t xml:space="preserve">was not similarly situated to </w:t>
      </w:r>
      <w:r w:rsidR="005D5FA1">
        <w:t>bebe</w:t>
      </w:r>
      <w:r w:rsidR="005D5FA1">
        <w:t xml:space="preserve"> stores, </w:t>
      </w:r>
      <w:r w:rsidR="00586BCD">
        <w:t>as</w:t>
      </w:r>
      <w:r w:rsidR="00700F89">
        <w:t xml:space="preserve"> </w:t>
      </w:r>
      <w:r w:rsidR="00700F89">
        <w:t>bebe</w:t>
      </w:r>
      <w:r w:rsidR="00700F89">
        <w:t xml:space="preserve"> stores </w:t>
      </w:r>
      <w:r w:rsidR="009D2D57">
        <w:t xml:space="preserve">had </w:t>
      </w:r>
      <w:r w:rsidR="00700F89">
        <w:t xml:space="preserve">contended that its customers had consented to the use of their information for marketing and promotional purposes, but </w:t>
      </w:r>
      <w:r w:rsidR="00700F89">
        <w:t>ViSalus</w:t>
      </w:r>
      <w:r w:rsidR="00700F89">
        <w:t xml:space="preserve"> had merely claimed that </w:t>
      </w:r>
      <w:r>
        <w:t xml:space="preserve">its </w:t>
      </w:r>
      <w:r w:rsidR="00700F89">
        <w:t>customers</w:t>
      </w:r>
      <w:r>
        <w:t>’</w:t>
      </w:r>
      <w:r w:rsidR="00700F89">
        <w:t xml:space="preserve"> consent was to be contacted regarding “</w:t>
      </w:r>
      <w:r w:rsidR="00700F89">
        <w:t>ViSalus</w:t>
      </w:r>
      <w:r w:rsidR="00700F89">
        <w:t xml:space="preserve"> News.”</w:t>
      </w:r>
      <w:r>
        <w:rPr>
          <w:rStyle w:val="FootnoteReference"/>
        </w:rPr>
        <w:footnoteReference w:id="21"/>
      </w:r>
      <w:r>
        <w:t xml:space="preserve">  Wakefield stated that </w:t>
      </w:r>
      <w:r>
        <w:t>ViSalus</w:t>
      </w:r>
      <w:r>
        <w:t xml:space="preserve"> acknowledged that it did not have evidence of that </w:t>
      </w:r>
      <w:r w:rsidR="009D2D57">
        <w:t xml:space="preserve">customer </w:t>
      </w:r>
      <w:r>
        <w:t>consent.</w:t>
      </w:r>
      <w:r>
        <w:rPr>
          <w:rStyle w:val="FootnoteReference"/>
        </w:rPr>
        <w:footnoteReference w:id="22"/>
      </w:r>
      <w:r>
        <w:t xml:space="preserve">  Wakefield explained that </w:t>
      </w:r>
      <w:r>
        <w:t>ViSalus</w:t>
      </w:r>
      <w:r>
        <w:t xml:space="preserve"> </w:t>
      </w:r>
      <w:r w:rsidR="00B32D13">
        <w:t xml:space="preserve">did not produce evidence in </w:t>
      </w:r>
      <w:r w:rsidR="00A85087">
        <w:t xml:space="preserve">its </w:t>
      </w:r>
      <w:r w:rsidR="00B32D13">
        <w:t>civil trial that consumers had consented to such telephone solicitations</w:t>
      </w:r>
      <w:r>
        <w:t>.</w:t>
      </w:r>
      <w:r>
        <w:rPr>
          <w:rStyle w:val="FootnoteReference"/>
          <w:szCs w:val="22"/>
        </w:rPr>
        <w:footnoteReference w:id="23"/>
      </w:r>
      <w:r w:rsidR="00C2008F">
        <w:t xml:space="preserve"> </w:t>
      </w:r>
      <w:r>
        <w:t xml:space="preserve"> In addition, Wakefield contended that </w:t>
      </w:r>
      <w:r w:rsidR="00B32D13">
        <w:t>ViSalus</w:t>
      </w:r>
      <w:r w:rsidR="00B32D13">
        <w:t xml:space="preserve"> was not confused by the Commission’s prior-express-written-consent rule, but </w:t>
      </w:r>
      <w:r w:rsidR="00A174CE">
        <w:t xml:space="preserve">instead </w:t>
      </w:r>
      <w:r w:rsidR="00B32D13">
        <w:t xml:space="preserve">had ignored the </w:t>
      </w:r>
      <w:r w:rsidR="00967BEE">
        <w:t xml:space="preserve">TCPA </w:t>
      </w:r>
      <w:r w:rsidR="00B32D13">
        <w:t>rules.</w:t>
      </w:r>
      <w:r>
        <w:rPr>
          <w:rStyle w:val="FootnoteReference"/>
          <w:szCs w:val="22"/>
        </w:rPr>
        <w:footnoteReference w:id="24"/>
      </w:r>
      <w:r w:rsidR="00B32D13">
        <w:t xml:space="preserve">  </w:t>
      </w:r>
      <w:r>
        <w:t xml:space="preserve">For these reasons, Wakefield argues, </w:t>
      </w:r>
      <w:r w:rsidR="009E6106">
        <w:t xml:space="preserve">we should reconsider the </w:t>
      </w:r>
      <w:r w:rsidRPr="00C2008F" w:rsidR="009E6106">
        <w:rPr>
          <w:i/>
          <w:iCs/>
        </w:rPr>
        <w:t>2019 TCPA Waiver Order</w:t>
      </w:r>
      <w:r w:rsidR="009E6106">
        <w:t>.</w:t>
      </w:r>
      <w:r>
        <w:rPr>
          <w:rStyle w:val="FootnoteReference"/>
          <w:szCs w:val="22"/>
        </w:rPr>
        <w:footnoteReference w:id="25"/>
      </w:r>
      <w:r w:rsidRPr="00DA2FBE" w:rsidR="00DA2FBE">
        <w:t xml:space="preserve"> </w:t>
      </w:r>
      <w:r w:rsidR="00DA2FBE">
        <w:t xml:space="preserve"> </w:t>
      </w:r>
    </w:p>
    <w:p w:rsidR="00300851" w:rsidP="00DA2FBE">
      <w:pPr>
        <w:pStyle w:val="ParaNum"/>
      </w:pPr>
      <w:r>
        <w:t xml:space="preserve">In opposition to the Wakefield Petition, </w:t>
      </w:r>
      <w:r>
        <w:t>ViSalus</w:t>
      </w:r>
      <w:r>
        <w:t xml:space="preserve"> contends that the waiver </w:t>
      </w:r>
      <w:r w:rsidR="00374C3C">
        <w:t>was correctly granted because</w:t>
      </w:r>
      <w:r w:rsidR="00A85087">
        <w:t>:</w:t>
      </w:r>
      <w:r w:rsidR="00374C3C">
        <w:t xml:space="preserve"> (</w:t>
      </w:r>
      <w:r w:rsidR="00374C3C">
        <w:t>i</w:t>
      </w:r>
      <w:r w:rsidR="00374C3C">
        <w:t>) it was similarly situated as the other parties that received such waivers;</w:t>
      </w:r>
      <w:r>
        <w:rPr>
          <w:rStyle w:val="FootnoteReference"/>
        </w:rPr>
        <w:footnoteReference w:id="26"/>
      </w:r>
      <w:r w:rsidR="00374C3C">
        <w:t xml:space="preserve"> </w:t>
      </w:r>
      <w:r w:rsidR="00387E9E">
        <w:t xml:space="preserve">(ii) the </w:t>
      </w:r>
      <w:r w:rsidR="00387E9E">
        <w:t xml:space="preserve">Commission did not </w:t>
      </w:r>
      <w:r>
        <w:t>require actual proof of confusion for any of the waivers</w:t>
      </w:r>
      <w:r w:rsidR="00387E9E">
        <w:t>;</w:t>
      </w:r>
      <w:r>
        <w:rPr>
          <w:rStyle w:val="FootnoteReference"/>
          <w:szCs w:val="22"/>
        </w:rPr>
        <w:footnoteReference w:id="27"/>
      </w:r>
      <w:r w:rsidR="00387E9E">
        <w:t xml:space="preserve"> and (iii) </w:t>
      </w:r>
      <w:r w:rsidR="00D45210">
        <w:t xml:space="preserve">the waiver applied only to calls for which </w:t>
      </w:r>
      <w:r w:rsidR="00D45210">
        <w:t>ViSalus</w:t>
      </w:r>
      <w:r w:rsidR="00D45210">
        <w:t xml:space="preserve"> obtained written consent</w:t>
      </w:r>
      <w:r w:rsidR="004C3685">
        <w:t xml:space="preserve">, i.e., calls for which </w:t>
      </w:r>
      <w:r w:rsidR="004C3685">
        <w:t>ViSalus</w:t>
      </w:r>
      <w:r w:rsidR="004C3685">
        <w:t xml:space="preserve"> did not have written consent were not covered by the waiver.</w:t>
      </w:r>
      <w:r>
        <w:rPr>
          <w:rStyle w:val="FootnoteReference"/>
        </w:rPr>
        <w:footnoteReference w:id="28"/>
      </w:r>
      <w:r>
        <w:t xml:space="preserve">  </w:t>
      </w:r>
      <w:r w:rsidR="00E43152">
        <w:t>ViSalus</w:t>
      </w:r>
      <w:r w:rsidR="00E43152">
        <w:t xml:space="preserve"> also contends that Wakefield lacks standing because she was neither a party to the proceeding nor adversely affected by the waiver.</w:t>
      </w:r>
      <w:r>
        <w:rPr>
          <w:rStyle w:val="FootnoteReference"/>
        </w:rPr>
        <w:footnoteReference w:id="29"/>
      </w:r>
    </w:p>
    <w:p w:rsidR="004B1703" w:rsidRPr="00461159" w:rsidP="004B1703">
      <w:pPr>
        <w:pStyle w:val="Heading1"/>
        <w:rPr>
          <w:rFonts w:ascii="Times New Roman" w:hAnsi="Times New Roman"/>
          <w:szCs w:val="22"/>
        </w:rPr>
      </w:pPr>
      <w:r w:rsidRPr="00461159">
        <w:rPr>
          <w:rFonts w:ascii="Times New Roman" w:hAnsi="Times New Roman"/>
          <w:szCs w:val="22"/>
        </w:rPr>
        <w:t>discussion</w:t>
      </w:r>
    </w:p>
    <w:p w:rsidR="00FF5CE5" w:rsidP="00861556">
      <w:pPr>
        <w:pStyle w:val="ParaNum"/>
      </w:pPr>
      <w:r w:rsidRPr="00AD453B">
        <w:t>Based on the record before us</w:t>
      </w:r>
      <w:r>
        <w:t>,</w:t>
      </w:r>
      <w:r w:rsidRPr="00AD453B">
        <w:t xml:space="preserve"> we deny the Wakefield Petition</w:t>
      </w:r>
      <w:r w:rsidR="00335C8B">
        <w:t xml:space="preserve"> because </w:t>
      </w:r>
      <w:r w:rsidR="00A85087">
        <w:t>Wakefield</w:t>
      </w:r>
      <w:r w:rsidR="00335C8B">
        <w:t xml:space="preserve"> fails to </w:t>
      </w:r>
      <w:r w:rsidR="00ED7BD3">
        <w:t xml:space="preserve">meet </w:t>
      </w:r>
      <w:r w:rsidR="00087BBB">
        <w:t xml:space="preserve">the </w:t>
      </w:r>
      <w:r w:rsidRPr="000E349F" w:rsidR="00ED7BD3">
        <w:rPr>
          <w:szCs w:val="22"/>
        </w:rPr>
        <w:t>threshold</w:t>
      </w:r>
      <w:r w:rsidR="00ED7BD3">
        <w:t xml:space="preserve"> showing for reconsideration</w:t>
      </w:r>
      <w:r w:rsidR="00A638AD">
        <w:t>.  We find that Wakefield lacks standing to seek reconsideration</w:t>
      </w:r>
      <w:r w:rsidR="00900069">
        <w:t xml:space="preserve"> of</w:t>
      </w:r>
      <w:r w:rsidR="00A638AD">
        <w:t xml:space="preserve"> the </w:t>
      </w:r>
      <w:r w:rsidRPr="00C2008F" w:rsidR="00A638AD">
        <w:rPr>
          <w:i/>
          <w:iCs/>
        </w:rPr>
        <w:t>2019 TCPA Waiver Order</w:t>
      </w:r>
      <w:r w:rsidR="00ED7BD3">
        <w:t xml:space="preserve">.  </w:t>
      </w:r>
    </w:p>
    <w:p w:rsidR="00BA7691" w:rsidRPr="00F55DEE" w:rsidP="00861556">
      <w:pPr>
        <w:pStyle w:val="ParaNum"/>
      </w:pPr>
      <w:r>
        <w:rPr>
          <w:szCs w:val="22"/>
        </w:rPr>
        <w:t xml:space="preserve">Commission rules provide that </w:t>
      </w:r>
      <w:r w:rsidR="009D4AE3">
        <w:rPr>
          <w:szCs w:val="22"/>
        </w:rPr>
        <w:t xml:space="preserve">only </w:t>
      </w:r>
      <w:r>
        <w:rPr>
          <w:szCs w:val="22"/>
        </w:rPr>
        <w:t>parties to the proceeding or “a</w:t>
      </w:r>
      <w:r w:rsidRPr="00AC1D2F">
        <w:rPr>
          <w:szCs w:val="22"/>
        </w:rPr>
        <w:t>ny other person whose interests are adversely affected</w:t>
      </w:r>
      <w:r>
        <w:rPr>
          <w:szCs w:val="22"/>
        </w:rPr>
        <w:t>”</w:t>
      </w:r>
      <w:r>
        <w:rPr>
          <w:rStyle w:val="FootnoteReference"/>
          <w:szCs w:val="22"/>
        </w:rPr>
        <w:footnoteReference w:id="30"/>
      </w:r>
      <w:r>
        <w:rPr>
          <w:szCs w:val="22"/>
        </w:rPr>
        <w:t xml:space="preserve"> may request reconsideration of a Bureau order</w:t>
      </w:r>
      <w:r w:rsidR="00C21933">
        <w:t>.</w:t>
      </w:r>
      <w:r>
        <w:rPr>
          <w:rStyle w:val="FootnoteReference"/>
          <w:szCs w:val="22"/>
        </w:rPr>
        <w:footnoteReference w:id="31"/>
      </w:r>
      <w:r w:rsidR="00C21933">
        <w:t xml:space="preserve">  </w:t>
      </w:r>
      <w:r>
        <w:t>Petitions filed by persons who are not a party to the proceeding must “state with particularity the manner in which the person’s interests are adversely affected by the action taken, and shall show good reason</w:t>
      </w:r>
      <w:r w:rsidR="007D2299">
        <w:t xml:space="preserve"> why it was not possible for him to participate in the earlier stages of the proceeding.”</w:t>
      </w:r>
      <w:r>
        <w:rPr>
          <w:rStyle w:val="FootnoteReference"/>
        </w:rPr>
        <w:footnoteReference w:id="32"/>
      </w:r>
      <w:r w:rsidR="00502908">
        <w:t xml:space="preserve"> </w:t>
      </w:r>
      <w:r w:rsidR="00F80146">
        <w:t xml:space="preserve"> </w:t>
      </w:r>
      <w:r w:rsidR="00A055F5">
        <w:t xml:space="preserve"> </w:t>
      </w:r>
      <w:r w:rsidRPr="00F55DEE" w:rsidR="00452805">
        <w:rPr>
          <w:szCs w:val="22"/>
        </w:rPr>
        <w:t xml:space="preserve">  </w:t>
      </w:r>
    </w:p>
    <w:p w:rsidR="00B92A32" w:rsidP="00861556">
      <w:pPr>
        <w:pStyle w:val="ParaNum"/>
        <w:rPr>
          <w:szCs w:val="22"/>
        </w:rPr>
      </w:pPr>
      <w:r>
        <w:rPr>
          <w:szCs w:val="22"/>
        </w:rPr>
        <w:t xml:space="preserve">Wakefield </w:t>
      </w:r>
      <w:r w:rsidR="00ED7BD3">
        <w:rPr>
          <w:szCs w:val="22"/>
        </w:rPr>
        <w:t xml:space="preserve">concedes </w:t>
      </w:r>
      <w:r w:rsidR="005526A5">
        <w:rPr>
          <w:szCs w:val="22"/>
        </w:rPr>
        <w:t>she</w:t>
      </w:r>
      <w:r w:rsidR="00ED7BD3">
        <w:rPr>
          <w:szCs w:val="22"/>
        </w:rPr>
        <w:t xml:space="preserve"> did </w:t>
      </w:r>
      <w:r>
        <w:rPr>
          <w:szCs w:val="22"/>
        </w:rPr>
        <w:t xml:space="preserve">not </w:t>
      </w:r>
      <w:r w:rsidR="00ED7BD3">
        <w:rPr>
          <w:szCs w:val="22"/>
        </w:rPr>
        <w:t>participate but does not explain why it might not have been possible</w:t>
      </w:r>
      <w:r>
        <w:rPr>
          <w:szCs w:val="22"/>
        </w:rPr>
        <w:t xml:space="preserve">, only that she was “uncertain that she was an ‘interested person’ entitled to comment on </w:t>
      </w:r>
      <w:r>
        <w:rPr>
          <w:szCs w:val="22"/>
        </w:rPr>
        <w:t>ViSalus’s</w:t>
      </w:r>
      <w:r>
        <w:rPr>
          <w:szCs w:val="22"/>
        </w:rPr>
        <w:t xml:space="preserve"> Petition.”</w:t>
      </w:r>
      <w:r>
        <w:rPr>
          <w:rStyle w:val="FootnoteReference"/>
          <w:szCs w:val="22"/>
        </w:rPr>
        <w:footnoteReference w:id="33"/>
      </w:r>
      <w:r w:rsidR="00ED7BD3">
        <w:rPr>
          <w:szCs w:val="22"/>
        </w:rPr>
        <w:t xml:space="preserve">  </w:t>
      </w:r>
      <w:r>
        <w:rPr>
          <w:szCs w:val="22"/>
        </w:rPr>
        <w:t>A</w:t>
      </w:r>
      <w:r w:rsidRPr="00B92A32">
        <w:rPr>
          <w:szCs w:val="22"/>
        </w:rPr>
        <w:t xml:space="preserve">s a party to active litigation with </w:t>
      </w:r>
      <w:r w:rsidRPr="00B92A32">
        <w:rPr>
          <w:szCs w:val="22"/>
        </w:rPr>
        <w:t>ViSalus</w:t>
      </w:r>
      <w:r w:rsidR="00E6332E">
        <w:rPr>
          <w:szCs w:val="22"/>
        </w:rPr>
        <w:t>,</w:t>
      </w:r>
      <w:r w:rsidRPr="00B92A32">
        <w:rPr>
          <w:szCs w:val="22"/>
        </w:rPr>
        <w:t xml:space="preserve"> she did have the right to participate and </w:t>
      </w:r>
      <w:r>
        <w:rPr>
          <w:szCs w:val="22"/>
        </w:rPr>
        <w:t>c</w:t>
      </w:r>
      <w:r w:rsidRPr="00B92A32">
        <w:rPr>
          <w:szCs w:val="22"/>
        </w:rPr>
        <w:t>ould have done so even if she was</w:t>
      </w:r>
      <w:r>
        <w:rPr>
          <w:szCs w:val="22"/>
        </w:rPr>
        <w:t xml:space="preserve"> not</w:t>
      </w:r>
      <w:r w:rsidRPr="00B92A32">
        <w:rPr>
          <w:szCs w:val="22"/>
        </w:rPr>
        <w:t xml:space="preserve"> certain that the waiver would have bearing on the litigation</w:t>
      </w:r>
      <w:r>
        <w:rPr>
          <w:szCs w:val="22"/>
        </w:rPr>
        <w:t>.</w:t>
      </w:r>
      <w:r w:rsidRPr="00B92A32">
        <w:rPr>
          <w:szCs w:val="22"/>
        </w:rPr>
        <w:t xml:space="preserve"> </w:t>
      </w:r>
    </w:p>
    <w:p w:rsidR="00B92A32" w:rsidRPr="00B92A32" w:rsidP="00861556">
      <w:pPr>
        <w:pStyle w:val="ParaNum"/>
        <w:rPr>
          <w:szCs w:val="22"/>
        </w:rPr>
      </w:pPr>
      <w:r>
        <w:rPr>
          <w:szCs w:val="22"/>
        </w:rPr>
        <w:t xml:space="preserve">We also </w:t>
      </w:r>
      <w:r w:rsidR="00D26215">
        <w:rPr>
          <w:szCs w:val="22"/>
        </w:rPr>
        <w:t xml:space="preserve">find </w:t>
      </w:r>
      <w:r>
        <w:rPr>
          <w:szCs w:val="22"/>
        </w:rPr>
        <w:t xml:space="preserve">that </w:t>
      </w:r>
      <w:r w:rsidR="00D26215">
        <w:rPr>
          <w:szCs w:val="22"/>
        </w:rPr>
        <w:t xml:space="preserve">Wakefield fails to show that </w:t>
      </w:r>
      <w:r w:rsidR="005526A5">
        <w:rPr>
          <w:szCs w:val="22"/>
        </w:rPr>
        <w:t>she</w:t>
      </w:r>
      <w:r w:rsidR="00D26215">
        <w:rPr>
          <w:szCs w:val="22"/>
        </w:rPr>
        <w:t xml:space="preserve"> was </w:t>
      </w:r>
      <w:r w:rsidR="005E4FCB">
        <w:rPr>
          <w:szCs w:val="22"/>
        </w:rPr>
        <w:t xml:space="preserve">adversely affected by the </w:t>
      </w:r>
      <w:r w:rsidR="00D26215">
        <w:rPr>
          <w:szCs w:val="22"/>
        </w:rPr>
        <w:t>ViSalus</w:t>
      </w:r>
      <w:r w:rsidR="00D26215">
        <w:rPr>
          <w:szCs w:val="22"/>
        </w:rPr>
        <w:t xml:space="preserve"> waiver.</w:t>
      </w:r>
      <w:r w:rsidR="005526A5">
        <w:rPr>
          <w:szCs w:val="22"/>
        </w:rPr>
        <w:t xml:space="preserve"> </w:t>
      </w:r>
      <w:r w:rsidR="00D26215">
        <w:rPr>
          <w:szCs w:val="22"/>
        </w:rPr>
        <w:t xml:space="preserve"> </w:t>
      </w:r>
      <w:r w:rsidR="00811FAA">
        <w:t xml:space="preserve">The </w:t>
      </w:r>
      <w:r w:rsidR="009870CA">
        <w:t xml:space="preserve">Bureau limited the </w:t>
      </w:r>
      <w:r w:rsidR="009870CA">
        <w:rPr>
          <w:szCs w:val="22"/>
        </w:rPr>
        <w:t xml:space="preserve">waiver </w:t>
      </w:r>
      <w:r w:rsidR="00811FAA">
        <w:rPr>
          <w:szCs w:val="22"/>
        </w:rPr>
        <w:t xml:space="preserve">to calls for which </w:t>
      </w:r>
      <w:r w:rsidR="00811FAA">
        <w:rPr>
          <w:szCs w:val="22"/>
        </w:rPr>
        <w:t>Visalus</w:t>
      </w:r>
      <w:r w:rsidR="00811FAA">
        <w:rPr>
          <w:szCs w:val="22"/>
        </w:rPr>
        <w:t xml:space="preserve"> had </w:t>
      </w:r>
      <w:r w:rsidR="00D26215">
        <w:rPr>
          <w:szCs w:val="22"/>
        </w:rPr>
        <w:t xml:space="preserve">some form of </w:t>
      </w:r>
      <w:r w:rsidR="00811FAA">
        <w:rPr>
          <w:szCs w:val="22"/>
        </w:rPr>
        <w:t>written consent</w:t>
      </w:r>
      <w:r w:rsidRPr="00461159" w:rsidR="00811FAA">
        <w:rPr>
          <w:szCs w:val="22"/>
        </w:rPr>
        <w:t>.</w:t>
      </w:r>
      <w:r>
        <w:rPr>
          <w:rStyle w:val="FootnoteReference"/>
          <w:sz w:val="22"/>
          <w:szCs w:val="22"/>
        </w:rPr>
        <w:footnoteReference w:id="34"/>
      </w:r>
      <w:r w:rsidRPr="00461159" w:rsidR="00811FAA">
        <w:rPr>
          <w:szCs w:val="22"/>
        </w:rPr>
        <w:t xml:space="preserve">  As </w:t>
      </w:r>
      <w:r w:rsidRPr="00461159" w:rsidR="00811FAA">
        <w:rPr>
          <w:szCs w:val="22"/>
        </w:rPr>
        <w:t>ViSalus</w:t>
      </w:r>
      <w:r w:rsidRPr="00461159" w:rsidR="00811FAA">
        <w:rPr>
          <w:szCs w:val="22"/>
        </w:rPr>
        <w:t xml:space="preserve"> </w:t>
      </w:r>
      <w:r w:rsidR="00811FAA">
        <w:rPr>
          <w:szCs w:val="22"/>
        </w:rPr>
        <w:t>correctly observes</w:t>
      </w:r>
      <w:r w:rsidRPr="00461159" w:rsidR="00811FAA">
        <w:rPr>
          <w:szCs w:val="22"/>
        </w:rPr>
        <w:t xml:space="preserve">, calls for which it had not obtained written consent </w:t>
      </w:r>
      <w:r w:rsidR="00ED7BD3">
        <w:rPr>
          <w:szCs w:val="22"/>
        </w:rPr>
        <w:t xml:space="preserve">are outside the scope of </w:t>
      </w:r>
      <w:r w:rsidRPr="00461159" w:rsidR="00811FAA">
        <w:rPr>
          <w:szCs w:val="22"/>
        </w:rPr>
        <w:t>the waiver.</w:t>
      </w:r>
      <w:r>
        <w:rPr>
          <w:rStyle w:val="FootnoteReference"/>
          <w:sz w:val="22"/>
          <w:szCs w:val="22"/>
        </w:rPr>
        <w:footnoteReference w:id="35"/>
      </w:r>
      <w:r w:rsidRPr="00461159" w:rsidR="00811FAA">
        <w:rPr>
          <w:szCs w:val="22"/>
        </w:rPr>
        <w:t xml:space="preserve">  </w:t>
      </w:r>
      <w:r w:rsidR="009D4AE3">
        <w:rPr>
          <w:szCs w:val="22"/>
        </w:rPr>
        <w:t xml:space="preserve">Wakefield states </w:t>
      </w:r>
      <w:r w:rsidR="00307F2F">
        <w:rPr>
          <w:szCs w:val="22"/>
        </w:rPr>
        <w:t xml:space="preserve">in her petition for reconsideration that “she had not provided </w:t>
      </w:r>
      <w:r w:rsidR="00307F2F">
        <w:rPr>
          <w:szCs w:val="22"/>
        </w:rPr>
        <w:t>ViSalus</w:t>
      </w:r>
      <w:r w:rsidR="00307F2F">
        <w:rPr>
          <w:szCs w:val="22"/>
        </w:rPr>
        <w:t xml:space="preserve"> with any consent to call her at all</w:t>
      </w:r>
      <w:r w:rsidR="009D4AE3">
        <w:rPr>
          <w:szCs w:val="22"/>
        </w:rPr>
        <w:t>.</w:t>
      </w:r>
      <w:r w:rsidR="00307F2F">
        <w:rPr>
          <w:szCs w:val="22"/>
        </w:rPr>
        <w:t xml:space="preserve">” </w:t>
      </w:r>
      <w:r w:rsidR="00E6332E">
        <w:rPr>
          <w:szCs w:val="22"/>
        </w:rPr>
        <w:t xml:space="preserve"> </w:t>
      </w:r>
      <w:r w:rsidR="00893BC9">
        <w:rPr>
          <w:szCs w:val="22"/>
        </w:rPr>
        <w:t xml:space="preserve">To the extent this is true, </w:t>
      </w:r>
      <w:r w:rsidR="00307F2F">
        <w:rPr>
          <w:szCs w:val="22"/>
        </w:rPr>
        <w:t xml:space="preserve">any calls </w:t>
      </w:r>
      <w:r w:rsidR="00307F2F">
        <w:rPr>
          <w:szCs w:val="22"/>
        </w:rPr>
        <w:t>ViSalus</w:t>
      </w:r>
      <w:r w:rsidR="00307F2F">
        <w:rPr>
          <w:szCs w:val="22"/>
        </w:rPr>
        <w:t xml:space="preserve"> may have made to her </w:t>
      </w:r>
      <w:r w:rsidR="00893BC9">
        <w:rPr>
          <w:szCs w:val="22"/>
        </w:rPr>
        <w:t xml:space="preserve">are not covered </w:t>
      </w:r>
      <w:r w:rsidR="00307F2F">
        <w:rPr>
          <w:szCs w:val="22"/>
        </w:rPr>
        <w:t>by the waiver</w:t>
      </w:r>
      <w:r w:rsidR="00811FAA">
        <w:rPr>
          <w:szCs w:val="22"/>
        </w:rPr>
        <w:t>.</w:t>
      </w:r>
      <w:r>
        <w:rPr>
          <w:rStyle w:val="FootnoteReference"/>
          <w:szCs w:val="22"/>
        </w:rPr>
        <w:footnoteReference w:id="36"/>
      </w:r>
      <w:r w:rsidR="00307F2F">
        <w:rPr>
          <w:szCs w:val="22"/>
        </w:rPr>
        <w:t xml:space="preserve">  Because any calls </w:t>
      </w:r>
      <w:r w:rsidR="00307F2F">
        <w:rPr>
          <w:szCs w:val="22"/>
        </w:rPr>
        <w:t>ViSalus</w:t>
      </w:r>
      <w:r w:rsidR="00307F2F">
        <w:rPr>
          <w:szCs w:val="22"/>
        </w:rPr>
        <w:t xml:space="preserve"> made to </w:t>
      </w:r>
      <w:r w:rsidR="00E6332E">
        <w:rPr>
          <w:szCs w:val="22"/>
        </w:rPr>
        <w:t>Wakefield</w:t>
      </w:r>
      <w:r w:rsidR="00307F2F">
        <w:rPr>
          <w:szCs w:val="22"/>
        </w:rPr>
        <w:t xml:space="preserve"> were</w:t>
      </w:r>
      <w:r w:rsidR="007C39F1">
        <w:rPr>
          <w:szCs w:val="22"/>
        </w:rPr>
        <w:t xml:space="preserve"> </w:t>
      </w:r>
      <w:r w:rsidR="00307F2F">
        <w:rPr>
          <w:szCs w:val="22"/>
        </w:rPr>
        <w:t xml:space="preserve">outside the bounds established by the </w:t>
      </w:r>
      <w:r w:rsidRPr="00A055F5" w:rsidR="00307F2F">
        <w:rPr>
          <w:i/>
          <w:iCs/>
        </w:rPr>
        <w:t>2019 TCPA Waiver Order</w:t>
      </w:r>
      <w:r w:rsidR="00307F2F">
        <w:t xml:space="preserve">, </w:t>
      </w:r>
      <w:r w:rsidR="00E6332E">
        <w:t xml:space="preserve">Wakefield </w:t>
      </w:r>
      <w:r w:rsidR="00307F2F">
        <w:t>was not</w:t>
      </w:r>
      <w:r w:rsidR="00B743A6">
        <w:t xml:space="preserve"> </w:t>
      </w:r>
      <w:r w:rsidR="00307F2F">
        <w:t xml:space="preserve">affected by the </w:t>
      </w:r>
      <w:r w:rsidR="00E44BEF">
        <w:t>waiver</w:t>
      </w:r>
      <w:r w:rsidR="00ED7BD3">
        <w:t xml:space="preserve"> at all and thus could not have been adversely affected</w:t>
      </w:r>
      <w:r w:rsidR="00307F2F">
        <w:t>.</w:t>
      </w:r>
      <w:r w:rsidR="00335C8B">
        <w:t xml:space="preserve">  </w:t>
      </w:r>
      <w:r w:rsidR="008540B7">
        <w:t xml:space="preserve">Although Wakefield is alleging </w:t>
      </w:r>
      <w:r w:rsidR="00B743A6">
        <w:t xml:space="preserve">here </w:t>
      </w:r>
      <w:r w:rsidR="008540B7">
        <w:t xml:space="preserve">that </w:t>
      </w:r>
      <w:r w:rsidR="008540B7">
        <w:t>ViSalus</w:t>
      </w:r>
      <w:r w:rsidR="008540B7">
        <w:t xml:space="preserve"> “raised the </w:t>
      </w:r>
      <w:r w:rsidR="008540B7">
        <w:t>Order as a bar to certain forms of relief in the Wakefield action,”</w:t>
      </w:r>
      <w:r>
        <w:rPr>
          <w:rStyle w:val="FootnoteReference"/>
        </w:rPr>
        <w:footnoteReference w:id="37"/>
      </w:r>
      <w:r w:rsidR="00B743A6">
        <w:t xml:space="preserve"> this allegation is never explained and does not refute that the waiver was limited to written consent.  </w:t>
      </w:r>
    </w:p>
    <w:p w:rsidR="005E4FCB" w:rsidRPr="00A41E21" w:rsidP="00861556">
      <w:pPr>
        <w:pStyle w:val="ParaNum"/>
        <w:rPr>
          <w:kern w:val="0"/>
          <w:sz w:val="24"/>
        </w:rPr>
      </w:pPr>
      <w:r>
        <w:t>T</w:t>
      </w:r>
      <w:r w:rsidR="005F5331">
        <w:t xml:space="preserve">he Wakefield Petition fails to show that the petitioner was adversely affected by the </w:t>
      </w:r>
      <w:r w:rsidR="005F5331">
        <w:rPr>
          <w:i/>
          <w:iCs/>
        </w:rPr>
        <w:t>2019 TCPA Waiver Order</w:t>
      </w:r>
      <w:r w:rsidRPr="00A41E21">
        <w:rPr>
          <w:kern w:val="0"/>
          <w:sz w:val="24"/>
        </w:rPr>
        <w:t xml:space="preserve">.  </w:t>
      </w:r>
      <w:r w:rsidRPr="00FD374A" w:rsidR="00B92A32">
        <w:rPr>
          <w:szCs w:val="22"/>
        </w:rPr>
        <w:t xml:space="preserve">As a result, we deny Wakefield’s request for reconsideration.  </w:t>
      </w:r>
      <w:r w:rsidR="00335C8B">
        <w:t xml:space="preserve">Because we find that Wakefield fails to </w:t>
      </w:r>
      <w:r w:rsidR="00D26215">
        <w:t xml:space="preserve">satisfy the threshold showing for reconsideration, we deny the </w:t>
      </w:r>
      <w:r w:rsidR="00107A41">
        <w:t xml:space="preserve">Petition </w:t>
      </w:r>
      <w:r w:rsidR="00D26215">
        <w:t xml:space="preserve">and decline to address </w:t>
      </w:r>
      <w:r w:rsidR="005526A5">
        <w:t>the</w:t>
      </w:r>
      <w:r w:rsidR="00D26215">
        <w:t xml:space="preserve"> remaining arguments.  </w:t>
      </w:r>
    </w:p>
    <w:p w:rsidR="00461159" w:rsidRPr="00461159" w:rsidP="00923471">
      <w:pPr>
        <w:pStyle w:val="Heading1"/>
      </w:pPr>
      <w:r w:rsidRPr="00461159">
        <w:t>ORDERING CLAUSES</w:t>
      </w:r>
    </w:p>
    <w:p w:rsidR="00461159" w:rsidP="00861556">
      <w:pPr>
        <w:pStyle w:val="ParaNum"/>
      </w:pPr>
      <w:r w:rsidRPr="00461159">
        <w:t>Accordingly, IT IS ORDERED that, pursuant to section</w:t>
      </w:r>
      <w:r w:rsidR="00FC4578">
        <w:t xml:space="preserve">s </w:t>
      </w:r>
      <w:r w:rsidRPr="00461159">
        <w:t>2</w:t>
      </w:r>
      <w:r w:rsidR="00923471">
        <w:t>27</w:t>
      </w:r>
      <w:r w:rsidRPr="00461159">
        <w:t xml:space="preserve"> </w:t>
      </w:r>
      <w:r w:rsidR="00FD374A">
        <w:t xml:space="preserve">and 405 </w:t>
      </w:r>
      <w:r w:rsidRPr="00461159">
        <w:t xml:space="preserve">of the Communications Act of 1934, as amended, 47 U.S.C. </w:t>
      </w:r>
      <w:r w:rsidRPr="00461159" w:rsidR="00FC4578">
        <w:t>§</w:t>
      </w:r>
      <w:r w:rsidRPr="00461159">
        <w:t>§ 2</w:t>
      </w:r>
      <w:r w:rsidR="00923471">
        <w:t>27</w:t>
      </w:r>
      <w:r w:rsidR="00FD374A">
        <w:t xml:space="preserve"> and 405</w:t>
      </w:r>
      <w:r w:rsidRPr="00461159">
        <w:t xml:space="preserve">, </w:t>
      </w:r>
      <w:r w:rsidR="00FC4578">
        <w:t xml:space="preserve">and </w:t>
      </w:r>
      <w:r w:rsidRPr="00461159">
        <w:t>section</w:t>
      </w:r>
      <w:r w:rsidR="00FC4578">
        <w:t>s</w:t>
      </w:r>
      <w:r w:rsidR="00923471">
        <w:t xml:space="preserve"> </w:t>
      </w:r>
      <w:r w:rsidR="00FC4578">
        <w:t>1.</w:t>
      </w:r>
      <w:r w:rsidR="008A33BA">
        <w:t xml:space="preserve">106, </w:t>
      </w:r>
      <w:r w:rsidR="00923471">
        <w:t>64.1200</w:t>
      </w:r>
      <w:r w:rsidRPr="00461159">
        <w:t xml:space="preserve"> of the Commission’s rules, 47 CFR </w:t>
      </w:r>
      <w:r w:rsidRPr="00461159" w:rsidR="00FC4578">
        <w:t>§</w:t>
      </w:r>
      <w:r w:rsidRPr="00461159">
        <w:t>§</w:t>
      </w:r>
      <w:r w:rsidR="00923471">
        <w:t xml:space="preserve"> </w:t>
      </w:r>
      <w:r w:rsidR="00FC4578">
        <w:t>1.</w:t>
      </w:r>
      <w:r w:rsidR="008A33BA">
        <w:t>1</w:t>
      </w:r>
      <w:r w:rsidR="005526A5">
        <w:t>06</w:t>
      </w:r>
      <w:r w:rsidR="00FC4578">
        <w:t xml:space="preserve">, </w:t>
      </w:r>
      <w:r w:rsidR="00923471">
        <w:t>64.1200</w:t>
      </w:r>
      <w:r w:rsidRPr="00461159">
        <w:t>, and</w:t>
      </w:r>
      <w:r w:rsidR="00923471">
        <w:t xml:space="preserve"> pursuant to the</w:t>
      </w:r>
      <w:r w:rsidRPr="00461159">
        <w:t xml:space="preserve"> authority delegated </w:t>
      </w:r>
      <w:r w:rsidR="00923471">
        <w:t>in</w:t>
      </w:r>
      <w:r w:rsidRPr="00461159">
        <w:t xml:space="preserve"> sections 0.141 and 0.361 of the Commission’s rules, 47 CFR §§ 0.141, 0.361, the Petition for Reconsideration filed by </w:t>
      </w:r>
      <w:r w:rsidR="00923471">
        <w:t>Lori Wakefield</w:t>
      </w:r>
      <w:r w:rsidRPr="00461159">
        <w:t xml:space="preserve">, on July </w:t>
      </w:r>
      <w:r w:rsidR="00923471">
        <w:t>15</w:t>
      </w:r>
      <w:r w:rsidRPr="00461159">
        <w:t>, 201</w:t>
      </w:r>
      <w:r w:rsidR="00923471">
        <w:t>9</w:t>
      </w:r>
      <w:r w:rsidRPr="00461159">
        <w:t>, IS DENIED.</w:t>
      </w:r>
    </w:p>
    <w:p w:rsidR="008B426C" w:rsidP="00861556">
      <w:pPr>
        <w:pStyle w:val="ParaNum"/>
      </w:pPr>
      <w:r w:rsidRPr="00390BA5">
        <w:t xml:space="preserve">IT IS FURTHER ORDERED that this Order </w:t>
      </w:r>
      <w:r w:rsidR="00AD0E3B">
        <w:t xml:space="preserve">on Reconsideration </w:t>
      </w:r>
      <w:r w:rsidRPr="00390BA5">
        <w:t>is EFFECTIVE UPON RELEASE.</w:t>
      </w:r>
    </w:p>
    <w:p w:rsidR="008B426C" w:rsidRPr="007F00B7" w:rsidP="008B426C">
      <w:pPr>
        <w:pStyle w:val="ParaNum"/>
        <w:numPr>
          <w:ilvl w:val="0"/>
          <w:numId w:val="0"/>
        </w:numPr>
        <w:ind w:left="720"/>
      </w:pPr>
    </w:p>
    <w:p w:rsidR="008B426C" w:rsidP="008B426C">
      <w:pPr>
        <w:spacing w:after="120"/>
        <w:ind w:left="2880" w:right="270" w:firstLine="720"/>
        <w:rPr>
          <w:szCs w:val="22"/>
        </w:rPr>
      </w:pPr>
      <w:r>
        <w:rPr>
          <w:szCs w:val="22"/>
        </w:rPr>
        <w:t>FEDERAL COMMUNICATIONS COMMISSION</w:t>
      </w:r>
    </w:p>
    <w:p w:rsidR="008B426C" w:rsidP="008B426C">
      <w:pPr>
        <w:ind w:right="270"/>
        <w:rPr>
          <w:szCs w:val="22"/>
        </w:rPr>
      </w:pPr>
    </w:p>
    <w:p w:rsidR="008B426C" w:rsidP="008B426C">
      <w:pPr>
        <w:ind w:right="270"/>
        <w:rPr>
          <w:szCs w:val="22"/>
        </w:rPr>
      </w:pPr>
    </w:p>
    <w:p w:rsidR="008B426C" w:rsidP="008B426C">
      <w:pPr>
        <w:ind w:right="270"/>
        <w:rPr>
          <w:szCs w:val="22"/>
        </w:rPr>
      </w:pPr>
    </w:p>
    <w:p w:rsidR="008B426C" w:rsidP="008B426C">
      <w:pPr>
        <w:tabs>
          <w:tab w:val="left" w:pos="3600"/>
        </w:tabs>
        <w:ind w:right="270"/>
        <w:rPr>
          <w:szCs w:val="22"/>
        </w:rPr>
      </w:pPr>
      <w:r>
        <w:rPr>
          <w:szCs w:val="22"/>
        </w:rPr>
        <w:tab/>
      </w:r>
    </w:p>
    <w:p w:rsidR="008B426C" w:rsidP="008B426C">
      <w:pPr>
        <w:tabs>
          <w:tab w:val="left" w:pos="3600"/>
        </w:tabs>
        <w:ind w:right="270"/>
        <w:rPr>
          <w:szCs w:val="22"/>
        </w:rPr>
      </w:pPr>
      <w:r>
        <w:rPr>
          <w:szCs w:val="22"/>
        </w:rPr>
        <w:tab/>
        <w:t>Patrick Webre</w:t>
      </w:r>
    </w:p>
    <w:p w:rsidR="008B426C" w:rsidP="008B426C">
      <w:pPr>
        <w:ind w:right="270"/>
        <w:rPr>
          <w:szCs w:val="22"/>
        </w:rPr>
      </w:pPr>
      <w:r>
        <w:rPr>
          <w:szCs w:val="22"/>
        </w:rPr>
        <w:t xml:space="preserve">                                                                  Chief</w:t>
      </w:r>
      <w:r>
        <w:rPr>
          <w:szCs w:val="22"/>
        </w:rPr>
        <w:tab/>
      </w:r>
      <w:r>
        <w:rPr>
          <w:szCs w:val="22"/>
        </w:rPr>
        <w:tab/>
      </w:r>
    </w:p>
    <w:p w:rsidR="008B426C" w:rsidP="008B426C">
      <w:r>
        <w:tab/>
      </w:r>
      <w:r>
        <w:tab/>
      </w:r>
      <w:r>
        <w:tab/>
      </w:r>
      <w:r>
        <w:tab/>
      </w:r>
      <w:r>
        <w:tab/>
        <w:t>Consumer and Governmental Affairs Bureau</w:t>
      </w:r>
    </w:p>
    <w:p w:rsidR="008B426C" w:rsidRPr="00461159" w:rsidP="008B426C">
      <w:pPr>
        <w:pStyle w:val="ParaNum"/>
        <w:numPr>
          <w:ilvl w:val="0"/>
          <w:numId w:val="0"/>
        </w:numPr>
        <w:ind w:left="720"/>
      </w:pPr>
    </w:p>
    <w:p w:rsidR="00EC4C82" w:rsidRPr="00461159" w:rsidP="00923471">
      <w:pPr>
        <w:pStyle w:val="ParaNum"/>
        <w:numPr>
          <w:ilvl w:val="0"/>
          <w:numId w:val="0"/>
        </w:numPr>
        <w:ind w:left="7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795" w:rsidP="0055614C">
    <w:pPr>
      <w:pStyle w:val="Footer"/>
      <w:framePr w:wrap="around" w:vAnchor="text" w:hAnchor="margin" w:xAlign="center" w:y="1"/>
    </w:pPr>
    <w:r>
      <w:fldChar w:fldCharType="begin"/>
    </w:r>
    <w:r>
      <w:instrText xml:space="preserve">PAGE  </w:instrText>
    </w:r>
    <w:r>
      <w:fldChar w:fldCharType="separate"/>
    </w:r>
    <w:r>
      <w:fldChar w:fldCharType="end"/>
    </w:r>
  </w:p>
  <w:p w:rsidR="001A0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795">
    <w:pPr>
      <w:pStyle w:val="Footer"/>
      <w:jc w:val="center"/>
      <w:rPr>
        <w:noProof/>
      </w:rPr>
    </w:pPr>
    <w:r>
      <w:fldChar w:fldCharType="begin"/>
    </w:r>
    <w:r>
      <w:instrText xml:space="preserve"> PAGE   \* MERGEFORMAT </w:instrText>
    </w:r>
    <w:r>
      <w:fldChar w:fldCharType="separate"/>
    </w:r>
    <w:r w:rsidR="00396266">
      <w:rPr>
        <w:noProof/>
      </w:rPr>
      <w:t>4</w:t>
    </w:r>
    <w:r>
      <w:fldChar w:fldCharType="end"/>
    </w:r>
  </w:p>
  <w:p w:rsidR="001A0795">
    <w:pPr>
      <w:pStyle w:val="Footer"/>
      <w:jc w:val="center"/>
    </w:pPr>
  </w:p>
  <w:p w:rsidR="001A079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79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0709">
      <w:r>
        <w:separator/>
      </w:r>
    </w:p>
  </w:footnote>
  <w:footnote w:type="continuationSeparator" w:id="1">
    <w:p w:rsidR="00AC0709" w:rsidP="00C721AC">
      <w:pPr>
        <w:spacing w:before="120"/>
        <w:rPr>
          <w:sz w:val="20"/>
        </w:rPr>
      </w:pPr>
      <w:r>
        <w:rPr>
          <w:sz w:val="20"/>
        </w:rPr>
        <w:t xml:space="preserve">(Continued from previous page)  </w:t>
      </w:r>
      <w:r>
        <w:rPr>
          <w:sz w:val="20"/>
        </w:rPr>
        <w:separator/>
      </w:r>
    </w:p>
  </w:footnote>
  <w:footnote w:type="continuationNotice" w:id="2">
    <w:p w:rsidR="00AC0709" w:rsidP="00C721AC">
      <w:pPr>
        <w:jc w:val="right"/>
        <w:rPr>
          <w:sz w:val="20"/>
        </w:rPr>
      </w:pPr>
      <w:r>
        <w:rPr>
          <w:sz w:val="20"/>
        </w:rPr>
        <w:t>(continued….)</w:t>
      </w:r>
    </w:p>
  </w:footnote>
  <w:footnote w:id="3">
    <w:p w:rsidR="00861626" w:rsidP="00B12D4E">
      <w:pPr>
        <w:pStyle w:val="FootnoteText"/>
      </w:pPr>
      <w:r>
        <w:rPr>
          <w:rStyle w:val="FootnoteReference"/>
        </w:rPr>
        <w:footnoteRef/>
      </w:r>
      <w:r>
        <w:rPr>
          <w:i/>
          <w:iCs/>
        </w:rPr>
        <w:t xml:space="preserve"> Petitions for Waiver and/or Retroactive Waiver of 47 CFR Section 64.1200(a)(2) Regarding the Commission’s Prior Express Written Consent Requirement</w:t>
      </w:r>
      <w:r>
        <w:t>, CG Docket No. 02-278, Order, 34 FCC Rcd 4851 (CGB 2019) (</w:t>
      </w:r>
      <w:r>
        <w:rPr>
          <w:i/>
          <w:iCs/>
        </w:rPr>
        <w:t>2019 TCPA Waiver Order</w:t>
      </w:r>
      <w:r>
        <w:t>).</w:t>
      </w:r>
    </w:p>
  </w:footnote>
  <w:footnote w:id="4">
    <w:p w:rsidR="00861626" w:rsidP="000D0799">
      <w:pPr>
        <w:pStyle w:val="FootnoteText"/>
      </w:pPr>
      <w:r>
        <w:rPr>
          <w:rStyle w:val="FootnoteReference"/>
        </w:rPr>
        <w:footnoteRef/>
      </w:r>
      <w:r>
        <w:t xml:space="preserve"> </w:t>
      </w:r>
      <w:r>
        <w:rPr>
          <w:i/>
          <w:iCs/>
        </w:rPr>
        <w:t xml:space="preserve">Id. </w:t>
      </w:r>
      <w:r>
        <w:t>at 4855, para 11.</w:t>
      </w:r>
    </w:p>
  </w:footnote>
  <w:footnote w:id="5">
    <w:p w:rsidR="00861626" w:rsidP="000D0799">
      <w:pPr>
        <w:pStyle w:val="FootnoteText"/>
      </w:pPr>
      <w:r>
        <w:rPr>
          <w:rStyle w:val="FootnoteReference"/>
        </w:rPr>
        <w:footnoteRef/>
      </w:r>
      <w:r>
        <w:t xml:space="preserve"> </w:t>
      </w:r>
      <w:r>
        <w:rPr>
          <w:i/>
          <w:iCs/>
        </w:rPr>
        <w:t xml:space="preserve">Id. </w:t>
      </w:r>
      <w:r>
        <w:t>(emphasis in original).</w:t>
      </w:r>
    </w:p>
  </w:footnote>
  <w:footnote w:id="6">
    <w:p w:rsidR="00FE780B" w:rsidRPr="005D68A1" w:rsidP="00FE780B">
      <w:pPr>
        <w:pStyle w:val="FootnoteText"/>
      </w:pPr>
      <w:r>
        <w:rPr>
          <w:rStyle w:val="FootnoteReference"/>
        </w:rPr>
        <w:footnoteRef/>
      </w:r>
      <w:r>
        <w:t xml:space="preserve"> </w:t>
      </w:r>
      <w:r w:rsidRPr="00FB3D55">
        <w:rPr>
          <w:i/>
          <w:iCs/>
        </w:rPr>
        <w:t>See</w:t>
      </w:r>
      <w:r>
        <w:t xml:space="preserve"> </w:t>
      </w:r>
      <w:r>
        <w:rPr>
          <w:snapToGrid w:val="0"/>
        </w:rPr>
        <w:t>Petition for Reconsideration in Non-Rulemaking Proceeding, filed by Lori Wakefield, CG Docket No. 02-278 at 2-5 (filed July 15, 2019) (Wakefield Petition or Petition)</w:t>
      </w:r>
      <w:r>
        <w:t xml:space="preserve">.  </w:t>
      </w:r>
    </w:p>
  </w:footnote>
  <w:footnote w:id="7">
    <w:p w:rsidR="00345761">
      <w:pPr>
        <w:pStyle w:val="FootnoteText"/>
      </w:pPr>
      <w:r>
        <w:rPr>
          <w:rStyle w:val="FootnoteReference"/>
        </w:rPr>
        <w:footnoteRef/>
      </w:r>
      <w:r>
        <w:t xml:space="preserve"> 47 CFR § 1.106(b)(1).</w:t>
      </w:r>
    </w:p>
  </w:footnote>
  <w:footnote w:id="8">
    <w:p w:rsidR="00861626" w:rsidP="002573F8">
      <w:pPr>
        <w:pStyle w:val="FootnoteText"/>
      </w:pPr>
      <w:r w:rsidRPr="002573F8">
        <w:rPr>
          <w:rStyle w:val="FootnoteReference"/>
        </w:rPr>
        <w:footnoteRef/>
      </w:r>
      <w:r>
        <w:t xml:space="preserve"> </w:t>
      </w:r>
      <w:r>
        <w:rPr>
          <w:i/>
        </w:rPr>
        <w:t>See</w:t>
      </w:r>
      <w:r w:rsidRPr="008C5A0A">
        <w:rPr>
          <w:i/>
        </w:rPr>
        <w:t xml:space="preserve"> </w:t>
      </w:r>
      <w:r>
        <w:t xml:space="preserve">47 CFR § 64.1200(a)(2) (2011).  </w:t>
      </w:r>
    </w:p>
  </w:footnote>
  <w:footnote w:id="9">
    <w:p w:rsidR="00861626" w:rsidP="002573F8">
      <w:pPr>
        <w:pStyle w:val="FootnoteText"/>
      </w:pPr>
      <w:r w:rsidRPr="002573F8">
        <w:rPr>
          <w:rStyle w:val="FootnoteReference"/>
        </w:rPr>
        <w:footnoteRef/>
      </w:r>
      <w:r>
        <w:t xml:space="preserve"> </w:t>
      </w:r>
      <w:r>
        <w:rPr>
          <w:i/>
        </w:rPr>
        <w:t>See</w:t>
      </w:r>
      <w:r w:rsidRPr="008C5A0A">
        <w:rPr>
          <w:i/>
        </w:rPr>
        <w:t xml:space="preserve"> </w:t>
      </w:r>
      <w:r>
        <w:rPr>
          <w:i/>
        </w:rPr>
        <w:t xml:space="preserve">id. </w:t>
      </w:r>
      <w:r>
        <w:t xml:space="preserve">§ 64.1200(a)(1) (2011).  This restriction also applied to such calls directed to emergency numbers and other specified locations.  </w:t>
      </w:r>
    </w:p>
  </w:footnote>
  <w:footnote w:id="10">
    <w:p w:rsidR="00861626" w:rsidP="002573F8">
      <w:pPr>
        <w:pStyle w:val="FootnoteText"/>
      </w:pPr>
      <w:r>
        <w:rPr>
          <w:rStyle w:val="FootnoteReference"/>
        </w:rPr>
        <w:footnoteRef/>
      </w:r>
      <w:r>
        <w:t xml:space="preserve"> </w:t>
      </w:r>
      <w:r>
        <w:rPr>
          <w:i/>
        </w:rPr>
        <w:t>See Rules and Regulations Implementing the Telephone Consumer Protection Act of 1991</w:t>
      </w:r>
      <w:r>
        <w:t>, CG Docket No. 02-278, Report and Order, 27 FCC Rcd 1830,</w:t>
      </w:r>
      <w:r w:rsidRPr="00BA6956">
        <w:t xml:space="preserve"> </w:t>
      </w:r>
      <w:r>
        <w:t>1833, para. 7 (2012) (</w:t>
      </w:r>
      <w:r>
        <w:rPr>
          <w:i/>
        </w:rPr>
        <w:t>2012 TCPA Order</w:t>
      </w:r>
      <w:r>
        <w:t>).</w:t>
      </w:r>
    </w:p>
  </w:footnote>
  <w:footnote w:id="11">
    <w:p w:rsidR="00861626">
      <w:pPr>
        <w:pStyle w:val="FootnoteText"/>
      </w:pPr>
      <w:r>
        <w:rPr>
          <w:rStyle w:val="FootnoteReference"/>
        </w:rPr>
        <w:footnoteRef/>
      </w:r>
      <w:r>
        <w:t xml:space="preserve"> </w:t>
      </w:r>
      <w:r w:rsidRPr="002573F8">
        <w:rPr>
          <w:i/>
          <w:iCs/>
        </w:rPr>
        <w:t>2012 TCPA Order</w:t>
      </w:r>
      <w:r>
        <w:t>, 27 FCC Rcd at 1838, para. 20.</w:t>
      </w:r>
    </w:p>
  </w:footnote>
  <w:footnote w:id="12">
    <w:p w:rsidR="00861626" w:rsidP="00AD0F67">
      <w:pPr>
        <w:pStyle w:val="FootnoteText"/>
      </w:pPr>
      <w:r>
        <w:rPr>
          <w:rStyle w:val="FootnoteReference"/>
        </w:rPr>
        <w:footnoteRef/>
      </w:r>
      <w:r>
        <w:t xml:space="preserve"> </w:t>
      </w:r>
      <w:r w:rsidR="00A85087">
        <w:t>47 CFR § 64.1200(f)(8)</w:t>
      </w:r>
      <w:r>
        <w:t xml:space="preserve">; </w:t>
      </w:r>
      <w:r w:rsidRPr="007045F3">
        <w:rPr>
          <w:i/>
          <w:iCs/>
        </w:rPr>
        <w:t>see also</w:t>
      </w:r>
      <w:r>
        <w:t xml:space="preserve"> </w:t>
      </w:r>
      <w:r w:rsidRPr="002573F8">
        <w:rPr>
          <w:i/>
          <w:iCs/>
        </w:rPr>
        <w:t>2012 TCPA Order</w:t>
      </w:r>
      <w:r>
        <w:t>, 27 FCC Rcd at 1844, para. 33.</w:t>
      </w:r>
    </w:p>
  </w:footnote>
  <w:footnote w:id="13">
    <w:p w:rsidR="00861626">
      <w:pPr>
        <w:pStyle w:val="FootnoteText"/>
      </w:pPr>
      <w:r>
        <w:rPr>
          <w:rStyle w:val="FootnoteReference"/>
        </w:rPr>
        <w:footnoteRef/>
      </w:r>
      <w:r>
        <w:t xml:space="preserve"> </w:t>
      </w:r>
      <w:r w:rsidRPr="00EB496B">
        <w:rPr>
          <w:i/>
          <w:iCs/>
        </w:rPr>
        <w:t>Rules and Regulations Implementing the Telephone Consumer Protection Act of 1991</w:t>
      </w:r>
      <w:r>
        <w:t>, CG Docket No. 02-278, Declaratory Ruling and Order, 30 FCC Rcd 7961, 8014, para. 100 (2015) (</w:t>
      </w:r>
      <w:r w:rsidRPr="00EB496B">
        <w:rPr>
          <w:i/>
          <w:iCs/>
        </w:rPr>
        <w:t>2015 TCPA Declaratory Ruling</w:t>
      </w:r>
      <w:r>
        <w:t>).</w:t>
      </w:r>
    </w:p>
  </w:footnote>
  <w:footnote w:id="14">
    <w:p w:rsidR="00861626">
      <w:pPr>
        <w:pStyle w:val="FootnoteText"/>
      </w:pPr>
      <w:r>
        <w:rPr>
          <w:rStyle w:val="FootnoteReference"/>
        </w:rPr>
        <w:footnoteRef/>
      </w:r>
      <w:r>
        <w:t xml:space="preserve"> </w:t>
      </w:r>
      <w:r>
        <w:rPr>
          <w:i/>
          <w:iCs/>
        </w:rPr>
        <w:t>2015 TCPA Declaratory Ruling</w:t>
      </w:r>
      <w:r w:rsidRPr="00036551">
        <w:t>, 30 FCC Rcd at 8014, para. 100</w:t>
      </w:r>
      <w:r>
        <w:t>.</w:t>
      </w:r>
    </w:p>
  </w:footnote>
  <w:footnote w:id="15">
    <w:p w:rsidR="00861626" w:rsidP="00F22A8D">
      <w:pPr>
        <w:pStyle w:val="FootnoteText"/>
      </w:pPr>
      <w:r>
        <w:rPr>
          <w:rStyle w:val="FootnoteReference"/>
        </w:rPr>
        <w:footnoteRef/>
      </w:r>
      <w:r>
        <w:t xml:space="preserve"> </w:t>
      </w:r>
      <w:r>
        <w:rPr>
          <w:i/>
        </w:rPr>
        <w:t xml:space="preserve">Id. </w:t>
      </w:r>
      <w:r>
        <w:t>at 8014, para. 101.</w:t>
      </w:r>
      <w:r w:rsidRPr="00F22A8D">
        <w:t xml:space="preserve"> </w:t>
      </w:r>
      <w:r>
        <w:t xml:space="preserve"> The Commission explained that “the ‘old’ written express consents provided by consumers before October 16, 2013, remain effective for a period of 89 days following release of this Declaratory Ruling.  Petitioners must come into full compliance within 90 days after release of this Declaratory Ruling for each subject call.”  </w:t>
      </w:r>
      <w:r w:rsidRPr="00F22A8D">
        <w:rPr>
          <w:i/>
          <w:iCs/>
        </w:rPr>
        <w:t>Id</w:t>
      </w:r>
      <w:r>
        <w:t>. at 8015, para. 102.</w:t>
      </w:r>
    </w:p>
  </w:footnote>
  <w:footnote w:id="16">
    <w:p w:rsidR="00374E04" w:rsidP="00374E04">
      <w:pPr>
        <w:pStyle w:val="FootnoteText"/>
      </w:pPr>
      <w:r w:rsidRPr="00374E04">
        <w:rPr>
          <w:rStyle w:val="FootnoteReference"/>
        </w:rPr>
        <w:footnoteRef/>
      </w:r>
      <w:r>
        <w:t xml:space="preserve"> </w:t>
      </w:r>
      <w:r>
        <w:rPr>
          <w:i/>
          <w:iCs/>
        </w:rPr>
        <w:t>Rules and Regulations Implementing the Telephone Consumer Protection Act of 1991, Petitions for Waiver and/or Retroactive Waiver of 47 CFR Section 64.1200(a)(2) Regarding the Commission’s Prior Express Written Consent Requirement</w:t>
      </w:r>
      <w:r>
        <w:t>, CG Docket No. 02-278, Order, 31 FCC Rcd 11643 (CGB 2016) (</w:t>
      </w:r>
      <w:r>
        <w:rPr>
          <w:i/>
          <w:iCs/>
        </w:rPr>
        <w:t>2016 TCPA Waiver Order</w:t>
      </w:r>
      <w:r>
        <w:t>).  The petitions, all filed in CG Docket No. 02-278, were filed by Mammoth Mountain Ski Area, LLC (filed Feb. 23, 2015), Kale Realty, LLC (filed July 23, 2015), F-19 Holdings, LLC, and All Affiliated Franchisees (filed July 29, 2015), National Association of Broadcasters (filed Aug. 18, 2015), National Cable &amp; Telecommunications Association (filed Oct. 1, 2015), Rita’s Water Ice (filed Dec. 2, 2015), and Papa Murphy’s Holdings, Inc. and Papa Murphy’s International L.L.C. (filed Feb. 22, 2016).</w:t>
      </w:r>
    </w:p>
  </w:footnote>
  <w:footnote w:id="17">
    <w:p w:rsidR="00AA30D7">
      <w:pPr>
        <w:pStyle w:val="FootnoteText"/>
      </w:pPr>
      <w:r>
        <w:rPr>
          <w:rStyle w:val="FootnoteReference"/>
        </w:rPr>
        <w:footnoteRef/>
      </w:r>
      <w:r>
        <w:t xml:space="preserve"> </w:t>
      </w:r>
      <w:r w:rsidRPr="00AA30D7">
        <w:rPr>
          <w:i/>
          <w:iCs/>
        </w:rPr>
        <w:t xml:space="preserve">See Consumer and Governmental Affairs Bureau Seeks Comment on a Petition for Retroactive Waiver Filed by </w:t>
      </w:r>
      <w:r w:rsidRPr="00AA30D7">
        <w:rPr>
          <w:i/>
          <w:iCs/>
        </w:rPr>
        <w:t>bebe</w:t>
      </w:r>
      <w:r w:rsidRPr="00AA30D7">
        <w:rPr>
          <w:i/>
          <w:iCs/>
        </w:rPr>
        <w:t xml:space="preserve"> Stores, Inc</w:t>
      </w:r>
      <w:r>
        <w:t xml:space="preserve">., CG Docket No. 02-278, Public Notice, 31 FCC Rcd 12767 (CGB 2015); </w:t>
      </w:r>
      <w:r w:rsidRPr="00AA30D7">
        <w:rPr>
          <w:i/>
          <w:iCs/>
        </w:rPr>
        <w:t xml:space="preserve">Consumer and Governmental Affairs Bureau Seeks Comment on a Petition for Retroactive Waiver Filed by </w:t>
      </w:r>
      <w:r w:rsidRPr="00AA30D7">
        <w:rPr>
          <w:i/>
          <w:iCs/>
        </w:rPr>
        <w:t>ViSalus</w:t>
      </w:r>
      <w:r w:rsidRPr="00AA30D7">
        <w:rPr>
          <w:i/>
          <w:iCs/>
        </w:rPr>
        <w:t>, Inc. under the Telephone Consumer Protection Act</w:t>
      </w:r>
      <w:r>
        <w:t xml:space="preserve">, CG Docket No. 02-278, Public Notice, 33 FCC Rcd 6027 (CGB 2018).  There were no comments filed regarding the </w:t>
      </w:r>
      <w:r>
        <w:t>ViSalus</w:t>
      </w:r>
      <w:r>
        <w:t xml:space="preserve"> petition.</w:t>
      </w:r>
    </w:p>
  </w:footnote>
  <w:footnote w:id="18">
    <w:p w:rsidR="00861626" w:rsidP="004016A1">
      <w:pPr>
        <w:pStyle w:val="FootnoteText"/>
      </w:pPr>
      <w:r>
        <w:rPr>
          <w:rStyle w:val="FootnoteReference"/>
        </w:rPr>
        <w:footnoteRef/>
      </w:r>
      <w:r>
        <w:rPr>
          <w:i/>
          <w:iCs/>
        </w:rPr>
        <w:t xml:space="preserve"> </w:t>
      </w:r>
      <w:r w:rsidRPr="004016A1">
        <w:rPr>
          <w:i/>
          <w:iCs/>
        </w:rPr>
        <w:t xml:space="preserve">2019 </w:t>
      </w:r>
      <w:r>
        <w:rPr>
          <w:i/>
          <w:iCs/>
        </w:rPr>
        <w:t xml:space="preserve">TCPA </w:t>
      </w:r>
      <w:r w:rsidRPr="00F74AAA">
        <w:rPr>
          <w:i/>
          <w:iCs/>
        </w:rPr>
        <w:t>Waiver Order</w:t>
      </w:r>
      <w:r>
        <w:t>, 34 FCC Rcd at 4851, para. 1.</w:t>
      </w:r>
    </w:p>
  </w:footnote>
  <w:footnote w:id="19">
    <w:p w:rsidR="00861626">
      <w:pPr>
        <w:pStyle w:val="FootnoteText"/>
      </w:pPr>
      <w:r>
        <w:rPr>
          <w:rStyle w:val="FootnoteReference"/>
        </w:rPr>
        <w:footnoteRef/>
      </w:r>
      <w:r>
        <w:t xml:space="preserve"> </w:t>
      </w:r>
      <w:r>
        <w:rPr>
          <w:i/>
          <w:iCs/>
        </w:rPr>
        <w:t xml:space="preserve">Id. </w:t>
      </w:r>
      <w:r>
        <w:t>at 4855, para 11.</w:t>
      </w:r>
    </w:p>
  </w:footnote>
  <w:footnote w:id="20">
    <w:p w:rsidR="00861626">
      <w:pPr>
        <w:pStyle w:val="FootnoteText"/>
      </w:pPr>
      <w:r>
        <w:rPr>
          <w:rStyle w:val="FootnoteReference"/>
        </w:rPr>
        <w:footnoteRef/>
      </w:r>
      <w:r>
        <w:t xml:space="preserve"> </w:t>
      </w:r>
      <w:r>
        <w:rPr>
          <w:i/>
          <w:iCs/>
        </w:rPr>
        <w:t xml:space="preserve">Id. </w:t>
      </w:r>
      <w:r>
        <w:t>(emphasis in original).</w:t>
      </w:r>
    </w:p>
  </w:footnote>
  <w:footnote w:id="21">
    <w:p w:rsidR="00700F89">
      <w:pPr>
        <w:pStyle w:val="FootnoteText"/>
      </w:pPr>
      <w:r>
        <w:rPr>
          <w:rStyle w:val="FootnoteReference"/>
        </w:rPr>
        <w:footnoteRef/>
      </w:r>
      <w:r>
        <w:t xml:space="preserve"> </w:t>
      </w:r>
      <w:r w:rsidRPr="00900069" w:rsidR="00281EB9">
        <w:t>Wakefield</w:t>
      </w:r>
      <w:r w:rsidR="00281EB9">
        <w:t xml:space="preserve"> </w:t>
      </w:r>
      <w:r>
        <w:t>Petition at 5.</w:t>
      </w:r>
    </w:p>
  </w:footnote>
  <w:footnote w:id="22">
    <w:p w:rsidR="00374C3C">
      <w:pPr>
        <w:pStyle w:val="FootnoteText"/>
      </w:pPr>
      <w:r>
        <w:rPr>
          <w:rStyle w:val="FootnoteReference"/>
        </w:rPr>
        <w:footnoteRef/>
      </w:r>
      <w:r>
        <w:t xml:space="preserve"> </w:t>
      </w:r>
      <w:r w:rsidRPr="00374C3C">
        <w:rPr>
          <w:i/>
          <w:iCs/>
        </w:rPr>
        <w:t>Id</w:t>
      </w:r>
      <w:r>
        <w:t xml:space="preserve">. </w:t>
      </w:r>
    </w:p>
  </w:footnote>
  <w:footnote w:id="23">
    <w:p w:rsidR="00861626">
      <w:pPr>
        <w:pStyle w:val="FootnoteText"/>
      </w:pPr>
      <w:r>
        <w:rPr>
          <w:rStyle w:val="FootnoteReference"/>
        </w:rPr>
        <w:footnoteRef/>
      </w:r>
      <w:r>
        <w:t xml:space="preserve"> </w:t>
      </w:r>
      <w:r w:rsidRPr="00610CD5" w:rsidR="00610CD5">
        <w:rPr>
          <w:i/>
          <w:iCs/>
        </w:rPr>
        <w:t>Id</w:t>
      </w:r>
      <w:r w:rsidR="00610CD5">
        <w:t xml:space="preserve">. </w:t>
      </w:r>
      <w:r>
        <w:t>at 2-5.</w:t>
      </w:r>
    </w:p>
  </w:footnote>
  <w:footnote w:id="24">
    <w:p w:rsidR="00861626">
      <w:pPr>
        <w:pStyle w:val="FootnoteText"/>
      </w:pPr>
      <w:r>
        <w:rPr>
          <w:rStyle w:val="FootnoteReference"/>
        </w:rPr>
        <w:footnoteRef/>
      </w:r>
      <w:r>
        <w:t xml:space="preserve"> </w:t>
      </w:r>
      <w:r w:rsidRPr="00A174CE">
        <w:rPr>
          <w:i/>
          <w:iCs/>
        </w:rPr>
        <w:t>Id</w:t>
      </w:r>
      <w:r>
        <w:t>. at 5-6.</w:t>
      </w:r>
    </w:p>
  </w:footnote>
  <w:footnote w:id="25">
    <w:p w:rsidR="00861626" w:rsidP="00C14B37">
      <w:pPr>
        <w:pStyle w:val="FootnoteText"/>
      </w:pPr>
      <w:r>
        <w:rPr>
          <w:rStyle w:val="FootnoteReference"/>
        </w:rPr>
        <w:footnoteRef/>
      </w:r>
      <w:r>
        <w:t xml:space="preserve"> </w:t>
      </w:r>
      <w:r w:rsidRPr="009E6106">
        <w:rPr>
          <w:i/>
          <w:iCs/>
        </w:rPr>
        <w:t>Id</w:t>
      </w:r>
      <w:r>
        <w:t xml:space="preserve">. at 6.  </w:t>
      </w:r>
    </w:p>
  </w:footnote>
  <w:footnote w:id="26">
    <w:p w:rsidR="00374C3C">
      <w:pPr>
        <w:pStyle w:val="FootnoteText"/>
      </w:pPr>
      <w:r>
        <w:rPr>
          <w:rStyle w:val="FootnoteReference"/>
        </w:rPr>
        <w:footnoteRef/>
      </w:r>
      <w:r>
        <w:t xml:space="preserve"> Opposition of </w:t>
      </w:r>
      <w:r>
        <w:t>ViSalus</w:t>
      </w:r>
      <w:r>
        <w:t>, Inc. to Petition for Reconsideration, CG Docket No. 02-278 at 3 (filed July 25, 2019) (</w:t>
      </w:r>
      <w:r>
        <w:t>ViSalus</w:t>
      </w:r>
      <w:r>
        <w:t xml:space="preserve"> Opposition).</w:t>
      </w:r>
    </w:p>
  </w:footnote>
  <w:footnote w:id="27">
    <w:p w:rsidR="00861626" w:rsidP="00DA2FBE">
      <w:pPr>
        <w:pStyle w:val="FootnoteText"/>
      </w:pPr>
      <w:r>
        <w:rPr>
          <w:rStyle w:val="FootnoteReference"/>
        </w:rPr>
        <w:footnoteRef/>
      </w:r>
      <w:r>
        <w:t xml:space="preserve"> </w:t>
      </w:r>
      <w:r w:rsidRPr="00387E9E" w:rsidR="00387E9E">
        <w:rPr>
          <w:i/>
          <w:iCs/>
        </w:rPr>
        <w:t>Id.</w:t>
      </w:r>
    </w:p>
  </w:footnote>
  <w:footnote w:id="28">
    <w:p w:rsidR="004C3685">
      <w:pPr>
        <w:pStyle w:val="FootnoteText"/>
      </w:pPr>
      <w:r>
        <w:rPr>
          <w:rStyle w:val="FootnoteReference"/>
        </w:rPr>
        <w:footnoteRef/>
      </w:r>
      <w:r>
        <w:t xml:space="preserve"> </w:t>
      </w:r>
      <w:r w:rsidRPr="004C3685">
        <w:rPr>
          <w:i/>
          <w:iCs/>
        </w:rPr>
        <w:t>Id</w:t>
      </w:r>
      <w:r>
        <w:t>. at 4.</w:t>
      </w:r>
      <w:r w:rsidR="00201AA6">
        <w:t xml:space="preserve">  </w:t>
      </w:r>
      <w:r w:rsidR="00201AA6">
        <w:t>ViSalus</w:t>
      </w:r>
      <w:r w:rsidR="00201AA6">
        <w:t xml:space="preserve"> observes that Wakefield admits that she was not adversely affected by the waiver, specifically, “a decision by the Commission not to enforce its own rules against </w:t>
      </w:r>
      <w:r w:rsidR="00201AA6">
        <w:t>ViSalus</w:t>
      </w:r>
      <w:r w:rsidR="00201AA6">
        <w:t xml:space="preserve"> would be of no moment for her claim, because </w:t>
      </w:r>
      <w:r w:rsidR="00201AA6">
        <w:t>ViSalus</w:t>
      </w:r>
      <w:r w:rsidR="00201AA6">
        <w:t xml:space="preserve"> had no evidence that she had consented to be robocalled </w:t>
      </w:r>
      <w:r w:rsidRPr="00201AA6" w:rsidR="00201AA6">
        <w:rPr>
          <w:i/>
          <w:iCs/>
        </w:rPr>
        <w:t>at all</w:t>
      </w:r>
      <w:r w:rsidR="00201AA6">
        <w:t xml:space="preserve">.” </w:t>
      </w:r>
      <w:r w:rsidR="00281EB9">
        <w:t xml:space="preserve"> </w:t>
      </w:r>
      <w:r w:rsidRPr="00201AA6" w:rsidR="00201AA6">
        <w:rPr>
          <w:i/>
          <w:iCs/>
        </w:rPr>
        <w:t>Id</w:t>
      </w:r>
      <w:r w:rsidR="00201AA6">
        <w:t>. at 5 (quoting Petition at 2</w:t>
      </w:r>
      <w:r w:rsidR="00281EB9">
        <w:t>,</w:t>
      </w:r>
      <w:r w:rsidR="00201AA6">
        <w:t xml:space="preserve"> n.5 (emphasis in original)).</w:t>
      </w:r>
    </w:p>
  </w:footnote>
  <w:footnote w:id="29">
    <w:p w:rsidR="00E43152">
      <w:pPr>
        <w:pStyle w:val="FootnoteText"/>
      </w:pPr>
      <w:r>
        <w:rPr>
          <w:rStyle w:val="FootnoteReference"/>
        </w:rPr>
        <w:footnoteRef/>
      </w:r>
      <w:r>
        <w:t xml:space="preserve"> </w:t>
      </w:r>
      <w:r w:rsidRPr="00E43152">
        <w:rPr>
          <w:i/>
          <w:iCs/>
        </w:rPr>
        <w:t>Id</w:t>
      </w:r>
      <w:r>
        <w:t>.</w:t>
      </w:r>
    </w:p>
  </w:footnote>
  <w:footnote w:id="30">
    <w:p w:rsidR="00861626">
      <w:pPr>
        <w:pStyle w:val="FootnoteText"/>
      </w:pPr>
      <w:r>
        <w:rPr>
          <w:rStyle w:val="FootnoteReference"/>
        </w:rPr>
        <w:footnoteRef/>
      </w:r>
      <w:r>
        <w:t xml:space="preserve"> 47 CFR § 1.106(b)(</w:t>
      </w:r>
      <w:r w:rsidR="0006099F">
        <w:t>1</w:t>
      </w:r>
      <w:r>
        <w:t>).</w:t>
      </w:r>
      <w:r w:rsidRPr="00BF6748" w:rsidR="00BF6748">
        <w:t xml:space="preserve"> </w:t>
      </w:r>
      <w:r w:rsidR="00BF6748">
        <w:t>Section 1.106(b)(1), provides, in relevant part, that: “any party to the proceeding, or any other person whose interests are adversely affected by any action taken by the Commission or by the designated authority, may file a petition requesting reconsideration of the action taken. If the petition is filed by a person who is not a party to the proceeding, it shall state with particularity the manner in which the person’s interests are adversely affected by the action taken, and shall show good reason why it was not possible for him to participate in the earlier stages of the proceeding.”</w:t>
      </w:r>
    </w:p>
  </w:footnote>
  <w:footnote w:id="31">
    <w:p w:rsidR="00861626" w:rsidP="00C21933">
      <w:pPr>
        <w:pStyle w:val="FootnoteText"/>
      </w:pPr>
      <w:r>
        <w:rPr>
          <w:rStyle w:val="FootnoteReference"/>
        </w:rPr>
        <w:footnoteRef/>
      </w:r>
      <w:r>
        <w:t xml:space="preserve"> </w:t>
      </w:r>
      <w:r w:rsidRPr="009D650D">
        <w:rPr>
          <w:i/>
        </w:rPr>
        <w:t>Id</w:t>
      </w:r>
      <w:r>
        <w:t>. § 1.106(c)(2).</w:t>
      </w:r>
    </w:p>
  </w:footnote>
  <w:footnote w:id="32">
    <w:p w:rsidR="00861626" w:rsidP="00BA7691">
      <w:pPr>
        <w:pStyle w:val="FootnoteText"/>
      </w:pPr>
      <w:r>
        <w:rPr>
          <w:rStyle w:val="FootnoteReference"/>
        </w:rPr>
        <w:footnoteRef/>
      </w:r>
      <w:r>
        <w:t xml:space="preserve"> </w:t>
      </w:r>
      <w:r w:rsidRPr="0078515D">
        <w:rPr>
          <w:i/>
        </w:rPr>
        <w:t>Id</w:t>
      </w:r>
      <w:r>
        <w:t>. § 1.106(b)(1).</w:t>
      </w:r>
      <w:r w:rsidRPr="00BA7691" w:rsidR="00BA7691">
        <w:t xml:space="preserve"> </w:t>
      </w:r>
      <w:r w:rsidR="00BA7691">
        <w:t xml:space="preserve"> </w:t>
      </w:r>
    </w:p>
  </w:footnote>
  <w:footnote w:id="33">
    <w:p w:rsidR="00861626">
      <w:pPr>
        <w:pStyle w:val="FootnoteText"/>
      </w:pPr>
      <w:r>
        <w:rPr>
          <w:rStyle w:val="FootnoteReference"/>
        </w:rPr>
        <w:footnoteRef/>
      </w:r>
      <w:r>
        <w:t xml:space="preserve"> Wakefield Petition at 2 n</w:t>
      </w:r>
      <w:r w:rsidR="00BA7691">
        <w:t>.</w:t>
      </w:r>
      <w:r>
        <w:t>5.</w:t>
      </w:r>
    </w:p>
  </w:footnote>
  <w:footnote w:id="34">
    <w:p w:rsidR="00861626" w:rsidP="00811FAA">
      <w:pPr>
        <w:pStyle w:val="FootnoteText"/>
      </w:pPr>
      <w:r>
        <w:rPr>
          <w:rStyle w:val="FootnoteReference"/>
        </w:rPr>
        <w:footnoteRef/>
      </w:r>
      <w:r>
        <w:t xml:space="preserve"> </w:t>
      </w:r>
      <w:r w:rsidRPr="00AC5D55">
        <w:rPr>
          <w:i/>
          <w:iCs/>
        </w:rPr>
        <w:t xml:space="preserve">2019 </w:t>
      </w:r>
      <w:r>
        <w:rPr>
          <w:i/>
          <w:iCs/>
        </w:rPr>
        <w:t xml:space="preserve">TCPA </w:t>
      </w:r>
      <w:r w:rsidRPr="00AC5D55">
        <w:rPr>
          <w:i/>
          <w:iCs/>
        </w:rPr>
        <w:t>Waiver Order</w:t>
      </w:r>
      <w:r>
        <w:t>, 34 FCC Rcd at 4855, para 11.</w:t>
      </w:r>
    </w:p>
  </w:footnote>
  <w:footnote w:id="35">
    <w:p w:rsidR="00861626" w:rsidP="00811FAA">
      <w:pPr>
        <w:pStyle w:val="FootnoteText"/>
      </w:pPr>
      <w:r>
        <w:rPr>
          <w:rStyle w:val="FootnoteReference"/>
        </w:rPr>
        <w:footnoteRef/>
      </w:r>
      <w:r>
        <w:t xml:space="preserve"> </w:t>
      </w:r>
      <w:r>
        <w:t>ViSalus</w:t>
      </w:r>
      <w:r>
        <w:t xml:space="preserve"> Opposition at 4 (“[C]</w:t>
      </w:r>
      <w:r>
        <w:t>alls</w:t>
      </w:r>
      <w:r>
        <w:t xml:space="preserve"> for which </w:t>
      </w:r>
      <w:r>
        <w:t>ViSalus</w:t>
      </w:r>
      <w:r>
        <w:t xml:space="preserve"> </w:t>
      </w:r>
      <w:r w:rsidRPr="00CA0942">
        <w:rPr>
          <w:i/>
          <w:iCs/>
        </w:rPr>
        <w:t>had not</w:t>
      </w:r>
      <w:r>
        <w:t xml:space="preserve"> secured written consent are </w:t>
      </w:r>
      <w:r w:rsidRPr="00CA0942">
        <w:rPr>
          <w:i/>
          <w:iCs/>
        </w:rPr>
        <w:t>not</w:t>
      </w:r>
      <w:r>
        <w:t xml:space="preserve"> covered by the waiver.”) (Emphasis in original</w:t>
      </w:r>
      <w:r w:rsidR="008540B7">
        <w:t>).</w:t>
      </w:r>
    </w:p>
  </w:footnote>
  <w:footnote w:id="36">
    <w:p w:rsidR="008540B7"/>
  </w:footnote>
  <w:footnote w:id="37">
    <w:p w:rsidR="008540B7">
      <w:pPr>
        <w:pStyle w:val="FootnoteText"/>
      </w:pPr>
      <w:r>
        <w:rPr>
          <w:rStyle w:val="FootnoteReference"/>
        </w:rPr>
        <w:footnoteRef/>
      </w:r>
      <w:r>
        <w:t xml:space="preserve"> Wakefield Petition at 2</w:t>
      </w:r>
      <w:r w:rsidR="00107A41">
        <w:t>,</w:t>
      </w:r>
      <w:r>
        <w:t xml:space="preserve"> n.5.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795" w:rsidP="00810B6F">
    <w:pPr>
      <w:pStyle w:val="Header"/>
      <w:rPr>
        <w:b w:val="0"/>
      </w:rPr>
    </w:pPr>
    <w:r>
      <w:tab/>
      <w:t>Federal Communications Commission</w:t>
    </w:r>
    <w:r>
      <w:tab/>
      <w:t>DA 20-</w:t>
    </w:r>
    <w:r w:rsidR="004927D8">
      <w:t>978</w:t>
    </w:r>
  </w:p>
  <w:p w:rsidR="001A079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w10:wrap anchorx="margin"/>
        </v:rect>
      </w:pict>
    </w:r>
  </w:p>
  <w:p w:rsidR="001A079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79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w10:wrap anchorx="margin"/>
        </v:rect>
      </w:pict>
    </w:r>
    <w:r>
      <w:tab/>
      <w:t>Federal Communications Commission</w:t>
    </w:r>
    <w:r>
      <w:tab/>
      <w:t xml:space="preserve">DA </w:t>
    </w:r>
    <w:r w:rsidR="004927D8">
      <w:t>20-978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cs="Times New Roman" w:hint="default"/>
      </w:rPr>
    </w:lvl>
  </w:abstractNum>
  <w:abstractNum w:abstractNumId="5">
    <w:nsid w:val="4A9E4F48"/>
    <w:multiLevelType w:val="hybridMultilevel"/>
    <w:tmpl w:val="7EF052C2"/>
    <w:lvl w:ilvl="0">
      <w:start w:val="1"/>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1A12F3B"/>
    <w:multiLevelType w:val="hybridMultilevel"/>
    <w:tmpl w:val="45B8326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6E254F7F"/>
    <w:multiLevelType w:val="hybridMultilevel"/>
    <w:tmpl w:val="45B8326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 w:numId="9">
    <w:abstractNumId w:val="9"/>
  </w:num>
  <w:num w:numId="10">
    <w:abstractNumId w:val="7"/>
    <w:lvlOverride w:ilvl="0">
      <w:startOverride w:val="1"/>
    </w:lvlOverride>
  </w:num>
  <w:num w:numId="11">
    <w:abstractNumId w:val="8"/>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42"/>
    <w:rsid w:val="0000393F"/>
    <w:rsid w:val="000068DE"/>
    <w:rsid w:val="00010968"/>
    <w:rsid w:val="00010D14"/>
    <w:rsid w:val="000121A0"/>
    <w:rsid w:val="00016BBE"/>
    <w:rsid w:val="00027BFD"/>
    <w:rsid w:val="00034CB5"/>
    <w:rsid w:val="00035661"/>
    <w:rsid w:val="000356DB"/>
    <w:rsid w:val="00036039"/>
    <w:rsid w:val="00036551"/>
    <w:rsid w:val="00037F90"/>
    <w:rsid w:val="000435E8"/>
    <w:rsid w:val="00045BC1"/>
    <w:rsid w:val="0005733B"/>
    <w:rsid w:val="0006099F"/>
    <w:rsid w:val="00067D53"/>
    <w:rsid w:val="000725F1"/>
    <w:rsid w:val="000752B4"/>
    <w:rsid w:val="000875BF"/>
    <w:rsid w:val="00087BBB"/>
    <w:rsid w:val="000904DA"/>
    <w:rsid w:val="00091078"/>
    <w:rsid w:val="0009219D"/>
    <w:rsid w:val="00096D8C"/>
    <w:rsid w:val="000B5D59"/>
    <w:rsid w:val="000C0B65"/>
    <w:rsid w:val="000D0799"/>
    <w:rsid w:val="000D71F9"/>
    <w:rsid w:val="000E05FE"/>
    <w:rsid w:val="000E060B"/>
    <w:rsid w:val="000E349F"/>
    <w:rsid w:val="000E3D42"/>
    <w:rsid w:val="000F0A44"/>
    <w:rsid w:val="00107A41"/>
    <w:rsid w:val="00111529"/>
    <w:rsid w:val="0011472D"/>
    <w:rsid w:val="00114A49"/>
    <w:rsid w:val="0012037B"/>
    <w:rsid w:val="00122BD5"/>
    <w:rsid w:val="001268EC"/>
    <w:rsid w:val="0013378B"/>
    <w:rsid w:val="00133F79"/>
    <w:rsid w:val="00135241"/>
    <w:rsid w:val="00136035"/>
    <w:rsid w:val="001420AD"/>
    <w:rsid w:val="00145350"/>
    <w:rsid w:val="00154CFD"/>
    <w:rsid w:val="00156E04"/>
    <w:rsid w:val="0017114D"/>
    <w:rsid w:val="00173AD9"/>
    <w:rsid w:val="001855A5"/>
    <w:rsid w:val="00193F2C"/>
    <w:rsid w:val="00194A66"/>
    <w:rsid w:val="0019578B"/>
    <w:rsid w:val="00195C95"/>
    <w:rsid w:val="00196A42"/>
    <w:rsid w:val="0019794C"/>
    <w:rsid w:val="001A0795"/>
    <w:rsid w:val="001A28C1"/>
    <w:rsid w:val="001A3F85"/>
    <w:rsid w:val="001C121A"/>
    <w:rsid w:val="001C7C78"/>
    <w:rsid w:val="001D07D3"/>
    <w:rsid w:val="001D5F4D"/>
    <w:rsid w:val="001D6BCF"/>
    <w:rsid w:val="001E01CA"/>
    <w:rsid w:val="001E21A8"/>
    <w:rsid w:val="001E4579"/>
    <w:rsid w:val="001F3C4C"/>
    <w:rsid w:val="00201AA6"/>
    <w:rsid w:val="002027EC"/>
    <w:rsid w:val="00206E85"/>
    <w:rsid w:val="002174C0"/>
    <w:rsid w:val="00230C57"/>
    <w:rsid w:val="0024744A"/>
    <w:rsid w:val="00250385"/>
    <w:rsid w:val="0025185E"/>
    <w:rsid w:val="00252ABB"/>
    <w:rsid w:val="0025350E"/>
    <w:rsid w:val="002538E3"/>
    <w:rsid w:val="002553B1"/>
    <w:rsid w:val="002573F8"/>
    <w:rsid w:val="00263F44"/>
    <w:rsid w:val="00265DA8"/>
    <w:rsid w:val="00266395"/>
    <w:rsid w:val="00272A7B"/>
    <w:rsid w:val="00275216"/>
    <w:rsid w:val="00275CF5"/>
    <w:rsid w:val="0027761B"/>
    <w:rsid w:val="0028144A"/>
    <w:rsid w:val="00281EB9"/>
    <w:rsid w:val="0028301F"/>
    <w:rsid w:val="00283564"/>
    <w:rsid w:val="00285017"/>
    <w:rsid w:val="00285F59"/>
    <w:rsid w:val="002A29F2"/>
    <w:rsid w:val="002A2D2E"/>
    <w:rsid w:val="002B7BFC"/>
    <w:rsid w:val="002C00E8"/>
    <w:rsid w:val="002C4B1C"/>
    <w:rsid w:val="002C4B55"/>
    <w:rsid w:val="002D0AF8"/>
    <w:rsid w:val="002D7766"/>
    <w:rsid w:val="002E2DE6"/>
    <w:rsid w:val="002F6497"/>
    <w:rsid w:val="002F7A84"/>
    <w:rsid w:val="00300851"/>
    <w:rsid w:val="00307BE7"/>
    <w:rsid w:val="00307F2F"/>
    <w:rsid w:val="003171AE"/>
    <w:rsid w:val="00326FDE"/>
    <w:rsid w:val="00335C8B"/>
    <w:rsid w:val="00343749"/>
    <w:rsid w:val="00344395"/>
    <w:rsid w:val="00345761"/>
    <w:rsid w:val="003618B0"/>
    <w:rsid w:val="00362E91"/>
    <w:rsid w:val="0036458F"/>
    <w:rsid w:val="0036608B"/>
    <w:rsid w:val="003660ED"/>
    <w:rsid w:val="00374C3C"/>
    <w:rsid w:val="00374E04"/>
    <w:rsid w:val="0037751D"/>
    <w:rsid w:val="00387E9E"/>
    <w:rsid w:val="00390BA5"/>
    <w:rsid w:val="00396266"/>
    <w:rsid w:val="00397F91"/>
    <w:rsid w:val="003A17DB"/>
    <w:rsid w:val="003A27BD"/>
    <w:rsid w:val="003B0550"/>
    <w:rsid w:val="003B694F"/>
    <w:rsid w:val="003B7F34"/>
    <w:rsid w:val="003D070E"/>
    <w:rsid w:val="003D7591"/>
    <w:rsid w:val="003E0FF9"/>
    <w:rsid w:val="003E2D6B"/>
    <w:rsid w:val="003E332B"/>
    <w:rsid w:val="003E41A0"/>
    <w:rsid w:val="003F171C"/>
    <w:rsid w:val="003F46C3"/>
    <w:rsid w:val="003F5D78"/>
    <w:rsid w:val="0040114A"/>
    <w:rsid w:val="004016A1"/>
    <w:rsid w:val="004123D7"/>
    <w:rsid w:val="00412FC5"/>
    <w:rsid w:val="00421CEC"/>
    <w:rsid w:val="00422276"/>
    <w:rsid w:val="00422458"/>
    <w:rsid w:val="004242F1"/>
    <w:rsid w:val="00434C9E"/>
    <w:rsid w:val="004353CA"/>
    <w:rsid w:val="00445A00"/>
    <w:rsid w:val="00451B0F"/>
    <w:rsid w:val="00452805"/>
    <w:rsid w:val="004536C7"/>
    <w:rsid w:val="00455852"/>
    <w:rsid w:val="00455E16"/>
    <w:rsid w:val="004604E7"/>
    <w:rsid w:val="0046095F"/>
    <w:rsid w:val="00460F12"/>
    <w:rsid w:val="00461159"/>
    <w:rsid w:val="004663C0"/>
    <w:rsid w:val="0047183B"/>
    <w:rsid w:val="00471C6B"/>
    <w:rsid w:val="004927D8"/>
    <w:rsid w:val="00496A5B"/>
    <w:rsid w:val="004A33A1"/>
    <w:rsid w:val="004B1703"/>
    <w:rsid w:val="004B2889"/>
    <w:rsid w:val="004C2EE3"/>
    <w:rsid w:val="004C3685"/>
    <w:rsid w:val="004C6E44"/>
    <w:rsid w:val="004D02C7"/>
    <w:rsid w:val="004E0B23"/>
    <w:rsid w:val="004E4A22"/>
    <w:rsid w:val="004E7E5A"/>
    <w:rsid w:val="004F4B20"/>
    <w:rsid w:val="004F5D6B"/>
    <w:rsid w:val="00501BB4"/>
    <w:rsid w:val="00502908"/>
    <w:rsid w:val="005111EF"/>
    <w:rsid w:val="00511968"/>
    <w:rsid w:val="0051308F"/>
    <w:rsid w:val="00513F71"/>
    <w:rsid w:val="0052577A"/>
    <w:rsid w:val="00525BA8"/>
    <w:rsid w:val="00527AD4"/>
    <w:rsid w:val="00540C37"/>
    <w:rsid w:val="005526A5"/>
    <w:rsid w:val="00553279"/>
    <w:rsid w:val="0055614C"/>
    <w:rsid w:val="0055632F"/>
    <w:rsid w:val="005658F8"/>
    <w:rsid w:val="005665D0"/>
    <w:rsid w:val="00566D06"/>
    <w:rsid w:val="00576F97"/>
    <w:rsid w:val="00586BCD"/>
    <w:rsid w:val="00594B35"/>
    <w:rsid w:val="00597B01"/>
    <w:rsid w:val="005A2EFD"/>
    <w:rsid w:val="005A70DB"/>
    <w:rsid w:val="005B117D"/>
    <w:rsid w:val="005B4962"/>
    <w:rsid w:val="005B739D"/>
    <w:rsid w:val="005C41D5"/>
    <w:rsid w:val="005D1431"/>
    <w:rsid w:val="005D1FDA"/>
    <w:rsid w:val="005D41E6"/>
    <w:rsid w:val="005D5FA1"/>
    <w:rsid w:val="005D68A1"/>
    <w:rsid w:val="005D6BCC"/>
    <w:rsid w:val="005E0106"/>
    <w:rsid w:val="005E14C2"/>
    <w:rsid w:val="005E2296"/>
    <w:rsid w:val="005E4603"/>
    <w:rsid w:val="005E4E81"/>
    <w:rsid w:val="005E4FCB"/>
    <w:rsid w:val="005F1442"/>
    <w:rsid w:val="005F5331"/>
    <w:rsid w:val="005F55FF"/>
    <w:rsid w:val="00601822"/>
    <w:rsid w:val="00601D33"/>
    <w:rsid w:val="006056D0"/>
    <w:rsid w:val="00607BA5"/>
    <w:rsid w:val="00610CD5"/>
    <w:rsid w:val="0061180A"/>
    <w:rsid w:val="00614307"/>
    <w:rsid w:val="00621BB8"/>
    <w:rsid w:val="00622A0E"/>
    <w:rsid w:val="00626EB6"/>
    <w:rsid w:val="006272F1"/>
    <w:rsid w:val="00635A68"/>
    <w:rsid w:val="00641C77"/>
    <w:rsid w:val="0064316E"/>
    <w:rsid w:val="00651A4C"/>
    <w:rsid w:val="00655D03"/>
    <w:rsid w:val="00667AE2"/>
    <w:rsid w:val="0067102E"/>
    <w:rsid w:val="006771C0"/>
    <w:rsid w:val="00677A2D"/>
    <w:rsid w:val="00680315"/>
    <w:rsid w:val="00680688"/>
    <w:rsid w:val="00683388"/>
    <w:rsid w:val="00683F84"/>
    <w:rsid w:val="00696F54"/>
    <w:rsid w:val="006A005E"/>
    <w:rsid w:val="006A3681"/>
    <w:rsid w:val="006A6A81"/>
    <w:rsid w:val="006B2CD0"/>
    <w:rsid w:val="006B401B"/>
    <w:rsid w:val="006B6DFB"/>
    <w:rsid w:val="006B773F"/>
    <w:rsid w:val="006D0824"/>
    <w:rsid w:val="006D49F9"/>
    <w:rsid w:val="006E3032"/>
    <w:rsid w:val="006E37F3"/>
    <w:rsid w:val="006F707A"/>
    <w:rsid w:val="006F7393"/>
    <w:rsid w:val="00700F89"/>
    <w:rsid w:val="0070224F"/>
    <w:rsid w:val="007045F3"/>
    <w:rsid w:val="00707D8A"/>
    <w:rsid w:val="007115F7"/>
    <w:rsid w:val="0071209B"/>
    <w:rsid w:val="0072109E"/>
    <w:rsid w:val="00744F62"/>
    <w:rsid w:val="00757F76"/>
    <w:rsid w:val="007624D6"/>
    <w:rsid w:val="007720D6"/>
    <w:rsid w:val="00772A02"/>
    <w:rsid w:val="007844D0"/>
    <w:rsid w:val="0078515D"/>
    <w:rsid w:val="007855B4"/>
    <w:rsid w:val="00785689"/>
    <w:rsid w:val="0079754B"/>
    <w:rsid w:val="007A0376"/>
    <w:rsid w:val="007A1E6D"/>
    <w:rsid w:val="007A248E"/>
    <w:rsid w:val="007B0EB2"/>
    <w:rsid w:val="007B1ADA"/>
    <w:rsid w:val="007C39F1"/>
    <w:rsid w:val="007C755E"/>
    <w:rsid w:val="007D18A1"/>
    <w:rsid w:val="007D2299"/>
    <w:rsid w:val="007E73A7"/>
    <w:rsid w:val="007F00B7"/>
    <w:rsid w:val="007F416B"/>
    <w:rsid w:val="008019BA"/>
    <w:rsid w:val="00803570"/>
    <w:rsid w:val="00803611"/>
    <w:rsid w:val="00804088"/>
    <w:rsid w:val="00805E15"/>
    <w:rsid w:val="00810B6F"/>
    <w:rsid w:val="00811FAA"/>
    <w:rsid w:val="0081558F"/>
    <w:rsid w:val="00822CE0"/>
    <w:rsid w:val="00841AB1"/>
    <w:rsid w:val="0084646A"/>
    <w:rsid w:val="008471F2"/>
    <w:rsid w:val="008478D4"/>
    <w:rsid w:val="00847B77"/>
    <w:rsid w:val="00852D7C"/>
    <w:rsid w:val="00853AD9"/>
    <w:rsid w:val="008540B7"/>
    <w:rsid w:val="00861556"/>
    <w:rsid w:val="00861626"/>
    <w:rsid w:val="008844A0"/>
    <w:rsid w:val="00884E17"/>
    <w:rsid w:val="00893BC9"/>
    <w:rsid w:val="008963A9"/>
    <w:rsid w:val="00896829"/>
    <w:rsid w:val="00897A96"/>
    <w:rsid w:val="008A33BA"/>
    <w:rsid w:val="008B426C"/>
    <w:rsid w:val="008B5790"/>
    <w:rsid w:val="008C06F2"/>
    <w:rsid w:val="008C0B5A"/>
    <w:rsid w:val="008C391B"/>
    <w:rsid w:val="008C5430"/>
    <w:rsid w:val="008C5A0A"/>
    <w:rsid w:val="008C68F1"/>
    <w:rsid w:val="008D5975"/>
    <w:rsid w:val="008E62E2"/>
    <w:rsid w:val="008F3E7A"/>
    <w:rsid w:val="008F4F5B"/>
    <w:rsid w:val="008F6168"/>
    <w:rsid w:val="008F6918"/>
    <w:rsid w:val="00900069"/>
    <w:rsid w:val="00914AE6"/>
    <w:rsid w:val="0091546C"/>
    <w:rsid w:val="00921803"/>
    <w:rsid w:val="00923471"/>
    <w:rsid w:val="00926503"/>
    <w:rsid w:val="00927344"/>
    <w:rsid w:val="00934238"/>
    <w:rsid w:val="00936B4A"/>
    <w:rsid w:val="00937449"/>
    <w:rsid w:val="009433DE"/>
    <w:rsid w:val="00946069"/>
    <w:rsid w:val="009475EC"/>
    <w:rsid w:val="00952E72"/>
    <w:rsid w:val="009545DA"/>
    <w:rsid w:val="00957D69"/>
    <w:rsid w:val="0096381F"/>
    <w:rsid w:val="00967BEE"/>
    <w:rsid w:val="0097120F"/>
    <w:rsid w:val="0097225C"/>
    <w:rsid w:val="009726D8"/>
    <w:rsid w:val="00975468"/>
    <w:rsid w:val="009870CA"/>
    <w:rsid w:val="00995EE5"/>
    <w:rsid w:val="009B3FCC"/>
    <w:rsid w:val="009C448C"/>
    <w:rsid w:val="009C7E6F"/>
    <w:rsid w:val="009D27D1"/>
    <w:rsid w:val="009D2D57"/>
    <w:rsid w:val="009D4AE3"/>
    <w:rsid w:val="009D650D"/>
    <w:rsid w:val="009D7308"/>
    <w:rsid w:val="009E1F65"/>
    <w:rsid w:val="009E4552"/>
    <w:rsid w:val="009E5B73"/>
    <w:rsid w:val="009E6106"/>
    <w:rsid w:val="009F0543"/>
    <w:rsid w:val="009F76DB"/>
    <w:rsid w:val="00A014C9"/>
    <w:rsid w:val="00A055F5"/>
    <w:rsid w:val="00A10E81"/>
    <w:rsid w:val="00A15E66"/>
    <w:rsid w:val="00A174CE"/>
    <w:rsid w:val="00A32996"/>
    <w:rsid w:val="00A32C3B"/>
    <w:rsid w:val="00A36884"/>
    <w:rsid w:val="00A41096"/>
    <w:rsid w:val="00A41E21"/>
    <w:rsid w:val="00A44326"/>
    <w:rsid w:val="00A45F4F"/>
    <w:rsid w:val="00A46FD9"/>
    <w:rsid w:val="00A54CC9"/>
    <w:rsid w:val="00A56B4A"/>
    <w:rsid w:val="00A600A9"/>
    <w:rsid w:val="00A638AD"/>
    <w:rsid w:val="00A6517F"/>
    <w:rsid w:val="00A7601E"/>
    <w:rsid w:val="00A85087"/>
    <w:rsid w:val="00A8622B"/>
    <w:rsid w:val="00A96667"/>
    <w:rsid w:val="00AA11DF"/>
    <w:rsid w:val="00AA30D7"/>
    <w:rsid w:val="00AA55B7"/>
    <w:rsid w:val="00AA5B9E"/>
    <w:rsid w:val="00AB2407"/>
    <w:rsid w:val="00AB51B1"/>
    <w:rsid w:val="00AB53DF"/>
    <w:rsid w:val="00AC0709"/>
    <w:rsid w:val="00AC1D2F"/>
    <w:rsid w:val="00AC27D0"/>
    <w:rsid w:val="00AC5017"/>
    <w:rsid w:val="00AC5D55"/>
    <w:rsid w:val="00AD0E3B"/>
    <w:rsid w:val="00AD0F67"/>
    <w:rsid w:val="00AD28F3"/>
    <w:rsid w:val="00AD453B"/>
    <w:rsid w:val="00AE0F62"/>
    <w:rsid w:val="00AE5FEE"/>
    <w:rsid w:val="00AE6DC6"/>
    <w:rsid w:val="00AE7325"/>
    <w:rsid w:val="00AF0521"/>
    <w:rsid w:val="00AF24F9"/>
    <w:rsid w:val="00AF54BA"/>
    <w:rsid w:val="00B02C8A"/>
    <w:rsid w:val="00B07E5C"/>
    <w:rsid w:val="00B12577"/>
    <w:rsid w:val="00B127CF"/>
    <w:rsid w:val="00B12D4E"/>
    <w:rsid w:val="00B1742F"/>
    <w:rsid w:val="00B22C94"/>
    <w:rsid w:val="00B304EA"/>
    <w:rsid w:val="00B32D13"/>
    <w:rsid w:val="00B40310"/>
    <w:rsid w:val="00B51178"/>
    <w:rsid w:val="00B52ABE"/>
    <w:rsid w:val="00B637BC"/>
    <w:rsid w:val="00B65BB2"/>
    <w:rsid w:val="00B743A6"/>
    <w:rsid w:val="00B811F7"/>
    <w:rsid w:val="00B92798"/>
    <w:rsid w:val="00B92A32"/>
    <w:rsid w:val="00BA5DC6"/>
    <w:rsid w:val="00BA6196"/>
    <w:rsid w:val="00BA6956"/>
    <w:rsid w:val="00BA7691"/>
    <w:rsid w:val="00BB0A59"/>
    <w:rsid w:val="00BB6207"/>
    <w:rsid w:val="00BC2A3F"/>
    <w:rsid w:val="00BC6D8C"/>
    <w:rsid w:val="00BD283B"/>
    <w:rsid w:val="00BF3BD7"/>
    <w:rsid w:val="00BF5C58"/>
    <w:rsid w:val="00BF6748"/>
    <w:rsid w:val="00C129DC"/>
    <w:rsid w:val="00C12DD3"/>
    <w:rsid w:val="00C13B2D"/>
    <w:rsid w:val="00C14B37"/>
    <w:rsid w:val="00C1749A"/>
    <w:rsid w:val="00C2008F"/>
    <w:rsid w:val="00C207B8"/>
    <w:rsid w:val="00C21933"/>
    <w:rsid w:val="00C23AB9"/>
    <w:rsid w:val="00C34006"/>
    <w:rsid w:val="00C3442F"/>
    <w:rsid w:val="00C361EA"/>
    <w:rsid w:val="00C36B4C"/>
    <w:rsid w:val="00C426B1"/>
    <w:rsid w:val="00C47575"/>
    <w:rsid w:val="00C52657"/>
    <w:rsid w:val="00C538CF"/>
    <w:rsid w:val="00C5512B"/>
    <w:rsid w:val="00C55CF9"/>
    <w:rsid w:val="00C6387C"/>
    <w:rsid w:val="00C66160"/>
    <w:rsid w:val="00C66CF1"/>
    <w:rsid w:val="00C6725C"/>
    <w:rsid w:val="00C704B2"/>
    <w:rsid w:val="00C721AC"/>
    <w:rsid w:val="00C76264"/>
    <w:rsid w:val="00C80E2E"/>
    <w:rsid w:val="00C828B2"/>
    <w:rsid w:val="00C90D6A"/>
    <w:rsid w:val="00CA0942"/>
    <w:rsid w:val="00CA247E"/>
    <w:rsid w:val="00CA325E"/>
    <w:rsid w:val="00CA5780"/>
    <w:rsid w:val="00CA5BF5"/>
    <w:rsid w:val="00CA6D21"/>
    <w:rsid w:val="00CB22D2"/>
    <w:rsid w:val="00CC067D"/>
    <w:rsid w:val="00CC72B6"/>
    <w:rsid w:val="00CD4B55"/>
    <w:rsid w:val="00CE5177"/>
    <w:rsid w:val="00CE6993"/>
    <w:rsid w:val="00CF0CB9"/>
    <w:rsid w:val="00CF17C6"/>
    <w:rsid w:val="00D0218D"/>
    <w:rsid w:val="00D11D7A"/>
    <w:rsid w:val="00D12E8E"/>
    <w:rsid w:val="00D20E4C"/>
    <w:rsid w:val="00D218BB"/>
    <w:rsid w:val="00D25487"/>
    <w:rsid w:val="00D25FB5"/>
    <w:rsid w:val="00D26215"/>
    <w:rsid w:val="00D3069E"/>
    <w:rsid w:val="00D37028"/>
    <w:rsid w:val="00D44223"/>
    <w:rsid w:val="00D44AA5"/>
    <w:rsid w:val="00D45210"/>
    <w:rsid w:val="00D50614"/>
    <w:rsid w:val="00D55026"/>
    <w:rsid w:val="00D65100"/>
    <w:rsid w:val="00D65283"/>
    <w:rsid w:val="00D74039"/>
    <w:rsid w:val="00DA2529"/>
    <w:rsid w:val="00DA2961"/>
    <w:rsid w:val="00DA2FBE"/>
    <w:rsid w:val="00DB0573"/>
    <w:rsid w:val="00DB130A"/>
    <w:rsid w:val="00DB2EBB"/>
    <w:rsid w:val="00DB355A"/>
    <w:rsid w:val="00DB3C6C"/>
    <w:rsid w:val="00DC10A1"/>
    <w:rsid w:val="00DC20CB"/>
    <w:rsid w:val="00DC3DBC"/>
    <w:rsid w:val="00DC655F"/>
    <w:rsid w:val="00DD0B59"/>
    <w:rsid w:val="00DD41B2"/>
    <w:rsid w:val="00DD7EBD"/>
    <w:rsid w:val="00DE01D6"/>
    <w:rsid w:val="00DF339E"/>
    <w:rsid w:val="00DF62B6"/>
    <w:rsid w:val="00E056AE"/>
    <w:rsid w:val="00E06F45"/>
    <w:rsid w:val="00E07225"/>
    <w:rsid w:val="00E322EE"/>
    <w:rsid w:val="00E36C4B"/>
    <w:rsid w:val="00E40958"/>
    <w:rsid w:val="00E41517"/>
    <w:rsid w:val="00E43152"/>
    <w:rsid w:val="00E43F9B"/>
    <w:rsid w:val="00E442AC"/>
    <w:rsid w:val="00E44BEF"/>
    <w:rsid w:val="00E46504"/>
    <w:rsid w:val="00E528B3"/>
    <w:rsid w:val="00E5409F"/>
    <w:rsid w:val="00E54AA3"/>
    <w:rsid w:val="00E60B36"/>
    <w:rsid w:val="00E60CE1"/>
    <w:rsid w:val="00E620E4"/>
    <w:rsid w:val="00E6332E"/>
    <w:rsid w:val="00E652B8"/>
    <w:rsid w:val="00E737FF"/>
    <w:rsid w:val="00E75D39"/>
    <w:rsid w:val="00E827C4"/>
    <w:rsid w:val="00E83E38"/>
    <w:rsid w:val="00E926BF"/>
    <w:rsid w:val="00E92AEB"/>
    <w:rsid w:val="00E951D9"/>
    <w:rsid w:val="00E963C5"/>
    <w:rsid w:val="00E97B79"/>
    <w:rsid w:val="00EA21DF"/>
    <w:rsid w:val="00EA5959"/>
    <w:rsid w:val="00EB496B"/>
    <w:rsid w:val="00EC1620"/>
    <w:rsid w:val="00EC34F3"/>
    <w:rsid w:val="00EC4C82"/>
    <w:rsid w:val="00ED4DF8"/>
    <w:rsid w:val="00ED620B"/>
    <w:rsid w:val="00ED7BD3"/>
    <w:rsid w:val="00EE06B7"/>
    <w:rsid w:val="00EE6488"/>
    <w:rsid w:val="00EF6B36"/>
    <w:rsid w:val="00EF6C19"/>
    <w:rsid w:val="00F021FA"/>
    <w:rsid w:val="00F027E8"/>
    <w:rsid w:val="00F035C6"/>
    <w:rsid w:val="00F20A6B"/>
    <w:rsid w:val="00F22A8D"/>
    <w:rsid w:val="00F23377"/>
    <w:rsid w:val="00F2396F"/>
    <w:rsid w:val="00F278F5"/>
    <w:rsid w:val="00F31814"/>
    <w:rsid w:val="00F3548A"/>
    <w:rsid w:val="00F408FB"/>
    <w:rsid w:val="00F44636"/>
    <w:rsid w:val="00F46AFE"/>
    <w:rsid w:val="00F51AAA"/>
    <w:rsid w:val="00F55DEE"/>
    <w:rsid w:val="00F56660"/>
    <w:rsid w:val="00F62E97"/>
    <w:rsid w:val="00F64209"/>
    <w:rsid w:val="00F6742E"/>
    <w:rsid w:val="00F70E10"/>
    <w:rsid w:val="00F74AAA"/>
    <w:rsid w:val="00F74F3E"/>
    <w:rsid w:val="00F80146"/>
    <w:rsid w:val="00F809E8"/>
    <w:rsid w:val="00F84C7A"/>
    <w:rsid w:val="00F869FF"/>
    <w:rsid w:val="00F87813"/>
    <w:rsid w:val="00F91E68"/>
    <w:rsid w:val="00F93BF5"/>
    <w:rsid w:val="00F963E8"/>
    <w:rsid w:val="00FA0B3C"/>
    <w:rsid w:val="00FA21D2"/>
    <w:rsid w:val="00FB3D55"/>
    <w:rsid w:val="00FB507C"/>
    <w:rsid w:val="00FC4578"/>
    <w:rsid w:val="00FC574F"/>
    <w:rsid w:val="00FD374A"/>
    <w:rsid w:val="00FD6446"/>
    <w:rsid w:val="00FE0179"/>
    <w:rsid w:val="00FE0632"/>
    <w:rsid w:val="00FE0797"/>
    <w:rsid w:val="00FE5A3A"/>
    <w:rsid w:val="00FE6BA3"/>
    <w:rsid w:val="00FE780B"/>
    <w:rsid w:val="00FF5C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347A170D-20F3-4BF7-AD39-54F2BC52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semiHidden="1" w:unhideWhenUsed="1"/>
    <w:lsdException w:name="List Bullet 2" w:semiHidden="1" w:unhideWhenUsed="1"/>
    <w:lsdException w:name="List Bullet 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D8"/>
    <w:pPr>
      <w:widowControl w:val="0"/>
    </w:pPr>
    <w:rPr>
      <w:snapToGrid w:val="0"/>
      <w:kern w:val="28"/>
      <w:sz w:val="22"/>
    </w:rPr>
  </w:style>
  <w:style w:type="paragraph" w:styleId="Heading1">
    <w:name w:val="heading 1"/>
    <w:basedOn w:val="Normal"/>
    <w:next w:val="ParaNum"/>
    <w:link w:val="Heading1Char"/>
    <w:qFormat/>
    <w:rsid w:val="004927D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927D8"/>
    <w:pPr>
      <w:keepNext/>
      <w:numPr>
        <w:ilvl w:val="1"/>
        <w:numId w:val="3"/>
      </w:numPr>
      <w:spacing w:after="120"/>
      <w:outlineLvl w:val="1"/>
    </w:pPr>
    <w:rPr>
      <w:b/>
    </w:rPr>
  </w:style>
  <w:style w:type="paragraph" w:styleId="Heading3">
    <w:name w:val="heading 3"/>
    <w:basedOn w:val="Normal"/>
    <w:next w:val="ParaNum"/>
    <w:link w:val="Heading3Char"/>
    <w:qFormat/>
    <w:rsid w:val="004927D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927D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927D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927D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927D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927D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927D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27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27D8"/>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Heading2Char">
    <w:name w:val="Heading 2 Char"/>
    <w:link w:val="Heading2"/>
    <w:rPr>
      <w:b/>
      <w:snapToGrid w:val="0"/>
      <w:kern w:val="28"/>
      <w:sz w:val="22"/>
    </w:rPr>
  </w:style>
  <w:style w:type="character" w:customStyle="1" w:styleId="Heading3Char">
    <w:name w:val="Heading 3 Char"/>
    <w:link w:val="Heading3"/>
    <w:rPr>
      <w:b/>
      <w:snapToGrid w:val="0"/>
      <w:kern w:val="28"/>
      <w:sz w:val="22"/>
    </w:rPr>
  </w:style>
  <w:style w:type="character" w:customStyle="1" w:styleId="Heading4Char">
    <w:name w:val="Heading 4 Char"/>
    <w:link w:val="Heading4"/>
    <w:rPr>
      <w:b/>
      <w:snapToGrid w:val="0"/>
      <w:kern w:val="28"/>
      <w:sz w:val="22"/>
    </w:rPr>
  </w:style>
  <w:style w:type="character" w:customStyle="1" w:styleId="Heading5Char">
    <w:name w:val="Heading 5 Char"/>
    <w:link w:val="Heading5"/>
    <w:rPr>
      <w:b/>
      <w:snapToGrid w:val="0"/>
      <w:kern w:val="28"/>
      <w:sz w:val="22"/>
    </w:rPr>
  </w:style>
  <w:style w:type="character" w:customStyle="1" w:styleId="Heading6Char">
    <w:name w:val="Heading 6 Char"/>
    <w:link w:val="Heading6"/>
    <w:rPr>
      <w:b/>
      <w:snapToGrid w:val="0"/>
      <w:kern w:val="28"/>
      <w:sz w:val="22"/>
    </w:rPr>
  </w:style>
  <w:style w:type="character" w:customStyle="1" w:styleId="Heading7Char">
    <w:name w:val="Heading 7 Char"/>
    <w:link w:val="Heading7"/>
    <w:rPr>
      <w:b/>
      <w:snapToGrid w:val="0"/>
      <w:kern w:val="28"/>
      <w:sz w:val="22"/>
    </w:rPr>
  </w:style>
  <w:style w:type="character" w:customStyle="1" w:styleId="Heading8Char">
    <w:name w:val="Heading 8 Char"/>
    <w:link w:val="Heading8"/>
    <w:rPr>
      <w:b/>
      <w:snapToGrid w:val="0"/>
      <w:kern w:val="28"/>
      <w:sz w:val="22"/>
    </w:rPr>
  </w:style>
  <w:style w:type="character" w:customStyle="1" w:styleId="Heading9Char">
    <w:name w:val="Heading 9 Char"/>
    <w:link w:val="Heading9"/>
    <w:rPr>
      <w:b/>
      <w:snapToGrid w:val="0"/>
      <w:kern w:val="28"/>
      <w:sz w:val="22"/>
    </w:rPr>
  </w:style>
  <w:style w:type="paragraph" w:customStyle="1" w:styleId="ParaNum">
    <w:name w:val="ParaNum"/>
    <w:basedOn w:val="Normal"/>
    <w:rsid w:val="004927D8"/>
    <w:pPr>
      <w:numPr>
        <w:numId w:val="2"/>
      </w:numPr>
      <w:tabs>
        <w:tab w:val="clear" w:pos="1080"/>
        <w:tab w:val="num" w:pos="1440"/>
      </w:tabs>
      <w:spacing w:after="120"/>
    </w:pPr>
  </w:style>
  <w:style w:type="paragraph" w:styleId="EndnoteText">
    <w:name w:val="endnote text"/>
    <w:basedOn w:val="Normal"/>
    <w:link w:val="EndnoteTextChar"/>
    <w:semiHidden/>
    <w:rsid w:val="004927D8"/>
    <w:rPr>
      <w:sz w:val="20"/>
    </w:rPr>
  </w:style>
  <w:style w:type="character" w:customStyle="1" w:styleId="EndnoteTextChar">
    <w:name w:val="Endnote Text Char"/>
    <w:link w:val="EndnoteText"/>
    <w:semiHidden/>
    <w:rPr>
      <w:snapToGrid w:val="0"/>
      <w:kern w:val="28"/>
    </w:rPr>
  </w:style>
  <w:style w:type="character" w:styleId="EndnoteReference">
    <w:name w:val="endnote reference"/>
    <w:semiHidden/>
    <w:rsid w:val="004927D8"/>
    <w:rPr>
      <w:vertAlign w:val="superscript"/>
    </w:rPr>
  </w:style>
  <w:style w:type="paragraph" w:styleId="FootnoteText">
    <w:name w:val="footnote text"/>
    <w:aliases w:val="ALTS FOOTNOTE,Footnote Text Char,Footnote Text Char Char Char Char,Footnote Text Char Char Char Char Char Char1,Footnote Text Char1,Footnote Text Char1 Char Char,Footnote Text Char1 Char Char Char Char1,Footnote Text Char2 Char,f,fn,fn Ch"/>
    <w:link w:val="FootnoteTextChar2"/>
    <w:rsid w:val="004927D8"/>
    <w:pPr>
      <w:spacing w:after="120"/>
    </w:pPr>
  </w:style>
  <w:style w:type="character" w:customStyle="1" w:styleId="FootnoteTextChar2">
    <w:name w:val="Footnote Text Char2"/>
    <w:aliases w:val="ALTS FOOTNOTE Char,Footnote Text Char Char Char Char Char,Footnote Text Char1 Char,Footnote Text Char1 Char Char Char,Footnote Text Char1 Char Char Char Char1 Char,Footnote Text Char2 Char Char,f Char,fn Ch Char,fn Char"/>
    <w:basedOn w:val="DefaultParagraphFont"/>
    <w:link w:val="FootnoteText"/>
    <w:locked/>
    <w:rsid w:val="00AC5017"/>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4927D8"/>
    <w:rPr>
      <w:rFonts w:ascii="Times New Roman" w:hAnsi="Times New Roman"/>
      <w:dstrike w:val="0"/>
      <w:color w:val="auto"/>
      <w:sz w:val="20"/>
      <w:vertAlign w:val="superscript"/>
    </w:rPr>
  </w:style>
  <w:style w:type="paragraph" w:styleId="TOC1">
    <w:name w:val="toc 1"/>
    <w:basedOn w:val="Normal"/>
    <w:next w:val="Normal"/>
    <w:rsid w:val="004927D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927D8"/>
    <w:pPr>
      <w:tabs>
        <w:tab w:val="left" w:pos="720"/>
        <w:tab w:val="right" w:leader="dot" w:pos="9360"/>
      </w:tabs>
      <w:suppressAutoHyphens/>
      <w:ind w:left="720" w:right="720" w:hanging="360"/>
    </w:pPr>
    <w:rPr>
      <w:noProof/>
    </w:rPr>
  </w:style>
  <w:style w:type="paragraph" w:styleId="TOC3">
    <w:name w:val="toc 3"/>
    <w:basedOn w:val="Normal"/>
    <w:next w:val="Normal"/>
    <w:semiHidden/>
    <w:rsid w:val="004927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27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27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27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27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27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27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27D8"/>
    <w:pPr>
      <w:tabs>
        <w:tab w:val="right" w:pos="9360"/>
      </w:tabs>
      <w:suppressAutoHyphens/>
    </w:pPr>
  </w:style>
  <w:style w:type="character" w:customStyle="1" w:styleId="EquationCaption">
    <w:name w:val="_Equation Caption"/>
    <w:rsid w:val="004927D8"/>
  </w:style>
  <w:style w:type="paragraph" w:styleId="Header">
    <w:name w:val="header"/>
    <w:basedOn w:val="Normal"/>
    <w:link w:val="HeaderChar"/>
    <w:autoRedefine/>
    <w:rsid w:val="004927D8"/>
    <w:pPr>
      <w:tabs>
        <w:tab w:val="center" w:pos="4680"/>
        <w:tab w:val="right" w:pos="9360"/>
      </w:tabs>
    </w:pPr>
    <w:rPr>
      <w:b/>
    </w:rPr>
  </w:style>
  <w:style w:type="character" w:customStyle="1" w:styleId="HeaderChar">
    <w:name w:val="Header Char"/>
    <w:link w:val="Header"/>
    <w:rPr>
      <w:b/>
      <w:snapToGrid w:val="0"/>
      <w:kern w:val="28"/>
      <w:sz w:val="22"/>
    </w:rPr>
  </w:style>
  <w:style w:type="paragraph" w:styleId="Footer">
    <w:name w:val="footer"/>
    <w:basedOn w:val="Normal"/>
    <w:link w:val="FooterChar"/>
    <w:uiPriority w:val="99"/>
    <w:rsid w:val="004927D8"/>
    <w:pPr>
      <w:tabs>
        <w:tab w:val="center" w:pos="4320"/>
        <w:tab w:val="right" w:pos="8640"/>
      </w:tabs>
    </w:pPr>
  </w:style>
  <w:style w:type="character" w:customStyle="1" w:styleId="FooterChar">
    <w:name w:val="Footer Char"/>
    <w:link w:val="Footer"/>
    <w:uiPriority w:val="99"/>
    <w:locked/>
    <w:rsid w:val="004927D8"/>
    <w:rPr>
      <w:snapToGrid w:val="0"/>
      <w:kern w:val="28"/>
      <w:sz w:val="22"/>
    </w:rPr>
  </w:style>
  <w:style w:type="character" w:styleId="PageNumber">
    <w:name w:val="page number"/>
    <w:basedOn w:val="DefaultParagraphFont"/>
    <w:rsid w:val="004927D8"/>
  </w:style>
  <w:style w:type="paragraph" w:styleId="BlockText">
    <w:name w:val="Block Text"/>
    <w:basedOn w:val="Normal"/>
    <w:rsid w:val="004927D8"/>
    <w:pPr>
      <w:spacing w:after="240"/>
      <w:ind w:left="1440" w:right="1440"/>
    </w:pPr>
  </w:style>
  <w:style w:type="paragraph" w:customStyle="1" w:styleId="Paratitle">
    <w:name w:val="Para title"/>
    <w:basedOn w:val="Normal"/>
    <w:rsid w:val="004927D8"/>
    <w:pPr>
      <w:tabs>
        <w:tab w:val="center" w:pos="9270"/>
      </w:tabs>
      <w:spacing w:after="240"/>
    </w:pPr>
    <w:rPr>
      <w:spacing w:val="-2"/>
    </w:rPr>
  </w:style>
  <w:style w:type="paragraph" w:customStyle="1" w:styleId="Bullet">
    <w:name w:val="Bullet"/>
    <w:basedOn w:val="Normal"/>
    <w:rsid w:val="004927D8"/>
    <w:pPr>
      <w:tabs>
        <w:tab w:val="left" w:pos="2160"/>
      </w:tabs>
      <w:spacing w:after="220"/>
      <w:ind w:left="2160" w:hanging="720"/>
    </w:pPr>
  </w:style>
  <w:style w:type="paragraph" w:customStyle="1" w:styleId="TableFormat">
    <w:name w:val="TableFormat"/>
    <w:basedOn w:val="Bullet"/>
    <w:rsid w:val="004927D8"/>
    <w:pPr>
      <w:tabs>
        <w:tab w:val="clear" w:pos="2160"/>
        <w:tab w:val="left" w:pos="5040"/>
      </w:tabs>
      <w:ind w:left="5040" w:hanging="3600"/>
    </w:pPr>
  </w:style>
  <w:style w:type="paragraph" w:customStyle="1" w:styleId="TOCTitle">
    <w:name w:val="TOC Title"/>
    <w:basedOn w:val="Normal"/>
    <w:rsid w:val="004927D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27D8"/>
    <w:pPr>
      <w:jc w:val="center"/>
    </w:pPr>
    <w:rPr>
      <w:rFonts w:ascii="Times New Roman Bold" w:hAnsi="Times New Roman Bold"/>
      <w:b/>
      <w:bCs/>
      <w:caps/>
      <w:szCs w:val="22"/>
    </w:rPr>
  </w:style>
  <w:style w:type="character" w:styleId="Hyperlink">
    <w:name w:val="Hyperlink"/>
    <w:rsid w:val="004927D8"/>
    <w:rPr>
      <w:color w:val="0000FF"/>
      <w:u w:val="single"/>
    </w:rPr>
  </w:style>
  <w:style w:type="paragraph" w:styleId="BalloonText">
    <w:name w:val="Balloon Text"/>
    <w:basedOn w:val="Normal"/>
    <w:link w:val="BalloonTextChar"/>
    <w:uiPriority w:val="99"/>
    <w:rsid w:val="00D50614"/>
    <w:rPr>
      <w:rFonts w:ascii="Segoe UI" w:hAnsi="Segoe UI" w:cs="Segoe UI"/>
      <w:sz w:val="18"/>
      <w:szCs w:val="18"/>
    </w:rPr>
  </w:style>
  <w:style w:type="character" w:customStyle="1" w:styleId="BalloonTextChar">
    <w:name w:val="Balloon Text Char"/>
    <w:link w:val="BalloonText"/>
    <w:uiPriority w:val="99"/>
    <w:locked/>
    <w:rsid w:val="00D50614"/>
    <w:rPr>
      <w:rFonts w:ascii="Segoe UI" w:hAnsi="Segoe UI"/>
      <w:kern w:val="28"/>
      <w:sz w:val="18"/>
    </w:rPr>
  </w:style>
  <w:style w:type="paragraph" w:styleId="TOCHeading">
    <w:name w:val="TOC Heading"/>
    <w:basedOn w:val="Heading1"/>
    <w:next w:val="Normal"/>
    <w:uiPriority w:val="39"/>
    <w:unhideWhenUsed/>
    <w:qFormat/>
    <w:rsid w:val="00C66CF1"/>
    <w:pPr>
      <w:keepLines/>
      <w:widowControl/>
      <w:numPr>
        <w:numId w:val="0"/>
      </w:numPr>
      <w:tabs>
        <w:tab w:val="left" w:pos="720"/>
      </w:tabs>
      <w:suppressAutoHyphens w:val="0"/>
      <w:spacing w:before="240" w:after="0" w:line="259" w:lineRule="auto"/>
      <w:outlineLvl w:val="9"/>
    </w:pPr>
    <w:rPr>
      <w:rFonts w:ascii="Calibri Light" w:hAnsi="Calibri Light"/>
      <w:b w:val="0"/>
      <w:caps w:val="0"/>
      <w:color w:val="2F5496"/>
      <w:kern w:val="0"/>
      <w:sz w:val="32"/>
      <w:szCs w:val="32"/>
    </w:rPr>
  </w:style>
  <w:style w:type="character" w:styleId="CommentReference">
    <w:name w:val="annotation reference"/>
    <w:uiPriority w:val="99"/>
    <w:rsid w:val="00E40958"/>
    <w:rPr>
      <w:sz w:val="16"/>
    </w:rPr>
  </w:style>
  <w:style w:type="paragraph" w:styleId="CommentText">
    <w:name w:val="annotation text"/>
    <w:basedOn w:val="Normal"/>
    <w:link w:val="CommentTextChar"/>
    <w:uiPriority w:val="99"/>
    <w:rsid w:val="00E40958"/>
    <w:rPr>
      <w:sz w:val="20"/>
    </w:rPr>
  </w:style>
  <w:style w:type="character" w:customStyle="1" w:styleId="CommentTextChar">
    <w:name w:val="Comment Text Char"/>
    <w:link w:val="CommentText"/>
    <w:uiPriority w:val="99"/>
    <w:locked/>
    <w:rsid w:val="00E40958"/>
    <w:rPr>
      <w:kern w:val="28"/>
    </w:rPr>
  </w:style>
  <w:style w:type="paragraph" w:styleId="CommentSubject">
    <w:name w:val="annotation subject"/>
    <w:basedOn w:val="CommentText"/>
    <w:next w:val="CommentText"/>
    <w:link w:val="CommentSubjectChar"/>
    <w:uiPriority w:val="99"/>
    <w:rsid w:val="00E40958"/>
    <w:rPr>
      <w:b/>
      <w:bCs/>
    </w:rPr>
  </w:style>
  <w:style w:type="character" w:customStyle="1" w:styleId="CommentSubjectChar">
    <w:name w:val="Comment Subject Char"/>
    <w:link w:val="CommentSubject"/>
    <w:uiPriority w:val="99"/>
    <w:locked/>
    <w:rsid w:val="00E40958"/>
    <w:rPr>
      <w:b/>
      <w:kern w:val="28"/>
    </w:rPr>
  </w:style>
  <w:style w:type="paragraph" w:styleId="Revision">
    <w:name w:val="Revision"/>
    <w:hidden/>
    <w:uiPriority w:val="99"/>
    <w:semiHidden/>
    <w:rsid w:val="00D7403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