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560CD" w:rsidRPr="004F7405" w:rsidP="009560CD" w14:paraId="4E2B62DD" w14:textId="518082E2">
      <w:pPr>
        <w:widowControl/>
        <w:suppressAutoHyphens/>
        <w:jc w:val="right"/>
        <w:rPr>
          <w:b/>
          <w:color w:val="000000"/>
        </w:rPr>
      </w:pPr>
      <w:r>
        <w:rPr>
          <w:b/>
          <w:color w:val="000000"/>
        </w:rPr>
        <w:t xml:space="preserve"> </w:t>
      </w:r>
      <w:r w:rsidR="001F4EB1">
        <w:rPr>
          <w:b/>
          <w:color w:val="000000"/>
        </w:rPr>
        <w:t xml:space="preserve">DA </w:t>
      </w:r>
      <w:r w:rsidR="00110252">
        <w:rPr>
          <w:b/>
          <w:color w:val="000000"/>
        </w:rPr>
        <w:t>20</w:t>
      </w:r>
      <w:r w:rsidR="002B4AA1">
        <w:rPr>
          <w:b/>
          <w:color w:val="000000"/>
        </w:rPr>
        <w:t>-</w:t>
      </w:r>
      <w:r w:rsidR="00821625">
        <w:rPr>
          <w:b/>
          <w:color w:val="000000"/>
        </w:rPr>
        <w:t>981</w:t>
      </w:r>
    </w:p>
    <w:p w:rsidR="009560CD" w:rsidRPr="004F7405" w:rsidP="009560CD" w14:paraId="717C8DED" w14:textId="5A20B12D">
      <w:pPr>
        <w:widowControl/>
        <w:suppressAutoHyphens/>
        <w:spacing w:after="240"/>
        <w:jc w:val="right"/>
        <w:rPr>
          <w:b/>
          <w:color w:val="000000"/>
        </w:rPr>
      </w:pPr>
      <w:r>
        <w:rPr>
          <w:b/>
          <w:color w:val="000000"/>
        </w:rPr>
        <w:t xml:space="preserve"> Released: </w:t>
      </w:r>
      <w:r w:rsidR="002B4AA1">
        <w:rPr>
          <w:b/>
          <w:color w:val="000000"/>
        </w:rPr>
        <w:t>August</w:t>
      </w:r>
      <w:r w:rsidR="00F11B64">
        <w:rPr>
          <w:b/>
          <w:color w:val="000000"/>
        </w:rPr>
        <w:t xml:space="preserve"> </w:t>
      </w:r>
      <w:r w:rsidR="008B2AE3">
        <w:rPr>
          <w:b/>
          <w:color w:val="000000"/>
        </w:rPr>
        <w:t>28</w:t>
      </w:r>
      <w:r>
        <w:rPr>
          <w:b/>
          <w:color w:val="000000"/>
        </w:rPr>
        <w:t>, 20</w:t>
      </w:r>
      <w:r w:rsidR="00110252">
        <w:rPr>
          <w:b/>
          <w:color w:val="000000"/>
        </w:rPr>
        <w:t>20</w:t>
      </w:r>
    </w:p>
    <w:p w:rsidR="009560CD" w:rsidRPr="004F7405" w:rsidP="009560CD" w14:paraId="525DAE8A" w14:textId="77777777">
      <w:pPr>
        <w:widowControl/>
        <w:suppressAutoHyphens/>
        <w:jc w:val="center"/>
        <w:rPr>
          <w:b/>
          <w:szCs w:val="22"/>
        </w:rPr>
      </w:pPr>
      <w:r w:rsidRPr="004F7405">
        <w:rPr>
          <w:b/>
          <w:szCs w:val="22"/>
        </w:rPr>
        <w:t>DOMESTIC SECTION 214 APPLICATION GRANTED</w:t>
      </w:r>
      <w:r>
        <w:rPr>
          <w:b/>
          <w:szCs w:val="22"/>
        </w:rPr>
        <w:t xml:space="preserve"> SUBJECT TO CONDITION</w:t>
      </w:r>
    </w:p>
    <w:p w:rsidR="009560CD" w:rsidRPr="004F7405" w:rsidP="009560CD" w14:paraId="6EFDBE45" w14:textId="77777777">
      <w:pPr>
        <w:widowControl/>
        <w:suppressAutoHyphens/>
        <w:jc w:val="center"/>
        <w:rPr>
          <w:b/>
          <w:color w:val="000000"/>
          <w:szCs w:val="22"/>
        </w:rPr>
      </w:pPr>
    </w:p>
    <w:p w:rsidR="009560CD" w:rsidRPr="001761B2" w:rsidP="009560CD" w14:paraId="17794A9D" w14:textId="73A1400F">
      <w:pPr>
        <w:widowControl/>
        <w:suppressAutoHyphens/>
        <w:spacing w:after="240"/>
        <w:jc w:val="center"/>
        <w:rPr>
          <w:b/>
          <w:color w:val="000000"/>
          <w:szCs w:val="22"/>
        </w:rPr>
      </w:pPr>
      <w:r w:rsidRPr="004F7405">
        <w:rPr>
          <w:b/>
          <w:color w:val="000000"/>
          <w:szCs w:val="22"/>
        </w:rPr>
        <w:t xml:space="preserve">WC Docket No. </w:t>
      </w:r>
      <w:r w:rsidR="00484D17">
        <w:rPr>
          <w:b/>
          <w:color w:val="000000"/>
          <w:szCs w:val="22"/>
        </w:rPr>
        <w:t>20</w:t>
      </w:r>
      <w:r>
        <w:rPr>
          <w:b/>
          <w:color w:val="000000"/>
          <w:szCs w:val="22"/>
        </w:rPr>
        <w:t>-</w:t>
      </w:r>
      <w:r w:rsidR="00484D17">
        <w:rPr>
          <w:b/>
          <w:color w:val="000000"/>
          <w:szCs w:val="22"/>
        </w:rPr>
        <w:t>1</w:t>
      </w:r>
      <w:r w:rsidR="00155007">
        <w:rPr>
          <w:b/>
          <w:color w:val="000000"/>
          <w:szCs w:val="22"/>
        </w:rPr>
        <w:t>93</w:t>
      </w:r>
    </w:p>
    <w:p w:rsidR="00ED1241" w:rsidP="00E54606" w14:paraId="7F42D621" w14:textId="5EF8B417">
      <w:pPr>
        <w:widowControl/>
        <w:autoSpaceDE w:val="0"/>
        <w:autoSpaceDN w:val="0"/>
        <w:adjustRightInd w:val="0"/>
        <w:ind w:firstLine="720"/>
        <w:rPr>
          <w:snapToGrid/>
          <w:kern w:val="0"/>
          <w:szCs w:val="22"/>
        </w:rPr>
      </w:pPr>
      <w:r w:rsidRPr="002410F4">
        <w:rPr>
          <w:snapToGrid/>
          <w:kern w:val="0"/>
          <w:szCs w:val="22"/>
        </w:rPr>
        <w:t xml:space="preserve">By this Public Notice, the Wireline Competition Bureau (Bureau) </w:t>
      </w:r>
      <w:r>
        <w:rPr>
          <w:snapToGrid/>
          <w:kern w:val="0"/>
          <w:szCs w:val="22"/>
        </w:rPr>
        <w:t>grants an application</w:t>
      </w:r>
      <w:r w:rsidRPr="002410F4">
        <w:rPr>
          <w:snapToGrid/>
          <w:kern w:val="0"/>
          <w:szCs w:val="22"/>
        </w:rPr>
        <w:t xml:space="preserve"> filed by Chad Miles and Great Plains Communications LLC (GP Communications) (collectively, Applicants), pursuant to section 214 of the Communications Act of 1934, as amended, and sections 63.03-63.04 of the Commission’s rules, requesting consent to transfer control of Miles Enterprises, Inc. (Miles Enterprises) and its regulated subsidiaries, Miles Communications, Inc. (Miles Communications), Sunman Telecommunications Corporation (Sunman Telecommunications), and Sunman Telecommunications Corporation Long Distance (Sunman Telecommunications LD) (</w:t>
      </w:r>
      <w:r w:rsidR="00C80D94">
        <w:rPr>
          <w:snapToGrid/>
          <w:kern w:val="0"/>
          <w:szCs w:val="22"/>
        </w:rPr>
        <w:t>together</w:t>
      </w:r>
      <w:r w:rsidRPr="002410F4">
        <w:rPr>
          <w:snapToGrid/>
          <w:kern w:val="0"/>
          <w:szCs w:val="22"/>
        </w:rPr>
        <w:t>, Miles Communications, Sunman Telecommunications, and Sunman Telecommunications LD, Licensees) from Chad Miles to GP Communications.</w:t>
      </w:r>
      <w:r>
        <w:rPr>
          <w:snapToGrid/>
          <w:kern w:val="0"/>
          <w:szCs w:val="22"/>
          <w:vertAlign w:val="superscript"/>
        </w:rPr>
        <w:footnoteReference w:id="3"/>
      </w:r>
      <w:r w:rsidR="00622E7C">
        <w:rPr>
          <w:snapToGrid/>
          <w:kern w:val="0"/>
          <w:szCs w:val="22"/>
        </w:rPr>
        <w:t xml:space="preserve"> </w:t>
      </w:r>
      <w:r w:rsidRPr="002410F4">
        <w:rPr>
          <w:snapToGrid/>
          <w:color w:val="231F20"/>
          <w:kern w:val="0"/>
          <w:szCs w:val="22"/>
        </w:rPr>
        <w:t xml:space="preserve"> </w:t>
      </w:r>
      <w:r>
        <w:rPr>
          <w:snapToGrid/>
          <w:color w:val="231F20"/>
          <w:kern w:val="0"/>
          <w:szCs w:val="22"/>
        </w:rPr>
        <w:t>On July 6, 2020, the Bureau released a Public Notice seeking comment on the Application.</w:t>
      </w:r>
      <w:r>
        <w:rPr>
          <w:rStyle w:val="FootnoteReference"/>
          <w:snapToGrid/>
          <w:kern w:val="0"/>
          <w:szCs w:val="22"/>
        </w:rPr>
        <w:footnoteReference w:id="4"/>
      </w:r>
      <w:r>
        <w:rPr>
          <w:snapToGrid/>
          <w:color w:val="231F20"/>
          <w:kern w:val="0"/>
          <w:szCs w:val="22"/>
        </w:rPr>
        <w:t xml:space="preserve"> </w:t>
      </w:r>
      <w:r>
        <w:rPr>
          <w:snapToGrid/>
          <w:kern w:val="0"/>
          <w:szCs w:val="22"/>
        </w:rPr>
        <w:t xml:space="preserve"> The Bureau received no comments in opposition to a grant of the Application.</w:t>
      </w:r>
    </w:p>
    <w:p w:rsidR="006D2581" w:rsidP="006D2581" w14:paraId="7E231450" w14:textId="22CF4F0E">
      <w:pPr>
        <w:widowControl/>
        <w:autoSpaceDE w:val="0"/>
        <w:autoSpaceDN w:val="0"/>
        <w:adjustRightInd w:val="0"/>
        <w:rPr>
          <w:snapToGrid/>
          <w:kern w:val="0"/>
          <w:szCs w:val="22"/>
        </w:rPr>
      </w:pPr>
    </w:p>
    <w:p w:rsidR="006D2581" w:rsidRPr="00842730" w:rsidP="007E4CDC" w14:paraId="061887A8" w14:textId="34EAAB54">
      <w:pPr>
        <w:widowControl/>
        <w:autoSpaceDE w:val="0"/>
        <w:autoSpaceDN w:val="0"/>
        <w:adjustRightInd w:val="0"/>
        <w:rPr>
          <w:i/>
          <w:iCs/>
          <w:snapToGrid/>
          <w:kern w:val="0"/>
          <w:szCs w:val="22"/>
          <w:u w:val="single"/>
        </w:rPr>
      </w:pPr>
      <w:r w:rsidRPr="00842730">
        <w:rPr>
          <w:i/>
          <w:iCs/>
          <w:snapToGrid/>
          <w:kern w:val="0"/>
          <w:szCs w:val="22"/>
          <w:u w:val="single"/>
        </w:rPr>
        <w:t>Applicants and Description of Transaction</w:t>
      </w:r>
    </w:p>
    <w:p w:rsidR="00ED1241" w:rsidRPr="00ED1241" w:rsidP="000C6F3C" w14:paraId="09F98C49" w14:textId="03163489">
      <w:pPr>
        <w:widowControl/>
        <w:autoSpaceDE w:val="0"/>
        <w:autoSpaceDN w:val="0"/>
        <w:adjustRightInd w:val="0"/>
        <w:spacing w:before="120" w:after="120"/>
        <w:ind w:firstLine="720"/>
        <w:rPr>
          <w:snapToGrid/>
          <w:kern w:val="0"/>
          <w:szCs w:val="22"/>
        </w:rPr>
      </w:pPr>
      <w:r w:rsidRPr="00ED1241">
        <w:rPr>
          <w:snapToGrid/>
          <w:kern w:val="0"/>
          <w:szCs w:val="22"/>
        </w:rPr>
        <w:t xml:space="preserve">Sunman Telecommunications </w:t>
      </w:r>
      <w:r w:rsidR="00D07551">
        <w:rPr>
          <w:snapToGrid/>
          <w:kern w:val="0"/>
          <w:szCs w:val="22"/>
        </w:rPr>
        <w:t xml:space="preserve">provides </w:t>
      </w:r>
      <w:r w:rsidRPr="00ED1241">
        <w:rPr>
          <w:snapToGrid/>
          <w:kern w:val="0"/>
          <w:szCs w:val="22"/>
        </w:rPr>
        <w:t>serv</w:t>
      </w:r>
      <w:r w:rsidR="00D07551">
        <w:rPr>
          <w:snapToGrid/>
          <w:kern w:val="0"/>
          <w:szCs w:val="22"/>
        </w:rPr>
        <w:t>ice</w:t>
      </w:r>
      <w:r w:rsidRPr="00ED1241">
        <w:rPr>
          <w:snapToGrid/>
          <w:kern w:val="0"/>
          <w:szCs w:val="22"/>
        </w:rPr>
        <w:t xml:space="preserve"> as an incumbent local exchange carrier (LEC) in southeast Indiana.</w:t>
      </w:r>
      <w:r>
        <w:rPr>
          <w:rStyle w:val="FootnoteReference"/>
          <w:snapToGrid/>
          <w:kern w:val="0"/>
          <w:szCs w:val="22"/>
        </w:rPr>
        <w:footnoteReference w:id="5"/>
      </w:r>
      <w:r w:rsidRPr="00ED1241">
        <w:rPr>
          <w:snapToGrid/>
          <w:kern w:val="0"/>
          <w:szCs w:val="22"/>
        </w:rPr>
        <w:t xml:space="preserve"> </w:t>
      </w:r>
      <w:r w:rsidR="00160656">
        <w:rPr>
          <w:snapToGrid/>
          <w:kern w:val="0"/>
          <w:szCs w:val="22"/>
        </w:rPr>
        <w:t xml:space="preserve"> </w:t>
      </w:r>
      <w:r w:rsidR="006D2581">
        <w:rPr>
          <w:snapToGrid/>
          <w:kern w:val="0"/>
          <w:szCs w:val="22"/>
        </w:rPr>
        <w:t>It</w:t>
      </w:r>
      <w:r w:rsidR="000C6F3C">
        <w:rPr>
          <w:snapToGrid/>
          <w:kern w:val="0"/>
          <w:szCs w:val="22"/>
        </w:rPr>
        <w:t xml:space="preserve"> did not elect to receive </w:t>
      </w:r>
      <w:r w:rsidR="000C6F3C">
        <w:rPr>
          <w:snapToGrid/>
          <w:color w:val="231F20"/>
          <w:kern w:val="0"/>
          <w:szCs w:val="22"/>
        </w:rPr>
        <w:t xml:space="preserve">fixed </w:t>
      </w:r>
      <w:r w:rsidR="006D2581">
        <w:rPr>
          <w:snapToGrid/>
          <w:color w:val="231F20"/>
          <w:kern w:val="0"/>
          <w:szCs w:val="22"/>
        </w:rPr>
        <w:t xml:space="preserve">universal service </w:t>
      </w:r>
      <w:r w:rsidR="000C6F3C">
        <w:rPr>
          <w:snapToGrid/>
          <w:color w:val="231F20"/>
          <w:kern w:val="0"/>
          <w:szCs w:val="22"/>
        </w:rPr>
        <w:t>support and receives cost-based support for its incumbent LEC services.</w:t>
      </w:r>
      <w:r>
        <w:rPr>
          <w:rStyle w:val="FootnoteReference"/>
          <w:szCs w:val="22"/>
        </w:rPr>
        <w:footnoteReference w:id="6"/>
      </w:r>
      <w:r w:rsidR="000C6F3C">
        <w:rPr>
          <w:snapToGrid/>
          <w:kern w:val="0"/>
          <w:szCs w:val="22"/>
        </w:rPr>
        <w:t xml:space="preserve">  </w:t>
      </w:r>
      <w:r w:rsidRPr="00ED1241">
        <w:rPr>
          <w:snapToGrid/>
          <w:kern w:val="0"/>
          <w:szCs w:val="22"/>
        </w:rPr>
        <w:t>Miles Communications provides facilities-based competitive LEC services in southeast Indiana.</w:t>
      </w:r>
      <w:r>
        <w:rPr>
          <w:rStyle w:val="FootnoteReference"/>
          <w:snapToGrid/>
          <w:kern w:val="0"/>
          <w:szCs w:val="22"/>
        </w:rPr>
        <w:footnoteReference w:id="7"/>
      </w:r>
      <w:r w:rsidRPr="00ED1241">
        <w:rPr>
          <w:snapToGrid/>
          <w:kern w:val="0"/>
          <w:szCs w:val="22"/>
        </w:rPr>
        <w:t xml:space="preserve">  Sunman Telecommunications LD provides competitive resold long-distance services in Indiana.</w:t>
      </w:r>
      <w:r>
        <w:rPr>
          <w:rStyle w:val="FootnoteReference"/>
          <w:snapToGrid/>
          <w:kern w:val="0"/>
          <w:szCs w:val="22"/>
        </w:rPr>
        <w:footnoteReference w:id="8"/>
      </w:r>
      <w:r w:rsidRPr="00ED1241">
        <w:rPr>
          <w:snapToGrid/>
          <w:kern w:val="0"/>
          <w:szCs w:val="22"/>
        </w:rPr>
        <w:t xml:space="preserve">  Together, Sunman Telecommunications and Miles Communications serve 10 counties in southeastern Indiana with </w:t>
      </w:r>
      <w:r w:rsidR="00160656">
        <w:rPr>
          <w:snapToGrid/>
          <w:kern w:val="0"/>
          <w:szCs w:val="22"/>
        </w:rPr>
        <w:t xml:space="preserve">a </w:t>
      </w:r>
      <w:r w:rsidRPr="00ED1241">
        <w:rPr>
          <w:snapToGrid/>
          <w:kern w:val="0"/>
          <w:szCs w:val="22"/>
        </w:rPr>
        <w:t>nearly 700-mile fiber network.</w:t>
      </w:r>
      <w:r>
        <w:rPr>
          <w:rStyle w:val="FootnoteReference"/>
          <w:snapToGrid/>
          <w:kern w:val="0"/>
          <w:szCs w:val="22"/>
        </w:rPr>
        <w:footnoteReference w:id="9"/>
      </w:r>
      <w:r w:rsidRPr="00ED1241">
        <w:rPr>
          <w:snapToGrid/>
          <w:kern w:val="0"/>
          <w:szCs w:val="22"/>
        </w:rPr>
        <w:t xml:space="preserve">  </w:t>
      </w:r>
    </w:p>
    <w:p w:rsidR="000C6F3C" w:rsidP="007F3E2B" w14:paraId="18A52D98" w14:textId="1496D398">
      <w:pPr>
        <w:autoSpaceDE w:val="0"/>
        <w:autoSpaceDN w:val="0"/>
        <w:adjustRightInd w:val="0"/>
        <w:ind w:firstLine="720"/>
        <w:rPr>
          <w:snapToGrid/>
          <w:kern w:val="0"/>
          <w:szCs w:val="22"/>
        </w:rPr>
      </w:pPr>
      <w:r w:rsidRPr="00ED1241">
        <w:rPr>
          <w:snapToGrid/>
          <w:kern w:val="0"/>
          <w:szCs w:val="22"/>
        </w:rPr>
        <w:t>GP Communications and its wholly</w:t>
      </w:r>
      <w:r w:rsidR="00F54DE1">
        <w:rPr>
          <w:snapToGrid/>
          <w:kern w:val="0"/>
          <w:szCs w:val="22"/>
        </w:rPr>
        <w:t>-</w:t>
      </w:r>
      <w:r w:rsidRPr="00ED1241">
        <w:rPr>
          <w:snapToGrid/>
          <w:kern w:val="0"/>
          <w:szCs w:val="22"/>
        </w:rPr>
        <w:t>owned subsidiaries, Great Plains Broadband LLC (GP Broadband) and Great Plains Communications Long Distance LLC (GP Long Distance), all Delaware limited liability companies, together provide residential, business, and enterprise telecommunications, cable television, and other services.</w:t>
      </w:r>
      <w:r>
        <w:rPr>
          <w:rStyle w:val="FootnoteReference"/>
          <w:snapToGrid/>
          <w:kern w:val="0"/>
          <w:szCs w:val="22"/>
        </w:rPr>
        <w:footnoteReference w:id="10"/>
      </w:r>
      <w:r w:rsidRPr="00ED1241">
        <w:rPr>
          <w:snapToGrid/>
          <w:kern w:val="0"/>
          <w:szCs w:val="22"/>
        </w:rPr>
        <w:t xml:space="preserve">  GP Communications</w:t>
      </w:r>
      <w:r w:rsidR="006D2581">
        <w:rPr>
          <w:snapToGrid/>
          <w:kern w:val="0"/>
          <w:szCs w:val="22"/>
        </w:rPr>
        <w:t xml:space="preserve"> </w:t>
      </w:r>
      <w:r w:rsidRPr="00ED1241">
        <w:rPr>
          <w:snapToGrid/>
          <w:kern w:val="0"/>
          <w:szCs w:val="22"/>
        </w:rPr>
        <w:t xml:space="preserve">serves </w:t>
      </w:r>
      <w:r w:rsidR="00166DB2">
        <w:rPr>
          <w:snapToGrid/>
          <w:kern w:val="0"/>
          <w:szCs w:val="22"/>
        </w:rPr>
        <w:t xml:space="preserve">92 communities over </w:t>
      </w:r>
      <w:r w:rsidR="00160656">
        <w:rPr>
          <w:snapToGrid/>
          <w:kern w:val="0"/>
          <w:szCs w:val="22"/>
        </w:rPr>
        <w:t>an</w:t>
      </w:r>
      <w:r w:rsidR="00166DB2">
        <w:rPr>
          <w:snapToGrid/>
          <w:kern w:val="0"/>
          <w:szCs w:val="22"/>
        </w:rPr>
        <w:t xml:space="preserve"> 11,500-mile regional fiber network</w:t>
      </w:r>
      <w:r w:rsidR="00A11F7E">
        <w:rPr>
          <w:snapToGrid/>
          <w:kern w:val="0"/>
          <w:szCs w:val="22"/>
        </w:rPr>
        <w:t xml:space="preserve"> in Nebraska</w:t>
      </w:r>
      <w:r w:rsidR="006D2581">
        <w:rPr>
          <w:snapToGrid/>
          <w:kern w:val="0"/>
          <w:szCs w:val="22"/>
        </w:rPr>
        <w:t>.</w:t>
      </w:r>
      <w:r>
        <w:rPr>
          <w:rStyle w:val="FootnoteReference"/>
          <w:snapToGrid/>
          <w:kern w:val="0"/>
          <w:szCs w:val="22"/>
        </w:rPr>
        <w:footnoteReference w:id="11"/>
      </w:r>
      <w:r w:rsidR="006D2581">
        <w:rPr>
          <w:snapToGrid/>
          <w:kern w:val="0"/>
          <w:szCs w:val="22"/>
        </w:rPr>
        <w:t xml:space="preserve">  It provides</w:t>
      </w:r>
      <w:r w:rsidR="007E4CDC">
        <w:rPr>
          <w:snapToGrid/>
          <w:kern w:val="0"/>
          <w:szCs w:val="22"/>
        </w:rPr>
        <w:t xml:space="preserve"> </w:t>
      </w:r>
      <w:r w:rsidRPr="00ED1241">
        <w:rPr>
          <w:snapToGrid/>
          <w:kern w:val="0"/>
          <w:szCs w:val="22"/>
        </w:rPr>
        <w:t xml:space="preserve">incumbent LEC </w:t>
      </w:r>
      <w:r w:rsidR="006D2581">
        <w:rPr>
          <w:snapToGrid/>
          <w:kern w:val="0"/>
          <w:szCs w:val="22"/>
        </w:rPr>
        <w:t xml:space="preserve">services </w:t>
      </w:r>
      <w:r w:rsidRPr="00ED1241">
        <w:rPr>
          <w:snapToGrid/>
          <w:kern w:val="0"/>
          <w:szCs w:val="22"/>
        </w:rPr>
        <w:t>in Nebraska and in a few areas of Colorado, Kansas, and South Dakota.</w:t>
      </w:r>
      <w:r>
        <w:rPr>
          <w:rStyle w:val="FootnoteReference"/>
          <w:snapToGrid/>
          <w:kern w:val="0"/>
          <w:szCs w:val="22"/>
        </w:rPr>
        <w:footnoteReference w:id="12"/>
      </w:r>
      <w:r w:rsidRPr="00ED1241">
        <w:rPr>
          <w:snapToGrid/>
          <w:kern w:val="0"/>
          <w:szCs w:val="22"/>
        </w:rPr>
        <w:t xml:space="preserve">  GP Broadband provides facilities-based competitive</w:t>
      </w:r>
      <w:r>
        <w:rPr>
          <w:snapToGrid/>
          <w:kern w:val="0"/>
          <w:szCs w:val="22"/>
        </w:rPr>
        <w:t xml:space="preserve"> LEC</w:t>
      </w:r>
      <w:r w:rsidRPr="00ED1241">
        <w:rPr>
          <w:snapToGrid/>
          <w:kern w:val="0"/>
          <w:szCs w:val="22"/>
        </w:rPr>
        <w:t xml:space="preserve"> services in Nebraska.</w:t>
      </w:r>
      <w:r>
        <w:rPr>
          <w:rStyle w:val="FootnoteReference"/>
          <w:snapToGrid/>
          <w:kern w:val="0"/>
          <w:szCs w:val="22"/>
        </w:rPr>
        <w:footnoteReference w:id="13"/>
      </w:r>
      <w:r w:rsidRPr="00ED1241">
        <w:rPr>
          <w:snapToGrid/>
          <w:kern w:val="0"/>
          <w:szCs w:val="22"/>
        </w:rPr>
        <w:t xml:space="preserve">  GP Long Distance provides competitive resold long distance services in Nebraska.</w:t>
      </w:r>
      <w:r>
        <w:rPr>
          <w:rStyle w:val="FootnoteReference"/>
          <w:snapToGrid/>
          <w:kern w:val="0"/>
          <w:szCs w:val="22"/>
        </w:rPr>
        <w:footnoteReference w:id="14"/>
      </w:r>
      <w:r w:rsidRPr="00ED1241">
        <w:rPr>
          <w:snapToGrid/>
          <w:kern w:val="0"/>
          <w:szCs w:val="22"/>
        </w:rPr>
        <w:t xml:space="preserve">  GP Communications’ subsidiary, InterCarrier Networks, LLC (ICN), a Michigan limited liability company, provides competitive LEC and other services in Illinois and Indiana.</w:t>
      </w:r>
      <w:r>
        <w:rPr>
          <w:snapToGrid/>
          <w:kern w:val="0"/>
          <w:szCs w:val="22"/>
          <w:vertAlign w:val="superscript"/>
        </w:rPr>
        <w:footnoteReference w:id="15"/>
      </w:r>
      <w:r w:rsidRPr="00ED1241">
        <w:rPr>
          <w:snapToGrid/>
          <w:kern w:val="0"/>
          <w:szCs w:val="22"/>
        </w:rPr>
        <w:t xml:space="preserve">  </w:t>
      </w:r>
      <w:r w:rsidRPr="007F3E2B" w:rsidR="00C80D94">
        <w:rPr>
          <w:snapToGrid/>
          <w:kern w:val="0"/>
          <w:szCs w:val="22"/>
        </w:rPr>
        <w:t xml:space="preserve">Applicants </w:t>
      </w:r>
      <w:bookmarkStart w:id="1" w:name="_GoBack"/>
      <w:bookmarkEnd w:id="1"/>
      <w:r w:rsidR="00C80D94">
        <w:rPr>
          <w:snapToGrid/>
          <w:kern w:val="0"/>
          <w:szCs w:val="22"/>
        </w:rPr>
        <w:t xml:space="preserve">confirmed </w:t>
      </w:r>
      <w:r w:rsidRPr="007F3E2B" w:rsidR="00C80D94">
        <w:rPr>
          <w:snapToGrid/>
          <w:kern w:val="0"/>
          <w:szCs w:val="22"/>
        </w:rPr>
        <w:t>that there is no physical overlap between the service areas of GP Communications and ICN with the service area of the Licensees.</w:t>
      </w:r>
      <w:r>
        <w:rPr>
          <w:rStyle w:val="FootnoteReference"/>
          <w:snapToGrid/>
          <w:kern w:val="0"/>
          <w:szCs w:val="22"/>
        </w:rPr>
        <w:footnoteReference w:id="16"/>
      </w:r>
    </w:p>
    <w:p w:rsidR="000C6F3C" w:rsidP="007F3E2B" w14:paraId="1A2FC3EA" w14:textId="77777777">
      <w:pPr>
        <w:autoSpaceDE w:val="0"/>
        <w:autoSpaceDN w:val="0"/>
        <w:adjustRightInd w:val="0"/>
        <w:ind w:firstLine="720"/>
        <w:rPr>
          <w:snapToGrid/>
          <w:kern w:val="0"/>
          <w:szCs w:val="22"/>
        </w:rPr>
      </w:pPr>
    </w:p>
    <w:p w:rsidR="006C6F22" w:rsidP="007F3E2B" w14:paraId="7C28DC93" w14:textId="42A4F220">
      <w:pPr>
        <w:autoSpaceDE w:val="0"/>
        <w:autoSpaceDN w:val="0"/>
        <w:adjustRightInd w:val="0"/>
        <w:ind w:firstLine="720"/>
        <w:rPr>
          <w:snapToGrid/>
          <w:color w:val="231F20"/>
          <w:kern w:val="0"/>
          <w:szCs w:val="22"/>
        </w:rPr>
      </w:pPr>
      <w:r>
        <w:rPr>
          <w:snapToGrid/>
          <w:kern w:val="0"/>
          <w:szCs w:val="22"/>
        </w:rPr>
        <w:t>GP Co</w:t>
      </w:r>
      <w:r w:rsidR="007435E8">
        <w:rPr>
          <w:snapToGrid/>
          <w:kern w:val="0"/>
          <w:szCs w:val="22"/>
        </w:rPr>
        <w:t xml:space="preserve">mmunications elected to receive </w:t>
      </w:r>
      <w:r w:rsidR="00151260">
        <w:rPr>
          <w:snapToGrid/>
          <w:kern w:val="0"/>
          <w:szCs w:val="22"/>
        </w:rPr>
        <w:t xml:space="preserve">fixed universal service support </w:t>
      </w:r>
      <w:r w:rsidR="007435E8">
        <w:rPr>
          <w:snapToGrid/>
          <w:kern w:val="0"/>
          <w:szCs w:val="22"/>
        </w:rPr>
        <w:t xml:space="preserve">under the </w:t>
      </w:r>
      <w:r w:rsidR="00E3672B">
        <w:rPr>
          <w:snapToGrid/>
          <w:kern w:val="0"/>
          <w:szCs w:val="22"/>
        </w:rPr>
        <w:t>Alternative Connect America Cost Model (A-CAM)</w:t>
      </w:r>
      <w:r w:rsidR="006D2581">
        <w:rPr>
          <w:snapToGrid/>
          <w:kern w:val="0"/>
          <w:szCs w:val="22"/>
        </w:rPr>
        <w:t xml:space="preserve"> for its incumbent LEC services</w:t>
      </w:r>
      <w:r w:rsidR="00E3672B">
        <w:rPr>
          <w:snapToGrid/>
          <w:kern w:val="0"/>
          <w:szCs w:val="22"/>
        </w:rPr>
        <w:t>.</w:t>
      </w:r>
      <w:r>
        <w:rPr>
          <w:rStyle w:val="FootnoteReference"/>
          <w:snapToGrid/>
          <w:kern w:val="0"/>
          <w:szCs w:val="22"/>
        </w:rPr>
        <w:footnoteReference w:id="17"/>
      </w:r>
      <w:r w:rsidR="00AC3F3D">
        <w:rPr>
          <w:snapToGrid/>
          <w:color w:val="231F20"/>
          <w:kern w:val="0"/>
          <w:szCs w:val="22"/>
        </w:rPr>
        <w:t xml:space="preserve"> </w:t>
      </w:r>
      <w:r>
        <w:rPr>
          <w:snapToGrid/>
          <w:color w:val="231F20"/>
          <w:kern w:val="0"/>
          <w:szCs w:val="22"/>
        </w:rPr>
        <w:t xml:space="preserve"> </w:t>
      </w:r>
      <w:r w:rsidR="003108A7">
        <w:rPr>
          <w:snapToGrid/>
          <w:color w:val="231F20"/>
          <w:kern w:val="0"/>
          <w:szCs w:val="22"/>
        </w:rPr>
        <w:t>GP Communications</w:t>
      </w:r>
      <w:r w:rsidR="0094741D">
        <w:rPr>
          <w:snapToGrid/>
          <w:color w:val="231F20"/>
          <w:kern w:val="0"/>
          <w:szCs w:val="22"/>
        </w:rPr>
        <w:t xml:space="preserve"> </w:t>
      </w:r>
      <w:r w:rsidR="006D2581">
        <w:rPr>
          <w:snapToGrid/>
          <w:color w:val="231F20"/>
          <w:kern w:val="0"/>
          <w:szCs w:val="22"/>
        </w:rPr>
        <w:t xml:space="preserve">also has </w:t>
      </w:r>
      <w:r w:rsidR="0094741D">
        <w:rPr>
          <w:snapToGrid/>
          <w:color w:val="231F20"/>
          <w:kern w:val="0"/>
          <w:szCs w:val="22"/>
        </w:rPr>
        <w:t>affiliate</w:t>
      </w:r>
      <w:r w:rsidR="00B47924">
        <w:rPr>
          <w:snapToGrid/>
          <w:color w:val="231F20"/>
          <w:kern w:val="0"/>
          <w:szCs w:val="22"/>
        </w:rPr>
        <w:t>s</w:t>
      </w:r>
      <w:r w:rsidR="0094741D">
        <w:rPr>
          <w:snapToGrid/>
          <w:color w:val="231F20"/>
          <w:kern w:val="0"/>
          <w:szCs w:val="22"/>
        </w:rPr>
        <w:t xml:space="preserve"> </w:t>
      </w:r>
      <w:r w:rsidR="00360F95">
        <w:rPr>
          <w:snapToGrid/>
          <w:color w:val="231F20"/>
          <w:kern w:val="0"/>
          <w:szCs w:val="22"/>
        </w:rPr>
        <w:t>provid</w:t>
      </w:r>
      <w:r w:rsidR="006D2581">
        <w:rPr>
          <w:snapToGrid/>
          <w:color w:val="231F20"/>
          <w:kern w:val="0"/>
          <w:szCs w:val="22"/>
        </w:rPr>
        <w:t>ing</w:t>
      </w:r>
      <w:r w:rsidR="002F09DE">
        <w:rPr>
          <w:snapToGrid/>
          <w:color w:val="231F20"/>
          <w:kern w:val="0"/>
          <w:szCs w:val="22"/>
        </w:rPr>
        <w:t xml:space="preserve"> telecommunications services as follows:  </w:t>
      </w:r>
      <w:r w:rsidR="0094741D">
        <w:rPr>
          <w:snapToGrid/>
          <w:color w:val="231F20"/>
          <w:kern w:val="0"/>
          <w:szCs w:val="22"/>
        </w:rPr>
        <w:t>E. Ritter Telephone Company, LLC</w:t>
      </w:r>
      <w:r w:rsidR="00B1106B">
        <w:rPr>
          <w:snapToGrid/>
          <w:color w:val="231F20"/>
          <w:kern w:val="0"/>
          <w:szCs w:val="22"/>
        </w:rPr>
        <w:t xml:space="preserve"> and </w:t>
      </w:r>
      <w:bookmarkStart w:id="2" w:name="_Hlk48645566"/>
      <w:r w:rsidR="00B1106B">
        <w:rPr>
          <w:snapToGrid/>
          <w:color w:val="231F20"/>
          <w:kern w:val="0"/>
          <w:szCs w:val="22"/>
        </w:rPr>
        <w:t>Tri-County Telephone Company, LLC</w:t>
      </w:r>
      <w:bookmarkEnd w:id="2"/>
      <w:r w:rsidR="00B1106B">
        <w:rPr>
          <w:snapToGrid/>
          <w:color w:val="231F20"/>
          <w:kern w:val="0"/>
          <w:szCs w:val="22"/>
        </w:rPr>
        <w:t xml:space="preserve"> operate as incumbent LECs in Arkansas</w:t>
      </w:r>
      <w:r w:rsidR="006C7220">
        <w:rPr>
          <w:snapToGrid/>
          <w:color w:val="231F20"/>
          <w:kern w:val="0"/>
          <w:szCs w:val="22"/>
        </w:rPr>
        <w:t xml:space="preserve">; Millington Telephone Company, LLC operates as an incumbent </w:t>
      </w:r>
      <w:r w:rsidR="00FC3D46">
        <w:rPr>
          <w:snapToGrid/>
          <w:color w:val="231F20"/>
          <w:kern w:val="0"/>
          <w:szCs w:val="22"/>
        </w:rPr>
        <w:t>LEC in Tennessee; and E. Ritter Communications, LLC operates as a competitive LEC in Arkansas, Tennessee, and Texas.</w:t>
      </w:r>
      <w:r>
        <w:rPr>
          <w:rStyle w:val="FootnoteReference"/>
          <w:snapToGrid/>
          <w:kern w:val="0"/>
          <w:szCs w:val="22"/>
        </w:rPr>
        <w:footnoteReference w:id="18"/>
      </w:r>
      <w:r w:rsidR="001E7E96">
        <w:rPr>
          <w:snapToGrid/>
          <w:color w:val="231F20"/>
          <w:kern w:val="0"/>
          <w:szCs w:val="22"/>
        </w:rPr>
        <w:t xml:space="preserve"> </w:t>
      </w:r>
      <w:r w:rsidRPr="001E7E96" w:rsidR="001E7E96">
        <w:rPr>
          <w:snapToGrid/>
          <w:color w:val="231F20"/>
          <w:kern w:val="0"/>
          <w:szCs w:val="22"/>
        </w:rPr>
        <w:t xml:space="preserve"> </w:t>
      </w:r>
      <w:r w:rsidR="001E7E96">
        <w:rPr>
          <w:snapToGrid/>
          <w:color w:val="231F20"/>
          <w:kern w:val="0"/>
          <w:szCs w:val="22"/>
        </w:rPr>
        <w:t>E. Ritter Telephone Company, LLC</w:t>
      </w:r>
      <w:r w:rsidR="000447B2">
        <w:rPr>
          <w:snapToGrid/>
          <w:color w:val="231F20"/>
          <w:kern w:val="0"/>
          <w:szCs w:val="22"/>
        </w:rPr>
        <w:t xml:space="preserve"> </w:t>
      </w:r>
      <w:r w:rsidR="00B5086A">
        <w:rPr>
          <w:snapToGrid/>
          <w:color w:val="231F20"/>
          <w:kern w:val="0"/>
          <w:szCs w:val="22"/>
        </w:rPr>
        <w:t xml:space="preserve">and Tri-County Telephone Company, LLC </w:t>
      </w:r>
      <w:r w:rsidR="00B5086A">
        <w:rPr>
          <w:snapToGrid/>
          <w:kern w:val="0"/>
          <w:szCs w:val="22"/>
        </w:rPr>
        <w:t xml:space="preserve">elected to receive fixed universal service support under A-CAM </w:t>
      </w:r>
      <w:r w:rsidR="000447B2">
        <w:rPr>
          <w:snapToGrid/>
          <w:color w:val="231F20"/>
          <w:kern w:val="0"/>
          <w:szCs w:val="22"/>
        </w:rPr>
        <w:t xml:space="preserve">for </w:t>
      </w:r>
      <w:r w:rsidR="00B5086A">
        <w:rPr>
          <w:snapToGrid/>
          <w:color w:val="231F20"/>
          <w:kern w:val="0"/>
          <w:szCs w:val="22"/>
        </w:rPr>
        <w:t>their</w:t>
      </w:r>
      <w:r w:rsidR="000447B2">
        <w:rPr>
          <w:snapToGrid/>
          <w:color w:val="231F20"/>
          <w:kern w:val="0"/>
          <w:szCs w:val="22"/>
        </w:rPr>
        <w:t xml:space="preserve"> incumbent LEC services.</w:t>
      </w:r>
      <w:r>
        <w:rPr>
          <w:rStyle w:val="FootnoteReference"/>
          <w:szCs w:val="22"/>
        </w:rPr>
        <w:footnoteReference w:id="19"/>
      </w:r>
      <w:r w:rsidR="00B07381">
        <w:rPr>
          <w:snapToGrid/>
          <w:color w:val="231F20"/>
          <w:kern w:val="0"/>
          <w:szCs w:val="22"/>
        </w:rPr>
        <w:t xml:space="preserve">  </w:t>
      </w:r>
      <w:r w:rsidR="003D435A">
        <w:rPr>
          <w:snapToGrid/>
          <w:color w:val="231F20"/>
          <w:kern w:val="0"/>
          <w:szCs w:val="22"/>
        </w:rPr>
        <w:t xml:space="preserve">Millington Telephone Company, LLC </w:t>
      </w:r>
      <w:r w:rsidR="003D435A">
        <w:rPr>
          <w:snapToGrid/>
          <w:kern w:val="0"/>
          <w:szCs w:val="22"/>
        </w:rPr>
        <w:t>elected to receive fixed universal service support under A-CAM II.</w:t>
      </w:r>
      <w:r>
        <w:rPr>
          <w:rStyle w:val="FootnoteReference"/>
          <w:snapToGrid/>
          <w:kern w:val="0"/>
          <w:szCs w:val="22"/>
        </w:rPr>
        <w:footnoteReference w:id="20"/>
      </w:r>
    </w:p>
    <w:p w:rsidR="006A65D3" w:rsidRPr="007F3E2B" w:rsidP="007F3E2B" w14:paraId="44E694EB" w14:textId="28D018ED">
      <w:pPr>
        <w:autoSpaceDE w:val="0"/>
        <w:autoSpaceDN w:val="0"/>
        <w:adjustRightInd w:val="0"/>
        <w:ind w:firstLine="720"/>
        <w:rPr>
          <w:snapToGrid/>
          <w:kern w:val="0"/>
          <w:szCs w:val="22"/>
        </w:rPr>
      </w:pPr>
      <w:r>
        <w:rPr>
          <w:snapToGrid/>
          <w:color w:val="231F20"/>
          <w:kern w:val="0"/>
          <w:szCs w:val="22"/>
        </w:rPr>
        <w:br/>
      </w:r>
      <w:r>
        <w:rPr>
          <w:snapToGrid/>
          <w:color w:val="231F20"/>
          <w:kern w:val="0"/>
          <w:szCs w:val="22"/>
        </w:rPr>
        <w:tab/>
      </w:r>
      <w:r w:rsidRPr="000F450D">
        <w:rPr>
          <w:bCs/>
          <w:snapToGrid/>
          <w:kern w:val="0"/>
          <w:szCs w:val="22"/>
        </w:rPr>
        <w:t xml:space="preserve"> </w:t>
      </w:r>
      <w:r w:rsidRPr="007F3E2B" w:rsidR="007F3E2B">
        <w:rPr>
          <w:snapToGrid/>
          <w:kern w:val="0"/>
          <w:szCs w:val="22"/>
        </w:rPr>
        <w:t>Pursuant to the terms of a Membership Interest Purchase Agreement, GP Communications will acquire control of Miles Enterprises and the Licensees.</w:t>
      </w:r>
      <w:r>
        <w:rPr>
          <w:snapToGrid/>
          <w:kern w:val="0"/>
          <w:szCs w:val="22"/>
          <w:vertAlign w:val="superscript"/>
        </w:rPr>
        <w:footnoteReference w:id="21"/>
      </w:r>
      <w:r w:rsidRPr="007F3E2B" w:rsidR="007F3E2B">
        <w:rPr>
          <w:snapToGrid/>
          <w:kern w:val="0"/>
          <w:szCs w:val="22"/>
        </w:rPr>
        <w:t xml:space="preserve">  </w:t>
      </w:r>
    </w:p>
    <w:p w:rsidR="006D2EA5" w:rsidP="008C7AD1" w14:paraId="5CEBD369" w14:textId="29BB7A87">
      <w:pPr>
        <w:rPr>
          <w:szCs w:val="22"/>
        </w:rPr>
      </w:pPr>
    </w:p>
    <w:p w:rsidR="000E3FC3" w:rsidP="008C7AD1" w14:paraId="76A0A641" w14:textId="77777777">
      <w:pPr>
        <w:rPr>
          <w:i/>
          <w:iCs/>
          <w:szCs w:val="22"/>
          <w:u w:val="single"/>
        </w:rPr>
      </w:pPr>
    </w:p>
    <w:p w:rsidR="000E3FC3" w:rsidP="008C7AD1" w14:paraId="6A4CECC2" w14:textId="77777777">
      <w:pPr>
        <w:rPr>
          <w:i/>
          <w:iCs/>
          <w:szCs w:val="22"/>
          <w:u w:val="single"/>
        </w:rPr>
      </w:pPr>
    </w:p>
    <w:p w:rsidR="006D2581" w:rsidRPr="00842730" w:rsidP="008C7AD1" w14:paraId="18584BB0" w14:textId="0C1705FA">
      <w:pPr>
        <w:rPr>
          <w:i/>
          <w:iCs/>
          <w:szCs w:val="22"/>
          <w:u w:val="single"/>
        </w:rPr>
      </w:pPr>
      <w:r w:rsidRPr="00842730">
        <w:rPr>
          <w:i/>
          <w:iCs/>
          <w:szCs w:val="22"/>
          <w:u w:val="single"/>
        </w:rPr>
        <w:t>Discussion</w:t>
      </w:r>
    </w:p>
    <w:p w:rsidR="006D2581" w:rsidP="008C7AD1" w14:paraId="1ECCA623" w14:textId="77777777">
      <w:pPr>
        <w:rPr>
          <w:szCs w:val="22"/>
        </w:rPr>
      </w:pPr>
    </w:p>
    <w:p w:rsidR="0047633D" w:rsidRPr="00A530A3" w:rsidP="0047633D" w14:paraId="5E1A4D64" w14:textId="4CE97B3C">
      <w:pPr>
        <w:tabs>
          <w:tab w:val="left" w:pos="3210"/>
        </w:tabs>
        <w:ind w:firstLine="720"/>
        <w:rPr>
          <w:snapToGrid/>
          <w:kern w:val="0"/>
          <w:szCs w:val="22"/>
        </w:rPr>
      </w:pPr>
      <w:r w:rsidRPr="00A530A3">
        <w:rPr>
          <w:szCs w:val="22"/>
        </w:rPr>
        <w:t xml:space="preserve">The Applicants request approval to consummate </w:t>
      </w:r>
      <w:r w:rsidR="007C02C8">
        <w:rPr>
          <w:szCs w:val="22"/>
        </w:rPr>
        <w:t xml:space="preserve">a </w:t>
      </w:r>
      <w:r w:rsidRPr="00A530A3">
        <w:rPr>
          <w:szCs w:val="22"/>
        </w:rPr>
        <w:t>transaction involving companies that receive high-cost universal service support under the different mechanisms of fixed</w:t>
      </w:r>
      <w:r w:rsidR="00064A57">
        <w:rPr>
          <w:szCs w:val="22"/>
        </w:rPr>
        <w:t xml:space="preserve"> </w:t>
      </w:r>
      <w:r w:rsidRPr="00A530A3">
        <w:rPr>
          <w:szCs w:val="22"/>
        </w:rPr>
        <w:t>support and cost-based support.  The Commission has found that th</w:t>
      </w:r>
      <w:r w:rsidR="00714BDA">
        <w:rPr>
          <w:szCs w:val="22"/>
        </w:rPr>
        <w:t>i</w:t>
      </w:r>
      <w:r w:rsidRPr="00A530A3">
        <w:rPr>
          <w:szCs w:val="22"/>
        </w:rPr>
        <w:t>s type of mixed support transaction could result in potential harm to its goal of ensuring that limited universal service funding is distributed efficiently and effectively.</w:t>
      </w:r>
      <w:r>
        <w:rPr>
          <w:szCs w:val="22"/>
          <w:vertAlign w:val="superscript"/>
        </w:rPr>
        <w:footnoteReference w:id="22"/>
      </w:r>
      <w:r w:rsidRPr="00A530A3">
        <w:rPr>
          <w:szCs w:val="22"/>
        </w:rPr>
        <w:t xml:space="preserve">  </w:t>
      </w:r>
      <w:r w:rsidRPr="00A530A3">
        <w:t xml:space="preserve">When a company receiving a fixed level of support acquires or is acquired by a company receiving support based on its costs, the combined companies could, and in some instances might have an economic incentive to, shift certain shared or common costs from the </w:t>
      </w:r>
      <w:r w:rsidR="00064A57">
        <w:t>fixed</w:t>
      </w:r>
      <w:r w:rsidRPr="00A530A3">
        <w:t xml:space="preserve"> support company to the cost-based support company.</w:t>
      </w:r>
      <w:r>
        <w:rPr>
          <w:rStyle w:val="FootnoteReference"/>
        </w:rPr>
        <w:footnoteReference w:id="23"/>
      </w:r>
      <w:r w:rsidRPr="00A530A3">
        <w:t xml:space="preserve">  If cost shifting were to occur, </w:t>
      </w:r>
      <w:r w:rsidRPr="00A530A3">
        <w:rPr>
          <w:snapToGrid/>
          <w:kern w:val="0"/>
          <w:szCs w:val="22"/>
        </w:rPr>
        <w:t>the combined company, post-transaction, could obtain more high cost universal service support than the two companies did as separate entities,</w:t>
      </w:r>
      <w:r w:rsidRPr="00A530A3">
        <w:rPr>
          <w:snapToGrid/>
          <w:kern w:val="0"/>
          <w:sz w:val="13"/>
          <w:szCs w:val="13"/>
        </w:rPr>
        <w:t xml:space="preserve"> </w:t>
      </w:r>
      <w:r w:rsidRPr="00A530A3">
        <w:rPr>
          <w:snapToGrid/>
          <w:kern w:val="0"/>
          <w:szCs w:val="22"/>
        </w:rPr>
        <w:t>not because of any new investment, expense, or buildout, but rather solely because of the application of accounting procedures.</w:t>
      </w:r>
      <w:r>
        <w:rPr>
          <w:rStyle w:val="FootnoteReference"/>
          <w:snapToGrid/>
          <w:kern w:val="0"/>
          <w:szCs w:val="22"/>
        </w:rPr>
        <w:footnoteReference w:id="24"/>
      </w:r>
      <w:r w:rsidRPr="00A530A3">
        <w:rPr>
          <w:snapToGrid/>
          <w:kern w:val="0"/>
          <w:szCs w:val="22"/>
        </w:rPr>
        <w:t xml:space="preserve">  Such an outcome is inconsistent with the Commission’s general expectation that transactions generate efficiencies that reduce the combined company’s costs.</w:t>
      </w:r>
      <w:r>
        <w:rPr>
          <w:rStyle w:val="FootnoteReference"/>
          <w:snapToGrid/>
          <w:kern w:val="0"/>
          <w:szCs w:val="22"/>
        </w:rPr>
        <w:footnoteReference w:id="25"/>
      </w:r>
      <w:r w:rsidRPr="00A530A3">
        <w:rPr>
          <w:snapToGrid/>
          <w:kern w:val="0"/>
          <w:sz w:val="13"/>
          <w:szCs w:val="13"/>
        </w:rPr>
        <w:t xml:space="preserve"> </w:t>
      </w:r>
      <w:r w:rsidRPr="00A530A3">
        <w:rPr>
          <w:snapToGrid/>
          <w:kern w:val="0"/>
          <w:szCs w:val="22"/>
        </w:rPr>
        <w:t xml:space="preserve"> Moreover, providing additional universal service support to a company as a result of cost shifting solely because it acquired or merged with another company is not an efficient use of limited universal service resources.</w:t>
      </w:r>
      <w:r>
        <w:rPr>
          <w:rStyle w:val="FootnoteReference"/>
          <w:snapToGrid/>
          <w:kern w:val="0"/>
          <w:szCs w:val="22"/>
        </w:rPr>
        <w:footnoteReference w:id="26"/>
      </w:r>
    </w:p>
    <w:p w:rsidR="0047633D" w:rsidP="0047633D" w14:paraId="3217E4E6" w14:textId="77777777">
      <w:pPr>
        <w:widowControl/>
        <w:autoSpaceDE w:val="0"/>
        <w:autoSpaceDN w:val="0"/>
        <w:adjustRightInd w:val="0"/>
        <w:rPr>
          <w:rFonts w:ascii="TimesNewRomanPSMT" w:hAnsi="TimesNewRomanPSMT" w:cs="TimesNewRomanPSMT"/>
          <w:snapToGrid/>
          <w:kern w:val="0"/>
          <w:szCs w:val="22"/>
        </w:rPr>
      </w:pPr>
    </w:p>
    <w:p w:rsidR="003F2288" w:rsidP="003F2288" w14:paraId="59B510CA" w14:textId="77777777">
      <w:pPr>
        <w:tabs>
          <w:tab w:val="left" w:pos="3210"/>
        </w:tabs>
        <w:ind w:firstLine="720"/>
        <w:rPr>
          <w:szCs w:val="22"/>
        </w:rPr>
      </w:pPr>
      <w:r>
        <w:rPr>
          <w:szCs w:val="22"/>
        </w:rPr>
        <w:t xml:space="preserve">In the </w:t>
      </w:r>
      <w:r w:rsidRPr="00496424">
        <w:rPr>
          <w:i/>
          <w:szCs w:val="22"/>
        </w:rPr>
        <w:t>Hargray/ComSouth Order</w:t>
      </w:r>
      <w:r>
        <w:rPr>
          <w:szCs w:val="22"/>
        </w:rPr>
        <w:t xml:space="preserve">, in which the Commission approved a mixed support transaction, it sought to </w:t>
      </w:r>
      <w:r w:rsidRPr="008B3790">
        <w:rPr>
          <w:szCs w:val="22"/>
        </w:rPr>
        <w:t>pr</w:t>
      </w:r>
      <w:r>
        <w:rPr>
          <w:szCs w:val="22"/>
        </w:rPr>
        <w:t>event cost shifting and to pr</w:t>
      </w:r>
      <w:r w:rsidRPr="008B3790">
        <w:rPr>
          <w:szCs w:val="22"/>
        </w:rPr>
        <w:t xml:space="preserve">otect the </w:t>
      </w:r>
      <w:r>
        <w:rPr>
          <w:szCs w:val="22"/>
        </w:rPr>
        <w:t>finite resources of the high-cost universal service fund by imposing a limited condition that capped high-cost universal service support based on the operating expenses of the entity receiving cost-based support.</w:t>
      </w:r>
      <w:r>
        <w:rPr>
          <w:rStyle w:val="FootnoteReference"/>
          <w:szCs w:val="22"/>
        </w:rPr>
        <w:footnoteReference w:id="27"/>
      </w:r>
      <w:r>
        <w:rPr>
          <w:szCs w:val="22"/>
        </w:rPr>
        <w:t xml:space="preserve">  The Commission also </w:t>
      </w:r>
      <w:r w:rsidRPr="008B3790">
        <w:rPr>
          <w:szCs w:val="22"/>
        </w:rPr>
        <w:t xml:space="preserve">directed the Bureau to </w:t>
      </w:r>
      <w:r>
        <w:rPr>
          <w:szCs w:val="22"/>
        </w:rPr>
        <w:t>impose the same limited condition on future transactions between parties receiving different types of high-cost universal service support.</w:t>
      </w:r>
      <w:r>
        <w:rPr>
          <w:szCs w:val="22"/>
          <w:vertAlign w:val="superscript"/>
        </w:rPr>
        <w:footnoteReference w:id="28"/>
      </w:r>
      <w:r w:rsidRPr="008B3790">
        <w:rPr>
          <w:szCs w:val="22"/>
        </w:rPr>
        <w:t xml:space="preserve">  </w:t>
      </w:r>
    </w:p>
    <w:p w:rsidR="003F2288" w:rsidP="003F2288" w14:paraId="1251E8EE" w14:textId="77777777">
      <w:pPr>
        <w:tabs>
          <w:tab w:val="left" w:pos="3210"/>
        </w:tabs>
        <w:ind w:firstLine="720"/>
        <w:rPr>
          <w:szCs w:val="22"/>
        </w:rPr>
      </w:pPr>
    </w:p>
    <w:p w:rsidR="003F2288" w:rsidP="003F2288" w14:paraId="6B61BA3D" w14:textId="735E1316">
      <w:pPr>
        <w:tabs>
          <w:tab w:val="left" w:pos="3210"/>
        </w:tabs>
        <w:ind w:firstLine="720"/>
      </w:pPr>
      <w:r>
        <w:rPr>
          <w:szCs w:val="22"/>
        </w:rPr>
        <w:t>GP</w:t>
      </w:r>
      <w:r w:rsidR="00583FE7">
        <w:rPr>
          <w:szCs w:val="22"/>
        </w:rPr>
        <w:t xml:space="preserve"> Communications</w:t>
      </w:r>
      <w:r w:rsidR="003C13D6">
        <w:rPr>
          <w:szCs w:val="22"/>
        </w:rPr>
        <w:t xml:space="preserve">, </w:t>
      </w:r>
      <w:r w:rsidR="00042C44">
        <w:rPr>
          <w:szCs w:val="22"/>
        </w:rPr>
        <w:t>a fixed based support company</w:t>
      </w:r>
      <w:r w:rsidR="003C13D6">
        <w:rPr>
          <w:szCs w:val="22"/>
        </w:rPr>
        <w:t xml:space="preserve">, </w:t>
      </w:r>
      <w:r w:rsidR="007069DD">
        <w:rPr>
          <w:szCs w:val="22"/>
        </w:rPr>
        <w:t xml:space="preserve">seeks to acquire </w:t>
      </w:r>
      <w:r w:rsidR="00777263">
        <w:rPr>
          <w:szCs w:val="22"/>
        </w:rPr>
        <w:t xml:space="preserve">the operations of </w:t>
      </w:r>
      <w:r w:rsidR="002C22CB">
        <w:rPr>
          <w:szCs w:val="22"/>
        </w:rPr>
        <w:t xml:space="preserve">Sunman </w:t>
      </w:r>
      <w:r w:rsidR="00190353">
        <w:rPr>
          <w:szCs w:val="22"/>
        </w:rPr>
        <w:t>Telecommunications</w:t>
      </w:r>
      <w:r w:rsidR="007069DD">
        <w:rPr>
          <w:szCs w:val="22"/>
        </w:rPr>
        <w:t xml:space="preserve">, </w:t>
      </w:r>
      <w:r w:rsidR="00C530D0">
        <w:rPr>
          <w:szCs w:val="22"/>
        </w:rPr>
        <w:t>a cost-based support company</w:t>
      </w:r>
      <w:r w:rsidR="007069DD">
        <w:rPr>
          <w:szCs w:val="22"/>
        </w:rPr>
        <w:t>.</w:t>
      </w:r>
      <w:r>
        <w:rPr>
          <w:rStyle w:val="FootnoteReference"/>
          <w:szCs w:val="22"/>
        </w:rPr>
        <w:footnoteReference w:id="29"/>
      </w:r>
      <w:r w:rsidR="007069DD">
        <w:rPr>
          <w:szCs w:val="22"/>
        </w:rPr>
        <w:t xml:space="preserve">  T</w:t>
      </w:r>
      <w:r w:rsidR="00AB2ED7">
        <w:rPr>
          <w:szCs w:val="22"/>
        </w:rPr>
        <w:t>he</w:t>
      </w:r>
      <w:r w:rsidR="007069DD">
        <w:rPr>
          <w:szCs w:val="22"/>
        </w:rPr>
        <w:t>refore, the</w:t>
      </w:r>
      <w:r w:rsidR="00AB2ED7">
        <w:rPr>
          <w:szCs w:val="22"/>
        </w:rPr>
        <w:t xml:space="preserve"> potential for harm caused by cost-shifting is </w:t>
      </w:r>
      <w:r w:rsidR="00423648">
        <w:rPr>
          <w:szCs w:val="22"/>
        </w:rPr>
        <w:t xml:space="preserve">a </w:t>
      </w:r>
      <w:r w:rsidR="00AB2ED7">
        <w:rPr>
          <w:szCs w:val="22"/>
        </w:rPr>
        <w:t>transaction</w:t>
      </w:r>
      <w:r w:rsidR="00423648">
        <w:rPr>
          <w:szCs w:val="22"/>
        </w:rPr>
        <w:t>-specific harm</w:t>
      </w:r>
      <w:r w:rsidR="00AB2ED7">
        <w:rPr>
          <w:szCs w:val="22"/>
        </w:rPr>
        <w:t xml:space="preserve">.  </w:t>
      </w:r>
      <w:r w:rsidRPr="00C0281C" w:rsidR="00AB2ED7">
        <w:rPr>
          <w:szCs w:val="22"/>
        </w:rPr>
        <w:t>Accordingly, to mitigate the potential for cost shifting, we grant the Application</w:t>
      </w:r>
      <w:r w:rsidR="00E556AA">
        <w:rPr>
          <w:szCs w:val="22"/>
        </w:rPr>
        <w:t xml:space="preserve"> </w:t>
      </w:r>
      <w:r w:rsidRPr="00C0281C" w:rsidR="00AB2ED7">
        <w:rPr>
          <w:szCs w:val="22"/>
        </w:rPr>
        <w:t xml:space="preserve">subject to the condition adopted in the </w:t>
      </w:r>
      <w:r w:rsidRPr="00C0281C" w:rsidR="00AB2ED7">
        <w:rPr>
          <w:i/>
          <w:szCs w:val="22"/>
        </w:rPr>
        <w:t>Hargray/ComSouth Order</w:t>
      </w:r>
      <w:r w:rsidRPr="00C0281C" w:rsidR="00AB2ED7">
        <w:rPr>
          <w:szCs w:val="22"/>
        </w:rPr>
        <w:t>.</w:t>
      </w:r>
      <w:r>
        <w:rPr>
          <w:rStyle w:val="FootnoteReference"/>
        </w:rPr>
        <w:footnoteReference w:id="30"/>
      </w:r>
      <w:r w:rsidRPr="00C0281C" w:rsidR="00AB2ED7">
        <w:t xml:space="preserve">  </w:t>
      </w:r>
      <w:r w:rsidRPr="00C0281C" w:rsidR="00AB2ED7">
        <w:rPr>
          <w:szCs w:val="22"/>
        </w:rPr>
        <w:t>The combined operating expense</w:t>
      </w:r>
      <w:r w:rsidR="00AB2ED7">
        <w:rPr>
          <w:szCs w:val="22"/>
        </w:rPr>
        <w:t>s</w:t>
      </w:r>
      <w:r w:rsidRPr="00C0281C" w:rsidR="00AB2ED7">
        <w:rPr>
          <w:szCs w:val="22"/>
        </w:rPr>
        <w:t xml:space="preserve"> of </w:t>
      </w:r>
      <w:r w:rsidR="00DC3493">
        <w:rPr>
          <w:szCs w:val="22"/>
        </w:rPr>
        <w:t>the</w:t>
      </w:r>
      <w:r w:rsidR="00AB2ED7">
        <w:rPr>
          <w:szCs w:val="22"/>
        </w:rPr>
        <w:t xml:space="preserve"> post-consummation company’s </w:t>
      </w:r>
      <w:r w:rsidRPr="00C0281C" w:rsidR="00AB2ED7">
        <w:rPr>
          <w:szCs w:val="22"/>
        </w:rPr>
        <w:t xml:space="preserve">rate-of-return </w:t>
      </w:r>
      <w:r w:rsidR="00AB2ED7">
        <w:rPr>
          <w:szCs w:val="22"/>
        </w:rPr>
        <w:t>affiliates</w:t>
      </w:r>
      <w:r>
        <w:rPr>
          <w:rStyle w:val="FootnoteReference"/>
          <w:szCs w:val="22"/>
        </w:rPr>
        <w:footnoteReference w:id="31"/>
      </w:r>
      <w:r w:rsidR="006D7507">
        <w:rPr>
          <w:szCs w:val="22"/>
        </w:rPr>
        <w:t xml:space="preserve"> </w:t>
      </w:r>
      <w:r w:rsidRPr="00C0281C" w:rsidR="00AB2ED7">
        <w:rPr>
          <w:szCs w:val="22"/>
        </w:rPr>
        <w:t>shall be capped</w:t>
      </w:r>
      <w:r w:rsidRPr="00647A6E" w:rsidR="00AB2ED7">
        <w:rPr>
          <w:szCs w:val="22"/>
        </w:rPr>
        <w:t xml:space="preserve"> at the averaged combined operating expense</w:t>
      </w:r>
      <w:r w:rsidR="00AB2ED7">
        <w:rPr>
          <w:szCs w:val="22"/>
        </w:rPr>
        <w:t>s</w:t>
      </w:r>
      <w:r w:rsidRPr="00647A6E" w:rsidR="00AB2ED7">
        <w:rPr>
          <w:szCs w:val="22"/>
        </w:rPr>
        <w:t xml:space="preserve"> of the three calendar years preceding the transaction</w:t>
      </w:r>
      <w:r w:rsidR="00DC3493">
        <w:rPr>
          <w:szCs w:val="22"/>
        </w:rPr>
        <w:t>’</w:t>
      </w:r>
      <w:r w:rsidR="001D1964">
        <w:rPr>
          <w:szCs w:val="22"/>
        </w:rPr>
        <w:t>s</w:t>
      </w:r>
      <w:r w:rsidRPr="00647A6E" w:rsidR="00AB2ED7">
        <w:rPr>
          <w:szCs w:val="22"/>
        </w:rPr>
        <w:t xml:space="preserve"> closing date for which the operating expense data are available</w:t>
      </w:r>
      <w:r w:rsidRPr="00C0281C" w:rsidR="00AB2ED7">
        <w:t>.</w:t>
      </w:r>
      <w:r>
        <w:rPr>
          <w:rStyle w:val="FootnoteReference"/>
        </w:rPr>
        <w:footnoteReference w:id="32"/>
      </w:r>
      <w:r w:rsidRPr="00C0281C" w:rsidR="00AB2ED7">
        <w:t xml:space="preserve">  </w:t>
      </w:r>
    </w:p>
    <w:p w:rsidR="003F2288" w:rsidP="003F2288" w14:paraId="1F32B6D0" w14:textId="77777777">
      <w:pPr>
        <w:tabs>
          <w:tab w:val="left" w:pos="3210"/>
        </w:tabs>
        <w:ind w:firstLine="720"/>
      </w:pPr>
    </w:p>
    <w:p w:rsidR="003F2288" w:rsidRPr="00A530A3" w:rsidP="003F2288" w14:paraId="779C1EC1" w14:textId="77777777">
      <w:pPr>
        <w:autoSpaceDE w:val="0"/>
        <w:autoSpaceDN w:val="0"/>
        <w:adjustRightInd w:val="0"/>
        <w:ind w:firstLine="720"/>
      </w:pPr>
      <w:r w:rsidRPr="00A530A3">
        <w:t>The cap will apply to cost recovery under both HCLS and CAF-BLS and will be applied proportionately to each affiliate’s accounts used to determine the affiliate’s eligible operating expense for HCLS and CAF-BLS.</w:t>
      </w:r>
      <w:r>
        <w:rPr>
          <w:rStyle w:val="FootnoteReference"/>
        </w:rPr>
        <w:footnoteReference w:id="33"/>
      </w:r>
      <w:r w:rsidRPr="00A530A3">
        <w:t xml:space="preserve">  For example, if the cap requires that a post-consummation </w:t>
      </w:r>
      <w:r w:rsidRPr="00A530A3">
        <w:rPr>
          <w:szCs w:val="22"/>
        </w:rPr>
        <w:t>company’s</w:t>
      </w:r>
      <w:r w:rsidRPr="00A530A3">
        <w:t xml:space="preserve"> eligible operating expense be reduced by 10</w:t>
      </w:r>
      <w:r w:rsidR="00534B0C">
        <w:t>%</w:t>
      </w:r>
      <w:r w:rsidRPr="00A530A3">
        <w:t>, then each account used to determine each rate-of-return affiliate’s eligible operating expense</w:t>
      </w:r>
      <w:r>
        <w:t>s</w:t>
      </w:r>
      <w:r w:rsidRPr="00A530A3">
        <w:t xml:space="preserve"> shall be reduced by 10</w:t>
      </w:r>
      <w:r w:rsidR="00534B0C">
        <w:t>%</w:t>
      </w:r>
      <w:r w:rsidRPr="00A530A3">
        <w:t>.</w:t>
      </w:r>
      <w:r>
        <w:rPr>
          <w:rStyle w:val="FootnoteReference"/>
        </w:rPr>
        <w:footnoteReference w:id="34"/>
      </w:r>
      <w:r w:rsidRPr="00A530A3">
        <w:t xml:space="preserve">  For purposes of this cap, operating expense</w:t>
      </w:r>
      <w:r>
        <w:t>s</w:t>
      </w:r>
      <w:r w:rsidRPr="00A530A3">
        <w:t xml:space="preserve"> shall include maintenance, network support/network operations/general, benefits, rent expenses, and corporate operations, while depreciation, return on investment, and taxes shall be excluded.</w:t>
      </w:r>
      <w:r>
        <w:rPr>
          <w:rStyle w:val="FootnoteReference"/>
        </w:rPr>
        <w:footnoteReference w:id="35"/>
      </w:r>
    </w:p>
    <w:p w:rsidR="003F2288" w:rsidP="003F2288" w14:paraId="3B54C01C" w14:textId="77777777">
      <w:pPr>
        <w:autoSpaceDE w:val="0"/>
        <w:autoSpaceDN w:val="0"/>
        <w:adjustRightInd w:val="0"/>
        <w:ind w:firstLine="720"/>
      </w:pPr>
    </w:p>
    <w:p w:rsidR="003F2288" w:rsidP="003F2288" w14:paraId="3D5ABE86" w14:textId="77777777">
      <w:pPr>
        <w:autoSpaceDE w:val="0"/>
        <w:autoSpaceDN w:val="0"/>
        <w:adjustRightInd w:val="0"/>
        <w:ind w:firstLine="720"/>
      </w:pPr>
      <w:r>
        <w:t>For all covered entities, the new cap shall also include an annual adjustment for inflation based on the Gross Domestic Product-Channel Price Index (GDP-CPI) for the years in which the new cap remains in effect</w:t>
      </w:r>
      <w:r w:rsidRPr="00A44430">
        <w:t>.</w:t>
      </w:r>
      <w:r>
        <w:rPr>
          <w:rStyle w:val="FootnoteReference"/>
        </w:rPr>
        <w:footnoteReference w:id="36"/>
      </w:r>
      <w:r w:rsidRPr="00A44430">
        <w:t xml:space="preserve">  </w:t>
      </w:r>
      <w:r w:rsidRPr="006650A4">
        <w:t>This cap shall remain in effect for seven years from the consummation of the transaction.</w:t>
      </w:r>
      <w:r>
        <w:rPr>
          <w:rStyle w:val="FootnoteReference"/>
        </w:rPr>
        <w:footnoteReference w:id="37"/>
      </w:r>
      <w:r w:rsidRPr="006650A4">
        <w:t xml:space="preserve">  The condition will </w:t>
      </w:r>
      <w:r>
        <w:t xml:space="preserve">also </w:t>
      </w:r>
      <w:r w:rsidRPr="006650A4">
        <w:t>sunset if</w:t>
      </w:r>
      <w:r>
        <w:t xml:space="preserve"> all of a post-consummation company’s </w:t>
      </w:r>
      <w:r w:rsidRPr="006650A4">
        <w:t xml:space="preserve">rate-of-return </w:t>
      </w:r>
      <w:r>
        <w:t>affiliates</w:t>
      </w:r>
      <w:r w:rsidRPr="006650A4">
        <w:t xml:space="preserve"> become </w:t>
      </w:r>
      <w:r w:rsidR="00064A57">
        <w:t>fixed</w:t>
      </w:r>
      <w:r w:rsidRPr="006650A4">
        <w:t xml:space="preserve"> support companies at any point during the seven-year period.</w:t>
      </w:r>
      <w:r>
        <w:rPr>
          <w:rStyle w:val="FootnoteReference"/>
        </w:rPr>
        <w:footnoteReference w:id="38"/>
      </w:r>
    </w:p>
    <w:p w:rsidR="003F2288" w:rsidP="003F2288" w14:paraId="5D4BF80A" w14:textId="77777777">
      <w:pPr>
        <w:ind w:firstLine="720"/>
        <w:rPr>
          <w:color w:val="000000"/>
          <w:szCs w:val="22"/>
        </w:rPr>
      </w:pPr>
    </w:p>
    <w:p w:rsidR="003F2288" w:rsidP="003F2288" w14:paraId="46777DE9" w14:textId="5190B7B9">
      <w:pPr>
        <w:ind w:firstLine="720"/>
        <w:rPr>
          <w:color w:val="000000"/>
          <w:szCs w:val="22"/>
        </w:rPr>
      </w:pPr>
      <w:r>
        <w:rPr>
          <w:color w:val="000000"/>
          <w:szCs w:val="22"/>
        </w:rPr>
        <w:t xml:space="preserve">We </w:t>
      </w:r>
      <w:r w:rsidRPr="00E415F4">
        <w:rPr>
          <w:color w:val="000000"/>
          <w:szCs w:val="22"/>
        </w:rPr>
        <w:t xml:space="preserve">find, upon consideration of the record, that grant of the </w:t>
      </w:r>
      <w:r>
        <w:rPr>
          <w:color w:val="000000"/>
          <w:szCs w:val="22"/>
        </w:rPr>
        <w:t>A</w:t>
      </w:r>
      <w:r w:rsidRPr="00E415F4">
        <w:rPr>
          <w:color w:val="000000"/>
          <w:szCs w:val="22"/>
        </w:rPr>
        <w:t>pplication</w:t>
      </w:r>
      <w:r>
        <w:rPr>
          <w:color w:val="000000"/>
          <w:szCs w:val="22"/>
        </w:rPr>
        <w:t xml:space="preserve"> listed above</w:t>
      </w:r>
      <w:r w:rsidRPr="00E415F4">
        <w:rPr>
          <w:color w:val="000000"/>
          <w:szCs w:val="22"/>
        </w:rPr>
        <w:t>, subject to compliance with the</w:t>
      </w:r>
      <w:r>
        <w:rPr>
          <w:color w:val="000000"/>
          <w:szCs w:val="22"/>
        </w:rPr>
        <w:t xml:space="preserve"> condition</w:t>
      </w:r>
      <w:r w:rsidRPr="00E415F4">
        <w:rPr>
          <w:color w:val="000000"/>
          <w:szCs w:val="22"/>
        </w:rPr>
        <w:t>, will serve the public interest, convenience, and necessity.</w:t>
      </w:r>
      <w:r>
        <w:rPr>
          <w:rStyle w:val="FootnoteReference"/>
          <w:szCs w:val="22"/>
        </w:rPr>
        <w:footnoteReference w:id="39"/>
      </w:r>
      <w:r w:rsidRPr="00E415F4">
        <w:rPr>
          <w:color w:val="000000"/>
          <w:szCs w:val="22"/>
        </w:rPr>
        <w:t xml:space="preserve">  Therefore, pursuant to section 214 of the Act, 47 U.S.C. § 214, and sections 0.91</w:t>
      </w:r>
      <w:r>
        <w:rPr>
          <w:color w:val="000000"/>
          <w:szCs w:val="22"/>
        </w:rPr>
        <w:t>,</w:t>
      </w:r>
      <w:r w:rsidRPr="00E415F4">
        <w:rPr>
          <w:color w:val="000000"/>
          <w:szCs w:val="22"/>
        </w:rPr>
        <w:t xml:space="preserve"> 0.291</w:t>
      </w:r>
      <w:r>
        <w:rPr>
          <w:color w:val="000000"/>
          <w:szCs w:val="22"/>
        </w:rPr>
        <w:t xml:space="preserve">, </w:t>
      </w:r>
      <w:r w:rsidRPr="00C16D24">
        <w:rPr>
          <w:snapToGrid/>
          <w:kern w:val="0"/>
          <w:szCs w:val="22"/>
        </w:rPr>
        <w:t>63.03</w:t>
      </w:r>
      <w:r>
        <w:rPr>
          <w:snapToGrid/>
          <w:kern w:val="0"/>
          <w:szCs w:val="22"/>
        </w:rPr>
        <w:t>,</w:t>
      </w:r>
      <w:r w:rsidRPr="00C16D24">
        <w:rPr>
          <w:snapToGrid/>
          <w:kern w:val="0"/>
          <w:szCs w:val="22"/>
        </w:rPr>
        <w:t xml:space="preserve"> </w:t>
      </w:r>
      <w:r>
        <w:rPr>
          <w:snapToGrid/>
          <w:kern w:val="0"/>
          <w:szCs w:val="22"/>
        </w:rPr>
        <w:t>and 63.04</w:t>
      </w:r>
      <w:r w:rsidRPr="00E415F4">
        <w:rPr>
          <w:color w:val="000000"/>
          <w:szCs w:val="22"/>
        </w:rPr>
        <w:t xml:space="preserve"> of the Commission</w:t>
      </w:r>
      <w:r>
        <w:rPr>
          <w:color w:val="000000"/>
          <w:szCs w:val="22"/>
        </w:rPr>
        <w:t>’</w:t>
      </w:r>
      <w:r w:rsidRPr="00E415F4">
        <w:rPr>
          <w:color w:val="000000"/>
          <w:szCs w:val="22"/>
        </w:rPr>
        <w:t xml:space="preserve">s rules, 47 CFR §§ 0.91, 0.291, </w:t>
      </w:r>
      <w:r>
        <w:rPr>
          <w:color w:val="000000"/>
          <w:szCs w:val="22"/>
        </w:rPr>
        <w:t>63.03, and 63.04,</w:t>
      </w:r>
      <w:r w:rsidRPr="00E415F4">
        <w:rPr>
          <w:color w:val="000000"/>
          <w:szCs w:val="22"/>
        </w:rPr>
        <w:t xml:space="preserve"> the Bureau hereby grants the </w:t>
      </w:r>
      <w:r>
        <w:rPr>
          <w:color w:val="000000"/>
          <w:szCs w:val="22"/>
        </w:rPr>
        <w:t>A</w:t>
      </w:r>
      <w:r w:rsidRPr="00E415F4">
        <w:rPr>
          <w:color w:val="000000"/>
          <w:szCs w:val="22"/>
        </w:rPr>
        <w:t xml:space="preserve">pplication discussed in this Public Notice subject to compliance with the </w:t>
      </w:r>
      <w:r>
        <w:rPr>
          <w:color w:val="000000"/>
          <w:szCs w:val="22"/>
        </w:rPr>
        <w:t>condition</w:t>
      </w:r>
      <w:r w:rsidRPr="00E415F4">
        <w:rPr>
          <w:color w:val="000000"/>
          <w:szCs w:val="22"/>
        </w:rPr>
        <w:t xml:space="preserve"> described above.</w:t>
      </w:r>
      <w:r>
        <w:rPr>
          <w:rStyle w:val="FootnoteReference"/>
          <w:szCs w:val="22"/>
        </w:rPr>
        <w:footnoteReference w:id="40"/>
      </w:r>
      <w:r w:rsidRPr="00E415F4">
        <w:rPr>
          <w:color w:val="000000"/>
          <w:szCs w:val="22"/>
        </w:rPr>
        <w:t xml:space="preserve">  </w:t>
      </w:r>
    </w:p>
    <w:p w:rsidR="00953170" w:rsidP="003F2288" w14:paraId="37E515EA" w14:textId="7FD8C746">
      <w:pPr>
        <w:ind w:firstLine="720"/>
        <w:rPr>
          <w:color w:val="000000"/>
          <w:szCs w:val="22"/>
        </w:rPr>
      </w:pPr>
    </w:p>
    <w:p w:rsidR="00953170" w:rsidP="003F2288" w14:paraId="3A61C5EF" w14:textId="53F34541">
      <w:pPr>
        <w:ind w:firstLine="720"/>
        <w:rPr>
          <w:color w:val="000000"/>
          <w:szCs w:val="22"/>
        </w:rPr>
      </w:pPr>
    </w:p>
    <w:p w:rsidR="00953170" w:rsidP="003F2288" w14:paraId="36B4A9E0" w14:textId="4BE5D95B">
      <w:pPr>
        <w:ind w:firstLine="720"/>
        <w:rPr>
          <w:color w:val="000000"/>
          <w:szCs w:val="22"/>
        </w:rPr>
      </w:pPr>
    </w:p>
    <w:p w:rsidR="00953170" w:rsidRPr="00E415F4" w:rsidP="003F2288" w14:paraId="4BD04FE0" w14:textId="77777777">
      <w:pPr>
        <w:ind w:firstLine="720"/>
        <w:rPr>
          <w:color w:val="000000"/>
          <w:szCs w:val="22"/>
        </w:rPr>
      </w:pPr>
    </w:p>
    <w:p w:rsidR="003F2288" w:rsidRPr="004F7405" w:rsidP="003F2288" w14:paraId="71262B28" w14:textId="77777777">
      <w:pPr>
        <w:rPr>
          <w:color w:val="000000"/>
          <w:szCs w:val="22"/>
        </w:rPr>
      </w:pPr>
    </w:p>
    <w:p w:rsidR="003F2288" w:rsidP="003F2288" w14:paraId="6052A3BA" w14:textId="77777777">
      <w:pPr>
        <w:ind w:firstLine="720"/>
        <w:rPr>
          <w:color w:val="000000"/>
          <w:szCs w:val="22"/>
        </w:rPr>
      </w:pPr>
      <w:r w:rsidRPr="004F7405">
        <w:rPr>
          <w:color w:val="000000"/>
          <w:szCs w:val="22"/>
        </w:rPr>
        <w:t>Pursuant to section 1.103 of t</w:t>
      </w:r>
      <w:r>
        <w:rPr>
          <w:color w:val="000000"/>
          <w:szCs w:val="22"/>
        </w:rPr>
        <w:t>he Commission’s rules, 47 CFR</w:t>
      </w:r>
      <w:r w:rsidRPr="004F7405">
        <w:rPr>
          <w:color w:val="000000"/>
          <w:szCs w:val="22"/>
        </w:rPr>
        <w:t xml:space="preserve"> § 1.103, the grant is effective upon release of this Public Notice.  Petitions for reconsideration under section 1.106 or applications for review under section 1.115 of t</w:t>
      </w:r>
      <w:r>
        <w:rPr>
          <w:color w:val="000000"/>
          <w:szCs w:val="22"/>
        </w:rPr>
        <w:t>he Commission's rules, 47 CFR</w:t>
      </w:r>
      <w:r w:rsidRPr="004F7405">
        <w:rPr>
          <w:color w:val="000000"/>
          <w:szCs w:val="22"/>
        </w:rPr>
        <w:t xml:space="preserve"> §§ 1.106, 1.115, may be filed within 30 days of the date of this Public Notice.</w:t>
      </w:r>
      <w:r>
        <w:rPr>
          <w:color w:val="000000"/>
          <w:szCs w:val="22"/>
        </w:rPr>
        <w:t xml:space="preserve">  </w:t>
      </w:r>
      <w:r w:rsidRPr="00834342">
        <w:rPr>
          <w:color w:val="000000"/>
          <w:szCs w:val="22"/>
        </w:rPr>
        <w:t xml:space="preserve">For further information, please contact </w:t>
      </w:r>
      <w:bookmarkStart w:id="6" w:name="_Hlk44414719"/>
      <w:r>
        <w:rPr>
          <w:color w:val="000000"/>
          <w:szCs w:val="22"/>
        </w:rPr>
        <w:t>Dennis Johnson</w:t>
      </w:r>
      <w:r w:rsidRPr="00834342">
        <w:rPr>
          <w:color w:val="000000"/>
          <w:szCs w:val="22"/>
        </w:rPr>
        <w:t>, Wireline Competition Bureau, Competition</w:t>
      </w:r>
      <w:r>
        <w:rPr>
          <w:color w:val="000000"/>
          <w:szCs w:val="22"/>
        </w:rPr>
        <w:t xml:space="preserve"> Policy Division, (202) 418-0809</w:t>
      </w:r>
      <w:r w:rsidRPr="00834342">
        <w:rPr>
          <w:color w:val="000000"/>
          <w:szCs w:val="22"/>
        </w:rPr>
        <w:t>.</w:t>
      </w:r>
    </w:p>
    <w:bookmarkEnd w:id="6"/>
    <w:p w:rsidR="003F2288" w:rsidP="003F2288" w14:paraId="5D5FFCB2" w14:textId="77777777">
      <w:pPr>
        <w:ind w:firstLine="720"/>
        <w:rPr>
          <w:color w:val="000000"/>
          <w:szCs w:val="22"/>
        </w:rPr>
      </w:pPr>
    </w:p>
    <w:p w:rsidR="009560CD" w:rsidRPr="0073741A" w:rsidP="009560CD" w14:paraId="466E289B" w14:textId="77777777">
      <w:pPr>
        <w:jc w:val="center"/>
        <w:rPr>
          <w:color w:val="000000"/>
          <w:szCs w:val="22"/>
        </w:rPr>
      </w:pPr>
      <w:r>
        <w:rPr>
          <w:color w:val="000000"/>
          <w:szCs w:val="22"/>
        </w:rPr>
        <w:t>-FCC-</w:t>
      </w:r>
    </w:p>
    <w:p w:rsidR="009560CD" w:rsidRPr="00930ECF" w:rsidP="009560CD" w14:paraId="0B18AA63" w14:textId="77777777">
      <w:pPr>
        <w:jc w:val="right"/>
        <w:rPr>
          <w:sz w:val="24"/>
        </w:rPr>
      </w:pPr>
    </w:p>
    <w:sectPr w:rsidSect="009560CD">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60CD" w:rsidP="009560CD" w14:paraId="6D821BE8" w14:textId="77777777">
    <w:pPr>
      <w:pStyle w:val="Footer"/>
      <w:framePr w:wrap="around" w:vAnchor="text" w:hAnchor="margin" w:xAlign="center" w:y="1"/>
    </w:pPr>
    <w:r>
      <w:fldChar w:fldCharType="begin"/>
    </w:r>
    <w:r>
      <w:instrText xml:space="preserve">PAGE  </w:instrText>
    </w:r>
    <w:r>
      <w:fldChar w:fldCharType="separate"/>
    </w:r>
    <w:r>
      <w:fldChar w:fldCharType="end"/>
    </w:r>
  </w:p>
  <w:p w:rsidR="009560CD" w14:paraId="3375782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60CD" w:rsidP="009560CD" w14:paraId="462CAAE2" w14:textId="77777777">
    <w:pPr>
      <w:pStyle w:val="Footer"/>
      <w:jc w:val="center"/>
    </w:pPr>
    <w:r>
      <w:fldChar w:fldCharType="begin"/>
    </w:r>
    <w:r>
      <w:instrText xml:space="preserve"> PAGE   \* MERGEFORMAT </w:instrText>
    </w:r>
    <w:r>
      <w:fldChar w:fldCharType="separate"/>
    </w:r>
    <w:r>
      <w:rPr>
        <w:noProof/>
      </w:rPr>
      <w:t>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60CD" w14:paraId="2334DB0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C3F72" w14:paraId="352CB8CC" w14:textId="77777777">
      <w:r>
        <w:separator/>
      </w:r>
    </w:p>
  </w:footnote>
  <w:footnote w:type="continuationSeparator" w:id="1">
    <w:p w:rsidR="004C3F72" w14:paraId="7757B840" w14:textId="77777777">
      <w:pPr>
        <w:rPr>
          <w:sz w:val="20"/>
        </w:rPr>
      </w:pPr>
      <w:r>
        <w:rPr>
          <w:sz w:val="20"/>
        </w:rPr>
        <w:t xml:space="preserve">(Continued from previous page)  </w:t>
      </w:r>
      <w:r>
        <w:rPr>
          <w:sz w:val="20"/>
        </w:rPr>
        <w:separator/>
      </w:r>
    </w:p>
  </w:footnote>
  <w:footnote w:type="continuationNotice" w:id="2">
    <w:p w:rsidR="004C3F72" w:rsidP="009560CD" w14:paraId="07F68F09" w14:textId="77777777">
      <w:pPr>
        <w:jc w:val="right"/>
        <w:rPr>
          <w:sz w:val="20"/>
        </w:rPr>
      </w:pPr>
      <w:r>
        <w:rPr>
          <w:sz w:val="20"/>
        </w:rPr>
        <w:t>(continued….)</w:t>
      </w:r>
    </w:p>
  </w:footnote>
  <w:footnote w:id="3">
    <w:p w:rsidR="002410F4" w:rsidP="002410F4" w14:paraId="727D4B1D" w14:textId="73E8B90E">
      <w:pPr>
        <w:spacing w:after="120"/>
      </w:pPr>
      <w:r>
        <w:rPr>
          <w:rStyle w:val="FootnoteReference"/>
        </w:rPr>
        <w:footnoteRef/>
      </w:r>
      <w:r>
        <w:t xml:space="preserve"> </w:t>
      </w:r>
      <w:r>
        <w:rPr>
          <w:i/>
          <w:sz w:val="20"/>
        </w:rPr>
        <w:t>See</w:t>
      </w:r>
      <w:r>
        <w:rPr>
          <w:sz w:val="20"/>
        </w:rPr>
        <w:t xml:space="preserve"> 47 U.S.C. § 214; 47 CFR §§ 63.03-04.  </w:t>
      </w:r>
      <w:r w:rsidR="00ED1241">
        <w:rPr>
          <w:sz w:val="20"/>
        </w:rPr>
        <w:t xml:space="preserve">Joint </w:t>
      </w:r>
      <w:r w:rsidR="002B4AA1">
        <w:rPr>
          <w:sz w:val="20"/>
        </w:rPr>
        <w:t xml:space="preserve">Application </w:t>
      </w:r>
      <w:r w:rsidR="00ED1241">
        <w:rPr>
          <w:sz w:val="20"/>
        </w:rPr>
        <w:t>of Chad Miles and Great Plains Communications LLC</w:t>
      </w:r>
      <w:r w:rsidR="002B4AA1">
        <w:rPr>
          <w:sz w:val="20"/>
        </w:rPr>
        <w:t>, WC Docket No. 20-1</w:t>
      </w:r>
      <w:r w:rsidR="00ED1241">
        <w:rPr>
          <w:sz w:val="20"/>
        </w:rPr>
        <w:t>93</w:t>
      </w:r>
      <w:r w:rsidR="002B4AA1">
        <w:rPr>
          <w:sz w:val="20"/>
        </w:rPr>
        <w:t xml:space="preserve"> (filed </w:t>
      </w:r>
      <w:r w:rsidR="00E54606">
        <w:rPr>
          <w:sz w:val="20"/>
        </w:rPr>
        <w:t>June</w:t>
      </w:r>
      <w:r w:rsidR="002B4AA1">
        <w:rPr>
          <w:sz w:val="20"/>
        </w:rPr>
        <w:t xml:space="preserve"> 24, 2020) (Application).  </w:t>
      </w:r>
      <w:r>
        <w:rPr>
          <w:sz w:val="20"/>
        </w:rPr>
        <w:t>Any action on this domestic section 214 application is without prejudice to Commission action on other related, pending applications</w:t>
      </w:r>
      <w:r>
        <w:rPr>
          <w:rFonts w:eastAsia="Calibri"/>
          <w:sz w:val="20"/>
        </w:rPr>
        <w:t>.</w:t>
      </w:r>
    </w:p>
  </w:footnote>
  <w:footnote w:id="4">
    <w:p w:rsidR="002410F4" w:rsidP="002410F4" w14:paraId="1B1A5FE7" w14:textId="4174F6A9">
      <w:pPr>
        <w:pStyle w:val="FootnoteText"/>
      </w:pPr>
      <w:r>
        <w:rPr>
          <w:rStyle w:val="FootnoteReference"/>
        </w:rPr>
        <w:footnoteRef/>
      </w:r>
      <w:r>
        <w:t xml:space="preserve"> </w:t>
      </w:r>
      <w:r w:rsidRPr="00336AC8">
        <w:rPr>
          <w:i/>
          <w:iCs/>
        </w:rPr>
        <w:t xml:space="preserve">Domestic Section 214 Application Filed for </w:t>
      </w:r>
      <w:r>
        <w:rPr>
          <w:i/>
          <w:iCs/>
        </w:rPr>
        <w:t>t</w:t>
      </w:r>
      <w:r w:rsidRPr="00336AC8">
        <w:rPr>
          <w:i/>
          <w:iCs/>
        </w:rPr>
        <w:t xml:space="preserve">he </w:t>
      </w:r>
      <w:r>
        <w:rPr>
          <w:i/>
          <w:iCs/>
        </w:rPr>
        <w:t>Transfer of Control of Miles Enterprises, Inc. and its Subsidiaries to Great Plains Communications LLC</w:t>
      </w:r>
      <w:r>
        <w:t>, WC Docket No. 20-193, Public Notice, DA 20-</w:t>
      </w:r>
      <w:r w:rsidR="008B2AE3">
        <w:t>711</w:t>
      </w:r>
      <w:r>
        <w:t xml:space="preserve"> (WCB 2020).  </w:t>
      </w:r>
    </w:p>
  </w:footnote>
  <w:footnote w:id="5">
    <w:p w:rsidR="00E54606" w14:paraId="4D66F9AB" w14:textId="7208DE82">
      <w:pPr>
        <w:pStyle w:val="FootnoteText"/>
      </w:pPr>
      <w:r>
        <w:rPr>
          <w:rStyle w:val="FootnoteReference"/>
        </w:rPr>
        <w:footnoteRef/>
      </w:r>
      <w:r>
        <w:t xml:space="preserve"> </w:t>
      </w:r>
      <w:r w:rsidR="005A6110">
        <w:t xml:space="preserve">Application at 3. </w:t>
      </w:r>
    </w:p>
  </w:footnote>
  <w:footnote w:id="6">
    <w:p w:rsidR="000C6F3C" w:rsidRPr="00F46420" w:rsidP="000C6F3C" w14:paraId="5A7721DC" w14:textId="74467A5C">
      <w:pPr>
        <w:pStyle w:val="FootnoteText"/>
      </w:pPr>
      <w:r w:rsidRPr="00F46420">
        <w:rPr>
          <w:rStyle w:val="FootnoteReference"/>
          <w:sz w:val="20"/>
        </w:rPr>
        <w:footnoteRef/>
      </w:r>
      <w:r w:rsidRPr="00F46420">
        <w:t xml:space="preserve"> </w:t>
      </w:r>
      <w:r w:rsidRPr="003E5636">
        <w:rPr>
          <w:i/>
          <w:iCs/>
        </w:rPr>
        <w:t>Id.</w:t>
      </w:r>
      <w:r>
        <w:t xml:space="preserve"> at 7; </w:t>
      </w:r>
      <w:r w:rsidRPr="00F46420">
        <w:t>Universal Service Administrative Co., Tools,</w:t>
      </w:r>
      <w:r w:rsidR="00042BF5">
        <w:t xml:space="preserve"> </w:t>
      </w:r>
      <w:bookmarkStart w:id="0" w:name="_Hlk48851241"/>
      <w:r w:rsidR="00042BF5">
        <w:t>“ACAM, ACAM II and CAF-BLS Buildout Requirements,”</w:t>
      </w:r>
      <w:r w:rsidRPr="00F46420">
        <w:t xml:space="preserve"> </w:t>
      </w:r>
      <w:bookmarkEnd w:id="0"/>
      <w:hyperlink r:id="rId1" w:history="1">
        <w:r w:rsidRPr="00F142E2">
          <w:rPr>
            <w:snapToGrid w:val="0"/>
            <w:color w:val="0000FF"/>
            <w:kern w:val="28"/>
            <w:u w:val="single"/>
          </w:rPr>
          <w:t>https://www.usac.org/high-cost/resources/tools/</w:t>
        </w:r>
      </w:hyperlink>
      <w:r w:rsidRPr="00F46420">
        <w:t xml:space="preserve">.  </w:t>
      </w:r>
      <w:r w:rsidRPr="00842730" w:rsidR="00842730">
        <w:rPr>
          <w:snapToGrid w:val="0"/>
          <w:color w:val="000000" w:themeColor="text1"/>
          <w:kern w:val="28"/>
          <w:shd w:val="clear" w:color="auto" w:fill="FFFFFF"/>
        </w:rPr>
        <w:t>The Commission adopted a voluntary path by which rate-of-return carriers could elect to receive a fixed amount of universal service support under the Alternative Connect America Cost Model (A-CAM), a forward-looking broadband cost model, for 10 years, in exchange for deploying broadband-capable networks to eligible locations. </w:t>
      </w:r>
      <w:hyperlink r:id="rId2" w:anchor="co_pp_sp_4493_3090" w:history="1">
        <w:r w:rsidRPr="00842730" w:rsidR="00842730">
          <w:rPr>
            <w:i/>
            <w:iCs/>
            <w:snapToGrid w:val="0"/>
            <w:color w:val="000000" w:themeColor="text1"/>
            <w:kern w:val="28"/>
            <w:bdr w:val="none" w:sz="0" w:space="0" w:color="auto" w:frame="1"/>
            <w:shd w:val="clear" w:color="auto" w:fill="FFFFFF"/>
          </w:rPr>
          <w:t>Connect America Fund et al.</w:t>
        </w:r>
        <w:r w:rsidRPr="00842730" w:rsidR="00842730">
          <w:rPr>
            <w:snapToGrid w:val="0"/>
            <w:color w:val="000000" w:themeColor="text1"/>
            <w:kern w:val="28"/>
            <w:bdr w:val="none" w:sz="0" w:space="0" w:color="auto" w:frame="1"/>
            <w:shd w:val="clear" w:color="auto" w:fill="FFFFFF"/>
          </w:rPr>
          <w:t>, Report and Order, Order and Order on Reconsideration and Further Notice of Proposed Rulemaking, 31 FCC Rcd 3087, 3090, para. 4, 3096-3117</w:t>
        </w:r>
      </w:hyperlink>
      <w:r w:rsidRPr="00842730" w:rsidR="00842730">
        <w:rPr>
          <w:snapToGrid w:val="0"/>
          <w:color w:val="000000" w:themeColor="text1"/>
          <w:kern w:val="28"/>
          <w:shd w:val="clear" w:color="auto" w:fill="FFFFFF"/>
        </w:rPr>
        <w:t>, paras. 20-79 (2016)</w:t>
      </w:r>
      <w:r w:rsidRPr="00842730" w:rsidR="00842730">
        <w:rPr>
          <w:rFonts w:ascii="Source Sans Pro" w:hAnsi="Source Sans Pro"/>
          <w:snapToGrid w:val="0"/>
          <w:color w:val="3D3D3D"/>
          <w:kern w:val="28"/>
          <w:sz w:val="23"/>
          <w:szCs w:val="23"/>
          <w:shd w:val="clear" w:color="auto" w:fill="FFFFFF"/>
        </w:rPr>
        <w:t>.</w:t>
      </w:r>
    </w:p>
  </w:footnote>
  <w:footnote w:id="7">
    <w:p w:rsidR="00F54DE1" w:rsidRPr="00B5086A" w14:paraId="5B7B91E0" w14:textId="7AC960FA">
      <w:pPr>
        <w:pStyle w:val="FootnoteText"/>
      </w:pPr>
      <w:r>
        <w:rPr>
          <w:rStyle w:val="FootnoteReference"/>
        </w:rPr>
        <w:footnoteRef/>
      </w:r>
      <w:r>
        <w:t xml:space="preserve"> </w:t>
      </w:r>
      <w:r w:rsidR="00B5086A">
        <w:t xml:space="preserve">Application at </w:t>
      </w:r>
      <w:r w:rsidR="00160656">
        <w:t>3</w:t>
      </w:r>
      <w:r w:rsidR="00B5086A">
        <w:t>.</w:t>
      </w:r>
    </w:p>
  </w:footnote>
  <w:footnote w:id="8">
    <w:p w:rsidR="00E54606" w14:paraId="00AD72BB" w14:textId="29F92E45">
      <w:pPr>
        <w:pStyle w:val="FootnoteText"/>
      </w:pPr>
      <w:r>
        <w:rPr>
          <w:rStyle w:val="FootnoteReference"/>
        </w:rPr>
        <w:footnoteRef/>
      </w:r>
      <w:r>
        <w:t xml:space="preserve"> </w:t>
      </w:r>
      <w:r w:rsidRPr="005A6110" w:rsidR="005A6110">
        <w:rPr>
          <w:i/>
          <w:iCs/>
        </w:rPr>
        <w:t>Id</w:t>
      </w:r>
      <w:r w:rsidR="005A6110">
        <w:t>.</w:t>
      </w:r>
    </w:p>
  </w:footnote>
  <w:footnote w:id="9">
    <w:p w:rsidR="00E54606" w14:paraId="1718A234" w14:textId="651B1546">
      <w:pPr>
        <w:pStyle w:val="FootnoteText"/>
      </w:pPr>
      <w:r>
        <w:rPr>
          <w:rStyle w:val="FootnoteReference"/>
        </w:rPr>
        <w:footnoteRef/>
      </w:r>
      <w:r>
        <w:t xml:space="preserve"> </w:t>
      </w:r>
      <w:r w:rsidRPr="005A6110" w:rsidR="005A6110">
        <w:rPr>
          <w:i/>
          <w:iCs/>
        </w:rPr>
        <w:t>Id</w:t>
      </w:r>
      <w:r w:rsidR="005A6110">
        <w:t>.</w:t>
      </w:r>
      <w:r w:rsidR="00160656">
        <w:t xml:space="preserve"> </w:t>
      </w:r>
    </w:p>
  </w:footnote>
  <w:footnote w:id="10">
    <w:p w:rsidR="006E3CA2" w14:paraId="2CD315AC" w14:textId="7D6F952F">
      <w:pPr>
        <w:pStyle w:val="FootnoteText"/>
      </w:pPr>
      <w:r>
        <w:rPr>
          <w:rStyle w:val="FootnoteReference"/>
        </w:rPr>
        <w:footnoteRef/>
      </w:r>
      <w:r>
        <w:t xml:space="preserve"> </w:t>
      </w:r>
      <w:r w:rsidRPr="006E3CA2">
        <w:rPr>
          <w:i/>
          <w:iCs/>
        </w:rPr>
        <w:t>Id.</w:t>
      </w:r>
      <w:r>
        <w:t xml:space="preserve"> at 4. </w:t>
      </w:r>
    </w:p>
  </w:footnote>
  <w:footnote w:id="11">
    <w:p w:rsidR="00160656" w:rsidRPr="00160656" w14:paraId="0023B816" w14:textId="7F8CF21C">
      <w:pPr>
        <w:pStyle w:val="FootnoteText"/>
      </w:pPr>
      <w:r>
        <w:rPr>
          <w:rStyle w:val="FootnoteReference"/>
        </w:rPr>
        <w:footnoteRef/>
      </w:r>
      <w:r>
        <w:t xml:space="preserve"> </w:t>
      </w:r>
      <w:r>
        <w:rPr>
          <w:i/>
          <w:iCs/>
        </w:rPr>
        <w:t>Id</w:t>
      </w:r>
      <w:r>
        <w:t>.</w:t>
      </w:r>
    </w:p>
  </w:footnote>
  <w:footnote w:id="12">
    <w:p w:rsidR="00166DB2" w14:paraId="4C8C1767" w14:textId="2429711C">
      <w:pPr>
        <w:pStyle w:val="FootnoteText"/>
      </w:pPr>
      <w:r>
        <w:rPr>
          <w:rStyle w:val="FootnoteReference"/>
        </w:rPr>
        <w:footnoteRef/>
      </w:r>
      <w:r>
        <w:t xml:space="preserve"> </w:t>
      </w:r>
      <w:r w:rsidRPr="009C46FD" w:rsidR="009C46FD">
        <w:rPr>
          <w:i/>
          <w:iCs/>
        </w:rPr>
        <w:t>Id.</w:t>
      </w:r>
      <w:r w:rsidR="009C46FD">
        <w:t xml:space="preserve"> </w:t>
      </w:r>
    </w:p>
  </w:footnote>
  <w:footnote w:id="13">
    <w:p w:rsidR="009C46FD" w14:paraId="238062F3" w14:textId="24E66749">
      <w:pPr>
        <w:pStyle w:val="FootnoteText"/>
      </w:pPr>
      <w:r>
        <w:rPr>
          <w:rStyle w:val="FootnoteReference"/>
        </w:rPr>
        <w:footnoteRef/>
      </w:r>
      <w:r>
        <w:t xml:space="preserve"> </w:t>
      </w:r>
      <w:r w:rsidRPr="009C46FD">
        <w:rPr>
          <w:i/>
          <w:iCs/>
        </w:rPr>
        <w:t>Id.</w:t>
      </w:r>
    </w:p>
  </w:footnote>
  <w:footnote w:id="14">
    <w:p w:rsidR="007F3E2B" w14:paraId="0D6C4523" w14:textId="7C0B4B41">
      <w:pPr>
        <w:pStyle w:val="FootnoteText"/>
      </w:pPr>
      <w:r>
        <w:rPr>
          <w:rStyle w:val="FootnoteReference"/>
        </w:rPr>
        <w:footnoteRef/>
      </w:r>
      <w:r>
        <w:t xml:space="preserve"> </w:t>
      </w:r>
      <w:r w:rsidRPr="0044290F" w:rsidR="0044290F">
        <w:rPr>
          <w:i/>
          <w:iCs/>
        </w:rPr>
        <w:t>Id.</w:t>
      </w:r>
    </w:p>
  </w:footnote>
  <w:footnote w:id="15">
    <w:p w:rsidR="00ED1241" w:rsidRPr="00B5086A" w:rsidP="00ED1241" w14:paraId="79157904" w14:textId="15D4B3EE">
      <w:pPr>
        <w:pStyle w:val="FootnoteText"/>
      </w:pPr>
      <w:r w:rsidRPr="00097FC0">
        <w:rPr>
          <w:rStyle w:val="FootnoteReference"/>
        </w:rPr>
        <w:footnoteRef/>
      </w:r>
      <w:r w:rsidRPr="00097FC0">
        <w:t xml:space="preserve"> </w:t>
      </w:r>
      <w:r w:rsidRPr="0044290F" w:rsidR="0044290F">
        <w:rPr>
          <w:i/>
          <w:iCs/>
        </w:rPr>
        <w:t>Id.</w:t>
      </w:r>
      <w:r w:rsidR="0044290F">
        <w:t xml:space="preserve"> at 5.  </w:t>
      </w:r>
      <w:r w:rsidRPr="00097FC0">
        <w:t>In addition, ICN has received authority to operate in Kentucky but currently only provides dark fiber to a small number of wireless sites.</w:t>
      </w:r>
      <w:r>
        <w:t xml:space="preserve">  </w:t>
      </w:r>
      <w:r w:rsidR="00B5086A">
        <w:rPr>
          <w:i/>
          <w:iCs/>
        </w:rPr>
        <w:t>Id</w:t>
      </w:r>
      <w:r w:rsidR="00B5086A">
        <w:t>.</w:t>
      </w:r>
    </w:p>
  </w:footnote>
  <w:footnote w:id="16">
    <w:p w:rsidR="00C80D94" w:rsidP="00C80D94" w14:paraId="3D787891" w14:textId="77777777">
      <w:pPr>
        <w:pStyle w:val="FootnoteText"/>
      </w:pPr>
      <w:r>
        <w:rPr>
          <w:rStyle w:val="FootnoteReference"/>
        </w:rPr>
        <w:footnoteRef/>
      </w:r>
      <w:r>
        <w:t xml:space="preserve"> </w:t>
      </w:r>
      <w:r w:rsidRPr="009135B7">
        <w:rPr>
          <w:i/>
          <w:iCs/>
        </w:rPr>
        <w:t>Id</w:t>
      </w:r>
      <w:r>
        <w:t>. at 7.</w:t>
      </w:r>
    </w:p>
  </w:footnote>
  <w:footnote w:id="17">
    <w:p w:rsidR="00E3672B" w:rsidRPr="00397B71" w14:paraId="068708B4" w14:textId="0A71EA7C">
      <w:pPr>
        <w:pStyle w:val="FootnoteText"/>
      </w:pPr>
      <w:r w:rsidRPr="00397B71">
        <w:rPr>
          <w:rStyle w:val="FootnoteReference"/>
          <w:sz w:val="20"/>
        </w:rPr>
        <w:footnoteRef/>
      </w:r>
      <w:r w:rsidRPr="00397B71">
        <w:t xml:space="preserve"> </w:t>
      </w:r>
      <w:r w:rsidRPr="00397B71" w:rsidR="00397B71">
        <w:t>Universal Service Administrative Co., Tools,</w:t>
      </w:r>
      <w:r w:rsidRPr="00B5086A" w:rsidR="00B5086A">
        <w:t xml:space="preserve"> </w:t>
      </w:r>
      <w:r w:rsidR="00B5086A">
        <w:t>“ACAM, ACAM II and CAF-BLS Buildout Requirements,”</w:t>
      </w:r>
      <w:r w:rsidRPr="00F46420" w:rsidR="00B5086A">
        <w:t xml:space="preserve"> </w:t>
      </w:r>
      <w:hyperlink r:id="rId1" w:history="1">
        <w:r w:rsidRPr="00F142E2" w:rsidR="00842730">
          <w:rPr>
            <w:snapToGrid w:val="0"/>
            <w:color w:val="0000FF"/>
            <w:kern w:val="28"/>
            <w:u w:val="single"/>
          </w:rPr>
          <w:t>https://www.usac.org/high-cost/resources/tools/</w:t>
        </w:r>
      </w:hyperlink>
      <w:r w:rsidRPr="00F46420" w:rsidR="00842730">
        <w:t xml:space="preserve">.  </w:t>
      </w:r>
      <w:r w:rsidR="00842730">
        <w:rPr>
          <w:i/>
          <w:iCs/>
        </w:rPr>
        <w:t xml:space="preserve">See </w:t>
      </w:r>
      <w:r w:rsidRPr="007E4CDC" w:rsidR="00842730">
        <w:rPr>
          <w:i/>
          <w:iCs/>
          <w:snapToGrid w:val="0"/>
          <w:color w:val="3D3D3D"/>
          <w:kern w:val="28"/>
          <w:bdr w:val="none" w:sz="0" w:space="0" w:color="auto" w:frame="1"/>
          <w:shd w:val="clear" w:color="auto" w:fill="FFFFFF"/>
        </w:rPr>
        <w:t>Connect America Fund; ETC Annual Reports and Certifications; Establishing Just and Reasonable Rates for Local Exchange Carriers; Developing a Unified Intercarrier Compensation Regime</w:t>
      </w:r>
      <w:r w:rsidRPr="007E4CDC" w:rsidR="00842730">
        <w:rPr>
          <w:snapToGrid w:val="0"/>
          <w:color w:val="3D3D3D"/>
          <w:kern w:val="28"/>
          <w:shd w:val="clear" w:color="auto" w:fill="FFFFFF"/>
        </w:rPr>
        <w:t>; WC Docket Nos. 10-90, 14-58, and 07-135, CC Docket No. 01-92; Report and Order, Further Notice of Proposed Rulemaking, and Order on Reconsideration, </w:t>
      </w:r>
      <w:hyperlink r:id="rId3" w:anchor="co_pp_sp_4493_11898" w:history="1">
        <w:r w:rsidRPr="007E4CDC" w:rsidR="00842730">
          <w:rPr>
            <w:snapToGrid w:val="0"/>
            <w:color w:val="000000" w:themeColor="text1"/>
            <w:kern w:val="28"/>
            <w:bdr w:val="none" w:sz="0" w:space="0" w:color="auto" w:frame="1"/>
            <w:shd w:val="clear" w:color="auto" w:fill="FFFFFF"/>
          </w:rPr>
          <w:t>33 FCC Rcd 11893</w:t>
        </w:r>
      </w:hyperlink>
      <w:r w:rsidR="00842730">
        <w:rPr>
          <w:snapToGrid w:val="0"/>
          <w:color w:val="000000" w:themeColor="text1"/>
          <w:kern w:val="28"/>
        </w:rPr>
        <w:t xml:space="preserve"> </w:t>
      </w:r>
      <w:r w:rsidRPr="007E4CDC" w:rsidR="00842730">
        <w:rPr>
          <w:snapToGrid w:val="0"/>
          <w:color w:val="3D3D3D"/>
          <w:kern w:val="28"/>
          <w:shd w:val="clear" w:color="auto" w:fill="FFFFFF"/>
        </w:rPr>
        <w:t>(2018).</w:t>
      </w:r>
    </w:p>
  </w:footnote>
  <w:footnote w:id="18">
    <w:p w:rsidR="000C08F7" w14:paraId="056BD288" w14:textId="76F043D1">
      <w:pPr>
        <w:pStyle w:val="FootnoteText"/>
      </w:pPr>
      <w:r>
        <w:rPr>
          <w:rStyle w:val="FootnoteReference"/>
        </w:rPr>
        <w:footnoteRef/>
      </w:r>
      <w:r>
        <w:t xml:space="preserve"> </w:t>
      </w:r>
      <w:r w:rsidR="007E4CDC">
        <w:t>Application</w:t>
      </w:r>
      <w:r>
        <w:t xml:space="preserve"> at 11</w:t>
      </w:r>
      <w:r w:rsidR="007E4CDC">
        <w:t>-12.</w:t>
      </w:r>
      <w:r w:rsidR="00240114">
        <w:t xml:space="preserve">  </w:t>
      </w:r>
    </w:p>
  </w:footnote>
  <w:footnote w:id="19">
    <w:p w:rsidR="000447B2" w:rsidRPr="00F46420" w:rsidP="000447B2" w14:paraId="3381E4DA" w14:textId="683B569B">
      <w:pPr>
        <w:pStyle w:val="FootnoteText"/>
      </w:pPr>
      <w:r w:rsidRPr="00F46420">
        <w:rPr>
          <w:rStyle w:val="FootnoteReference"/>
          <w:sz w:val="20"/>
        </w:rPr>
        <w:footnoteRef/>
      </w:r>
      <w:r w:rsidRPr="00F46420">
        <w:t xml:space="preserve"> Universal Service Administrative Co., Tools,</w:t>
      </w:r>
      <w:r w:rsidR="00B5086A">
        <w:t xml:space="preserve"> “ACAM, ACAM II and CAF-BLS Buildout Requirements,”</w:t>
      </w:r>
      <w:r w:rsidRPr="00F46420" w:rsidR="00B5086A">
        <w:t xml:space="preserve"> </w:t>
      </w:r>
      <w:r w:rsidRPr="00F46420">
        <w:t xml:space="preserve"> </w:t>
      </w:r>
      <w:bookmarkStart w:id="3" w:name="_Hlk48852079"/>
      <w:hyperlink r:id="rId1" w:history="1">
        <w:r w:rsidRPr="00F142E2">
          <w:rPr>
            <w:snapToGrid w:val="0"/>
            <w:color w:val="0000FF"/>
            <w:kern w:val="28"/>
            <w:u w:val="single"/>
          </w:rPr>
          <w:t>https://www.usac.org/high-cost/resources/tools/</w:t>
        </w:r>
      </w:hyperlink>
      <w:r w:rsidRPr="00F46420">
        <w:t xml:space="preserve">.  </w:t>
      </w:r>
    </w:p>
    <w:bookmarkEnd w:id="3"/>
  </w:footnote>
  <w:footnote w:id="20">
    <w:p w:rsidR="00CA0717" w:rsidRPr="00CA0717" w14:paraId="46B5EC56" w14:textId="63C948DF">
      <w:pPr>
        <w:pStyle w:val="FootnoteText"/>
      </w:pPr>
      <w:r w:rsidRPr="00CA0717">
        <w:rPr>
          <w:rStyle w:val="FootnoteReference"/>
          <w:sz w:val="20"/>
        </w:rPr>
        <w:footnoteRef/>
      </w:r>
      <w:r w:rsidR="00842730">
        <w:rPr>
          <w:i/>
          <w:iCs/>
        </w:rPr>
        <w:t xml:space="preserve"> Id</w:t>
      </w:r>
      <w:r w:rsidR="00842730">
        <w:t>.</w:t>
      </w:r>
      <w:r w:rsidRPr="00CA0717">
        <w:t xml:space="preserve">  </w:t>
      </w:r>
      <w:r w:rsidRPr="007E4CDC" w:rsidR="007E4CDC">
        <w:rPr>
          <w:snapToGrid w:val="0"/>
          <w:color w:val="3D3D3D"/>
          <w:kern w:val="28"/>
          <w:shd w:val="clear" w:color="auto" w:fill="FFFFFF"/>
        </w:rPr>
        <w:t> </w:t>
      </w:r>
      <w:r w:rsidRPr="00CA0717">
        <w:t xml:space="preserve">  </w:t>
      </w:r>
    </w:p>
  </w:footnote>
  <w:footnote w:id="21">
    <w:p w:rsidR="007F3E2B" w:rsidRPr="00B5086A" w:rsidP="007F3E2B" w14:paraId="032F37AB" w14:textId="02240734">
      <w:pPr>
        <w:pStyle w:val="FootnoteText"/>
      </w:pPr>
      <w:r w:rsidRPr="005F0D08">
        <w:rPr>
          <w:rStyle w:val="FootnoteReference"/>
        </w:rPr>
        <w:footnoteRef/>
      </w:r>
      <w:r w:rsidRPr="005F0D08">
        <w:t xml:space="preserve"> </w:t>
      </w:r>
      <w:r w:rsidR="000F5B68">
        <w:t>Application</w:t>
      </w:r>
      <w:r>
        <w:t xml:space="preserve"> at 5.  </w:t>
      </w:r>
      <w:r w:rsidRPr="005F0D08">
        <w:t xml:space="preserve">Applicants state that prior to closing, Chad Miles will contribute </w:t>
      </w:r>
      <w:r w:rsidRPr="005F0D08" w:rsidR="00D77FAE">
        <w:t>all</w:t>
      </w:r>
      <w:r w:rsidRPr="005F0D08">
        <w:t xml:space="preserve"> his outstanding equity interests to Miles Capital, Inc., </w:t>
      </w:r>
      <w:r>
        <w:t>a newly formed entity created for the purposes of the proposed transaction that he will wholly own.</w:t>
      </w:r>
      <w:r w:rsidR="00B5086A">
        <w:t xml:space="preserve">  </w:t>
      </w:r>
      <w:r w:rsidR="00B5086A">
        <w:rPr>
          <w:i/>
          <w:iCs/>
        </w:rPr>
        <w:t>Id</w:t>
      </w:r>
      <w:r w:rsidR="00B5086A">
        <w:t>.</w:t>
      </w:r>
    </w:p>
  </w:footnote>
  <w:footnote w:id="22">
    <w:p w:rsidR="0047633D" w:rsidRPr="00265992" w:rsidP="0047633D" w14:paraId="14EDC3E9" w14:textId="10D4E536">
      <w:pPr>
        <w:pStyle w:val="FootnoteText"/>
      </w:pPr>
      <w:r w:rsidRPr="00265992">
        <w:rPr>
          <w:rStyle w:val="FootnoteReference"/>
          <w:sz w:val="20"/>
        </w:rPr>
        <w:footnoteRef/>
      </w:r>
      <w:r w:rsidRPr="00265992">
        <w:t xml:space="preserve"> </w:t>
      </w:r>
      <w:r w:rsidRPr="00265992">
        <w:rPr>
          <w:i/>
        </w:rPr>
        <w:t>Joint Application of W. Mansfield Jennings Limited Partnership and Har</w:t>
      </w:r>
      <w:r>
        <w:rPr>
          <w:i/>
        </w:rPr>
        <w:t>gray Communications Group, Inc.</w:t>
      </w:r>
      <w:r w:rsidRPr="00265992">
        <w:rPr>
          <w:i/>
        </w:rPr>
        <w:t xml:space="preserve"> for Consent to the Transfer of Control of ComSouth Corporation Pursuant to Section 214 of the Communications Act of 1934</w:t>
      </w:r>
      <w:r w:rsidRPr="00265992">
        <w:t xml:space="preserve">, WC Docket 18-52, Memorandum Opinion and Order, </w:t>
      </w:r>
      <w:r w:rsidR="00341E18">
        <w:t>33 FCC Rcd 478</w:t>
      </w:r>
      <w:r w:rsidR="00D92B9C">
        <w:t>0, 4784</w:t>
      </w:r>
      <w:r w:rsidRPr="00265992">
        <w:t>, para. 19 (2018)</w:t>
      </w:r>
      <w:r w:rsidR="0020155F">
        <w:t>.</w:t>
      </w:r>
      <w:r w:rsidRPr="00265992">
        <w:t xml:space="preserve"> (</w:t>
      </w:r>
      <w:bookmarkStart w:id="4" w:name="_Hlk49337706"/>
      <w:r w:rsidRPr="00265992">
        <w:rPr>
          <w:i/>
        </w:rPr>
        <w:t>Hargray/ComSouth Order</w:t>
      </w:r>
      <w:bookmarkEnd w:id="4"/>
      <w:r w:rsidRPr="00265992">
        <w:t>).</w:t>
      </w:r>
    </w:p>
  </w:footnote>
  <w:footnote w:id="23">
    <w:p w:rsidR="0047633D" w:rsidRPr="00265992" w:rsidP="0047633D" w14:paraId="00816FF4" w14:textId="77777777">
      <w:pPr>
        <w:pStyle w:val="FootnoteText"/>
      </w:pPr>
      <w:r w:rsidRPr="00265992">
        <w:rPr>
          <w:rStyle w:val="FootnoteReference"/>
          <w:sz w:val="20"/>
        </w:rPr>
        <w:footnoteRef/>
      </w:r>
      <w:r w:rsidRPr="00265992">
        <w:t xml:space="preserve"> </w:t>
      </w:r>
      <w:r w:rsidRPr="00F46420" w:rsidR="00B038EB">
        <w:rPr>
          <w:i/>
        </w:rPr>
        <w:t>Id</w:t>
      </w:r>
      <w:r w:rsidRPr="00F46420" w:rsidR="00B038EB">
        <w:t>. at 4785-86, para. 20.</w:t>
      </w:r>
    </w:p>
  </w:footnote>
  <w:footnote w:id="24">
    <w:p w:rsidR="0047633D" w:rsidRPr="00265992" w:rsidP="0047633D" w14:paraId="00B0A0DC" w14:textId="77777777">
      <w:pPr>
        <w:pStyle w:val="FootnoteText"/>
      </w:pPr>
      <w:r w:rsidRPr="00265992">
        <w:rPr>
          <w:rStyle w:val="FootnoteReference"/>
          <w:sz w:val="20"/>
        </w:rPr>
        <w:footnoteRef/>
      </w:r>
      <w:r w:rsidRPr="00265992">
        <w:t xml:space="preserve"> </w:t>
      </w:r>
      <w:r w:rsidRPr="00265992">
        <w:rPr>
          <w:i/>
        </w:rPr>
        <w:t>Id</w:t>
      </w:r>
      <w:r w:rsidRPr="00265992">
        <w:t>.</w:t>
      </w:r>
    </w:p>
  </w:footnote>
  <w:footnote w:id="25">
    <w:p w:rsidR="0047633D" w:rsidRPr="00265992" w:rsidP="0047633D" w14:paraId="1317DAC3" w14:textId="77777777">
      <w:pPr>
        <w:pStyle w:val="FootnoteText"/>
      </w:pPr>
      <w:r w:rsidRPr="00265992">
        <w:rPr>
          <w:rStyle w:val="FootnoteReference"/>
          <w:sz w:val="20"/>
        </w:rPr>
        <w:footnoteRef/>
      </w:r>
      <w:r w:rsidRPr="00265992">
        <w:t xml:space="preserve"> </w:t>
      </w:r>
      <w:r w:rsidRPr="00265992">
        <w:rPr>
          <w:i/>
        </w:rPr>
        <w:t>Id</w:t>
      </w:r>
      <w:r w:rsidRPr="00265992">
        <w:t xml:space="preserve">. </w:t>
      </w:r>
    </w:p>
  </w:footnote>
  <w:footnote w:id="26">
    <w:p w:rsidR="0047633D" w:rsidRPr="00265992" w:rsidP="0047633D" w14:paraId="15302AB8" w14:textId="77777777">
      <w:pPr>
        <w:pStyle w:val="FootnoteText"/>
      </w:pPr>
      <w:r w:rsidRPr="00265992">
        <w:rPr>
          <w:rStyle w:val="FootnoteReference"/>
          <w:sz w:val="20"/>
        </w:rPr>
        <w:footnoteRef/>
      </w:r>
      <w:r w:rsidRPr="00265992">
        <w:t xml:space="preserve"> </w:t>
      </w:r>
      <w:r w:rsidRPr="00F46420" w:rsidR="00B038EB">
        <w:rPr>
          <w:i/>
        </w:rPr>
        <w:t>Id</w:t>
      </w:r>
      <w:r w:rsidRPr="00F46420" w:rsidR="00B038EB">
        <w:t>. at 4786, para. 21.</w:t>
      </w:r>
    </w:p>
  </w:footnote>
  <w:footnote w:id="27">
    <w:p w:rsidR="003F2288" w:rsidRPr="00F46420" w:rsidP="003F2288" w14:paraId="73E37EB0" w14:textId="77777777">
      <w:pPr>
        <w:pStyle w:val="FootnoteText"/>
      </w:pPr>
      <w:r w:rsidRPr="00F46420">
        <w:rPr>
          <w:rStyle w:val="FootnoteReference"/>
          <w:sz w:val="20"/>
        </w:rPr>
        <w:footnoteRef/>
      </w:r>
      <w:r w:rsidRPr="00F46420">
        <w:t xml:space="preserve"> </w:t>
      </w:r>
      <w:r w:rsidRPr="00F46420">
        <w:rPr>
          <w:i/>
        </w:rPr>
        <w:t>Id</w:t>
      </w:r>
      <w:r w:rsidRPr="00F46420">
        <w:t>. at 4788-90, paras. 26-31.</w:t>
      </w:r>
    </w:p>
  </w:footnote>
  <w:footnote w:id="28">
    <w:p w:rsidR="003F2288" w:rsidRPr="00F46420" w:rsidP="003F2288" w14:paraId="79802413" w14:textId="77777777">
      <w:pPr>
        <w:pStyle w:val="FootnoteText"/>
      </w:pPr>
      <w:r w:rsidRPr="00F46420">
        <w:rPr>
          <w:rStyle w:val="FootnoteReference"/>
          <w:sz w:val="20"/>
        </w:rPr>
        <w:footnoteRef/>
      </w:r>
      <w:r w:rsidRPr="00F46420">
        <w:t xml:space="preserve"> </w:t>
      </w:r>
      <w:r w:rsidRPr="00F46420">
        <w:rPr>
          <w:i/>
        </w:rPr>
        <w:t>Id</w:t>
      </w:r>
      <w:r w:rsidRPr="00F46420">
        <w:t xml:space="preserve">. at 4789, para. 27, n.72.   </w:t>
      </w:r>
    </w:p>
  </w:footnote>
  <w:footnote w:id="29">
    <w:p w:rsidR="00190353" w14:paraId="37145014" w14:textId="3A77611A">
      <w:pPr>
        <w:pStyle w:val="FootnoteText"/>
      </w:pPr>
      <w:r>
        <w:rPr>
          <w:rStyle w:val="FootnoteReference"/>
        </w:rPr>
        <w:footnoteRef/>
      </w:r>
      <w:r>
        <w:t xml:space="preserve"> </w:t>
      </w:r>
      <w:r w:rsidRPr="0020155F" w:rsidR="0020155F">
        <w:t>Application</w:t>
      </w:r>
      <w:r w:rsidRPr="0020155F" w:rsidR="00534C9F">
        <w:t xml:space="preserve"> </w:t>
      </w:r>
      <w:r w:rsidR="00534C9F">
        <w:t>at 7.</w:t>
      </w:r>
    </w:p>
  </w:footnote>
  <w:footnote w:id="30">
    <w:p w:rsidR="003F2288" w:rsidRPr="00F46420" w:rsidP="003F2288" w14:paraId="43F4F858" w14:textId="00373849">
      <w:pPr>
        <w:pStyle w:val="FootnoteText"/>
      </w:pPr>
      <w:r w:rsidRPr="00F46420">
        <w:rPr>
          <w:rStyle w:val="FootnoteReference"/>
          <w:sz w:val="20"/>
        </w:rPr>
        <w:footnoteRef/>
      </w:r>
      <w:r w:rsidRPr="00F46420">
        <w:t xml:space="preserve"> </w:t>
      </w:r>
      <w:r w:rsidRPr="00265992" w:rsidR="00FB4D77">
        <w:rPr>
          <w:i/>
        </w:rPr>
        <w:t>Hargray/ComSouth Order</w:t>
      </w:r>
      <w:r w:rsidR="00FB4D77">
        <w:rPr>
          <w:iCs/>
        </w:rPr>
        <w:t>, 33 FCC Rcd at</w:t>
      </w:r>
      <w:r w:rsidRPr="00F46420">
        <w:t xml:space="preserve"> 4788-90, paras. 26-31.</w:t>
      </w:r>
    </w:p>
  </w:footnote>
  <w:footnote w:id="31">
    <w:p w:rsidR="003F2288" w:rsidRPr="00F46420" w:rsidP="003F2288" w14:paraId="27E82329" w14:textId="77777777">
      <w:pPr>
        <w:pStyle w:val="FootnoteText"/>
      </w:pPr>
      <w:r w:rsidRPr="00F46420">
        <w:rPr>
          <w:rStyle w:val="FootnoteReference"/>
          <w:sz w:val="20"/>
        </w:rPr>
        <w:footnoteRef/>
      </w:r>
      <w:r w:rsidRPr="00F46420">
        <w:t xml:space="preserve"> </w:t>
      </w:r>
      <w:r w:rsidRPr="00F46420">
        <w:rPr>
          <w:i/>
        </w:rPr>
        <w:t>See</w:t>
      </w:r>
      <w:r w:rsidRPr="00F46420">
        <w:t xml:space="preserve"> 47 U.S.C. § 153(1).</w:t>
      </w:r>
    </w:p>
  </w:footnote>
  <w:footnote w:id="32">
    <w:p w:rsidR="003F2288" w:rsidRPr="00F46420" w:rsidP="003F2288" w14:paraId="0F99918C" w14:textId="4ED156C0">
      <w:pPr>
        <w:pStyle w:val="FootnoteText"/>
      </w:pPr>
      <w:r w:rsidRPr="00F46420">
        <w:rPr>
          <w:rStyle w:val="FootnoteReference"/>
          <w:sz w:val="20"/>
        </w:rPr>
        <w:footnoteRef/>
      </w:r>
      <w:r w:rsidRPr="00F46420">
        <w:t xml:space="preserve"> </w:t>
      </w:r>
      <w:r w:rsidRPr="00F46420">
        <w:rPr>
          <w:i/>
        </w:rPr>
        <w:t>Hargray/ComSouth Order</w:t>
      </w:r>
      <w:r w:rsidR="00FB4D77">
        <w:rPr>
          <w:iCs/>
        </w:rPr>
        <w:t>, 33 FCC Rcd</w:t>
      </w:r>
      <w:r w:rsidRPr="00F46420">
        <w:rPr>
          <w:i/>
        </w:rPr>
        <w:t xml:space="preserve"> </w:t>
      </w:r>
      <w:r w:rsidRPr="00F46420">
        <w:t>at 4788-89, para. 27.  The cap will apply to the combined operating expenses of the post-consummation compan</w:t>
      </w:r>
      <w:r w:rsidR="00534B0C">
        <w:t>y</w:t>
      </w:r>
      <w:r w:rsidRPr="00F46420">
        <w:t xml:space="preserve"> and any other existing rate-of-return affiliates </w:t>
      </w:r>
      <w:r w:rsidR="00534B0C">
        <w:t>acquired</w:t>
      </w:r>
      <w:r w:rsidRPr="00F46420">
        <w:t xml:space="preserve"> during the time in which the condition is in effect (together, covered entities).  To monitor compliance with the condition adopted herein, to the extent it does not already do so, </w:t>
      </w:r>
      <w:r w:rsidRPr="00F46420">
        <w:rPr>
          <w:color w:val="000000"/>
        </w:rPr>
        <w:t xml:space="preserve">we direct the covered entities </w:t>
      </w:r>
      <w:r w:rsidRPr="00F46420">
        <w:t xml:space="preserve">to submit their relevant cost data to the National Exchange Carrier Association (NECA).  We direct NECA to provide the dollar amount of the operating expense costs that will be capped pursuant to this Public Notice to the Universal Service Administrative Company (USAC) within 30 days following submission of any covered entity’s cost data.  We further direct NECA to provide USAC with the reductions in High-Cost Loop Support (HCLS) and Connect America Fund-Broadband Loop Support (CAF-BLS) for any covered entity pursuant to this Public Notice for each year following the effective date of this Public Notice.  USAC shall validate all calculations received from NECA before making disbursements subject to any such support reductions.  We also direct all covered entities to provide USAC with an annual certification of compliance on or before December 31 of each year for the duration of the condition.  With the certification, each covered entity must also submit its latest audited financial statements to USAC, including all notes and consolidating statements, on an annual basis, by December 31 of each year.  </w:t>
      </w:r>
      <w:r w:rsidRPr="00F46420">
        <w:rPr>
          <w:i/>
        </w:rPr>
        <w:t>Id</w:t>
      </w:r>
      <w:r w:rsidRPr="00F46420">
        <w:t xml:space="preserve">. at 4790, para. 31.      </w:t>
      </w:r>
    </w:p>
  </w:footnote>
  <w:footnote w:id="33">
    <w:p w:rsidR="003F2288" w:rsidRPr="00F46420" w:rsidP="003F2288" w14:paraId="11715D70" w14:textId="77777777">
      <w:pPr>
        <w:pStyle w:val="FootnoteText"/>
      </w:pPr>
      <w:r w:rsidRPr="00F46420">
        <w:rPr>
          <w:rStyle w:val="FootnoteReference"/>
          <w:sz w:val="20"/>
        </w:rPr>
        <w:footnoteRef/>
      </w:r>
      <w:r w:rsidRPr="00F46420">
        <w:t xml:space="preserve"> </w:t>
      </w:r>
      <w:r w:rsidR="00534B0C">
        <w:rPr>
          <w:i/>
          <w:iCs/>
        </w:rPr>
        <w:t>Id</w:t>
      </w:r>
      <w:r w:rsidR="00534B0C">
        <w:t>.</w:t>
      </w:r>
      <w:r w:rsidRPr="00F46420">
        <w:t xml:space="preserve"> at 4789, para. 28.</w:t>
      </w:r>
    </w:p>
  </w:footnote>
  <w:footnote w:id="34">
    <w:p w:rsidR="003F2288" w:rsidRPr="00F46420" w:rsidP="003F2288" w14:paraId="451A404B" w14:textId="77777777">
      <w:pPr>
        <w:pStyle w:val="FootnoteText"/>
      </w:pPr>
      <w:r w:rsidRPr="00F46420">
        <w:rPr>
          <w:rStyle w:val="FootnoteReference"/>
          <w:sz w:val="20"/>
        </w:rPr>
        <w:footnoteRef/>
      </w:r>
      <w:r w:rsidRPr="00F46420">
        <w:t xml:space="preserve"> </w:t>
      </w:r>
      <w:r w:rsidRPr="00F46420">
        <w:rPr>
          <w:i/>
        </w:rPr>
        <w:t>Id.</w:t>
      </w:r>
      <w:r w:rsidRPr="00F46420">
        <w:t xml:space="preserve"> </w:t>
      </w:r>
    </w:p>
  </w:footnote>
  <w:footnote w:id="35">
    <w:p w:rsidR="003F2288" w:rsidRPr="00F46420" w:rsidP="003F2288" w14:paraId="1B215657" w14:textId="77777777">
      <w:pPr>
        <w:pStyle w:val="FootnoteText"/>
      </w:pPr>
      <w:r w:rsidRPr="00F46420">
        <w:rPr>
          <w:rStyle w:val="FootnoteReference"/>
          <w:sz w:val="20"/>
        </w:rPr>
        <w:footnoteRef/>
      </w:r>
      <w:r w:rsidRPr="00F46420">
        <w:t xml:space="preserve"> </w:t>
      </w:r>
      <w:r w:rsidRPr="00F46420">
        <w:rPr>
          <w:i/>
        </w:rPr>
        <w:t>Id.</w:t>
      </w:r>
    </w:p>
  </w:footnote>
  <w:footnote w:id="36">
    <w:p w:rsidR="003F2288" w:rsidRPr="00F46420" w:rsidP="003F2288" w14:paraId="68F9F9F5" w14:textId="77777777">
      <w:pPr>
        <w:pStyle w:val="FootnoteText"/>
      </w:pPr>
      <w:r w:rsidRPr="00F46420">
        <w:rPr>
          <w:rStyle w:val="FootnoteReference"/>
          <w:sz w:val="20"/>
        </w:rPr>
        <w:footnoteRef/>
      </w:r>
      <w:r w:rsidRPr="00F46420">
        <w:t xml:space="preserve"> </w:t>
      </w:r>
      <w:r w:rsidRPr="00F46420">
        <w:rPr>
          <w:i/>
        </w:rPr>
        <w:t>Id.</w:t>
      </w:r>
      <w:r w:rsidRPr="00F46420">
        <w:t xml:space="preserve"> at 4790, para. 30.</w:t>
      </w:r>
    </w:p>
  </w:footnote>
  <w:footnote w:id="37">
    <w:p w:rsidR="003F2288" w:rsidRPr="00F46420" w:rsidP="003F2288" w14:paraId="58F7083D" w14:textId="77777777">
      <w:pPr>
        <w:pStyle w:val="FootnoteText"/>
      </w:pPr>
      <w:r w:rsidRPr="00F46420">
        <w:rPr>
          <w:rStyle w:val="FootnoteReference"/>
          <w:sz w:val="20"/>
        </w:rPr>
        <w:footnoteRef/>
      </w:r>
      <w:r w:rsidRPr="00F46420">
        <w:t xml:space="preserve"> The Commission has found seven years to be an appropriate period over which to monitor enforcement of the condition and to ensure that the combined entity, which will continue to receive support, does not shift costs from year-to-year.  </w:t>
      </w:r>
      <w:r w:rsidRPr="00F46420">
        <w:rPr>
          <w:i/>
        </w:rPr>
        <w:t>Id</w:t>
      </w:r>
      <w:r w:rsidRPr="00F46420">
        <w:t>. at 4789-90, para. 29, fn.78.  The cap will not apply if the parties do not consummate the proposed transaction.</w:t>
      </w:r>
    </w:p>
  </w:footnote>
  <w:footnote w:id="38">
    <w:p w:rsidR="003F2288" w:rsidRPr="00F46420" w:rsidP="003F2288" w14:paraId="1803FD01" w14:textId="77777777">
      <w:pPr>
        <w:pStyle w:val="FootnoteText"/>
      </w:pPr>
      <w:r w:rsidRPr="00F46420">
        <w:rPr>
          <w:rStyle w:val="FootnoteReference"/>
          <w:sz w:val="20"/>
        </w:rPr>
        <w:footnoteRef/>
      </w:r>
      <w:r w:rsidRPr="00F46420">
        <w:t xml:space="preserve"> </w:t>
      </w:r>
      <w:r w:rsidRPr="00F46420">
        <w:rPr>
          <w:i/>
        </w:rPr>
        <w:t>Id</w:t>
      </w:r>
      <w:r w:rsidRPr="00F46420">
        <w:t>. at 4789-90, para. 29.</w:t>
      </w:r>
    </w:p>
  </w:footnote>
  <w:footnote w:id="39">
    <w:p w:rsidR="003F2288" w:rsidRPr="00F46420" w:rsidP="003F2288" w14:paraId="6C0DD7F7" w14:textId="77777777">
      <w:pPr>
        <w:pStyle w:val="FootnoteText"/>
        <w:rPr>
          <w:iCs/>
          <w:color w:val="212121"/>
        </w:rPr>
      </w:pPr>
      <w:r w:rsidRPr="00F46420">
        <w:rPr>
          <w:rStyle w:val="FootnoteReference"/>
          <w:sz w:val="20"/>
        </w:rPr>
        <w:footnoteRef/>
      </w:r>
      <w:r w:rsidRPr="00F46420">
        <w:t xml:space="preserve"> </w:t>
      </w:r>
      <w:bookmarkStart w:id="5" w:name="_Hlk34313410"/>
      <w:r w:rsidRPr="00B76D5C">
        <w:rPr>
          <w:i/>
          <w:iCs/>
        </w:rPr>
        <w:t>See</w:t>
      </w:r>
      <w:r w:rsidRPr="00B76D5C">
        <w:t> </w:t>
      </w:r>
      <w:hyperlink r:id="rId4" w:anchor="co_pp_8b3b0000958a4" w:history="1">
        <w:r w:rsidRPr="00B76D5C">
          <w:t>47 U.S.C. § 214(a)</w:t>
        </w:r>
      </w:hyperlink>
      <w:r w:rsidRPr="00B76D5C">
        <w:t>; </w:t>
      </w:r>
      <w:hyperlink r:id="rId5" w:history="1">
        <w:r w:rsidRPr="00B76D5C">
          <w:t>47 CFR § 63.03</w:t>
        </w:r>
      </w:hyperlink>
      <w:r w:rsidRPr="00B76D5C">
        <w:t>.</w:t>
      </w:r>
      <w:bookmarkEnd w:id="5"/>
    </w:p>
  </w:footnote>
  <w:footnote w:id="40">
    <w:p w:rsidR="003F2288" w:rsidRPr="00F46420" w:rsidP="003F2288" w14:paraId="6A231F4E" w14:textId="77777777">
      <w:pPr>
        <w:pStyle w:val="FootnoteText"/>
      </w:pPr>
      <w:r w:rsidRPr="00F46420">
        <w:rPr>
          <w:rStyle w:val="FootnoteReference"/>
          <w:sz w:val="20"/>
        </w:rPr>
        <w:footnoteRef/>
      </w:r>
      <w:r w:rsidRPr="00F46420">
        <w:t xml:space="preserve"> </w:t>
      </w:r>
      <w:r w:rsidRPr="00F46420">
        <w:rPr>
          <w:snapToGrid w:val="0"/>
          <w:kern w:val="28"/>
        </w:rPr>
        <w:t>The</w:t>
      </w:r>
      <w:r w:rsidRPr="00F46420">
        <w:t xml:space="preserve"> Applicants provide incumbent LEC services in their respective study areas.  Within 30 days of closing the proposed transaction, they must notify USAC so that it can make any appropriate changes to the High Cost Universal Broadband (HUBB) on-line location reporting portal for universal service recipients.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60CD" w:rsidRPr="009838BC" w:rsidP="009560CD" w14:paraId="6ED0FA6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60CD" w:rsidRPr="00A866AC" w:rsidP="009560CD" w14:paraId="526E29A7"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560CD" w:rsidP="009560CD" w14:textId="77777777">
                          <w:pPr>
                            <w:rPr>
                              <w:rFonts w:ascii="Arial" w:hAnsi="Arial"/>
                              <w:b/>
                            </w:rPr>
                          </w:pPr>
                          <w:r>
                            <w:rPr>
                              <w:rFonts w:ascii="Arial" w:hAnsi="Arial"/>
                              <w:b/>
                            </w:rPr>
                            <w:t>Federal Communications Commission</w:t>
                          </w:r>
                        </w:p>
                        <w:p w:rsidR="009560CD" w:rsidP="009560CD"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560CD" w:rsidP="009560CD"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560CD" w:rsidP="009560CD" w14:paraId="7FEF5AFA" w14:textId="77777777">
                    <w:pPr>
                      <w:rPr>
                        <w:rFonts w:ascii="Arial" w:hAnsi="Arial"/>
                        <w:b/>
                      </w:rPr>
                    </w:pPr>
                    <w:r>
                      <w:rPr>
                        <w:rFonts w:ascii="Arial" w:hAnsi="Arial"/>
                        <w:b/>
                      </w:rPr>
                      <w:t>Federal Communications Commission</w:t>
                    </w:r>
                  </w:p>
                  <w:p w:rsidR="009560CD" w:rsidP="009560CD" w14:paraId="1C821F4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560CD" w:rsidP="009560CD" w14:paraId="46F6EDBD"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70318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sidR="001F4EB1">
      <w:rPr>
        <w:rFonts w:ascii="Arial" w:hAnsi="Arial" w:cs="Arial"/>
        <w:b/>
        <w:sz w:val="96"/>
      </w:rPr>
      <w:t>PUBLIC NOTICE</w:t>
    </w:r>
  </w:p>
  <w:p w:rsidR="009560CD" w:rsidRPr="00357D50" w:rsidP="009560CD" w14:paraId="6740D8B0"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9525" t="5715" r="952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560CD" w:rsidP="009560CD" w14:textId="77777777">
                          <w:pPr>
                            <w:spacing w:before="40"/>
                            <w:jc w:val="right"/>
                            <w:rPr>
                              <w:rFonts w:ascii="Arial" w:hAnsi="Arial"/>
                              <w:b/>
                              <w:sz w:val="16"/>
                            </w:rPr>
                          </w:pPr>
                          <w:r>
                            <w:rPr>
                              <w:rFonts w:ascii="Arial" w:hAnsi="Arial"/>
                              <w:b/>
                              <w:sz w:val="16"/>
                            </w:rPr>
                            <w:t>News Media Information 202 / 418-0500</w:t>
                          </w:r>
                        </w:p>
                        <w:p w:rsidR="009560CD" w:rsidP="009560CD" w14:textId="77777777">
                          <w:pPr>
                            <w:jc w:val="right"/>
                            <w:rPr>
                              <w:rFonts w:ascii="Arial" w:hAnsi="Arial"/>
                              <w:b/>
                              <w:sz w:val="16"/>
                            </w:rPr>
                          </w:pPr>
                          <w:r>
                            <w:rPr>
                              <w:rFonts w:ascii="Arial" w:hAnsi="Arial"/>
                              <w:b/>
                              <w:sz w:val="16"/>
                            </w:rPr>
                            <w:t xml:space="preserve">Internet: </w:t>
                          </w:r>
                          <w:bookmarkStart w:id="7" w:name="_Hlt233824"/>
                          <w:hyperlink r:id="rId2" w:history="1">
                            <w:r w:rsidRPr="00D216CD">
                              <w:rPr>
                                <w:rStyle w:val="Hyperlink"/>
                                <w:rFonts w:ascii="Arial" w:hAnsi="Arial"/>
                                <w:b/>
                                <w:sz w:val="16"/>
                              </w:rPr>
                              <w:t>h</w:t>
                            </w:r>
                            <w:bookmarkEnd w:id="7"/>
                            <w:r w:rsidRPr="00D216CD">
                              <w:rPr>
                                <w:rStyle w:val="Hyperlink"/>
                                <w:rFonts w:ascii="Arial" w:hAnsi="Arial"/>
                                <w:b/>
                                <w:sz w:val="16"/>
                              </w:rPr>
                              <w:t>ttps://www.fcc.gov</w:t>
                            </w:r>
                          </w:hyperlink>
                        </w:p>
                        <w:p w:rsidR="009560CD" w:rsidP="009560CD"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560CD" w:rsidP="009560CD" w14:paraId="6E3C683F" w14:textId="77777777">
                    <w:pPr>
                      <w:spacing w:before="40"/>
                      <w:jc w:val="right"/>
                      <w:rPr>
                        <w:rFonts w:ascii="Arial" w:hAnsi="Arial"/>
                        <w:b/>
                        <w:sz w:val="16"/>
                      </w:rPr>
                    </w:pPr>
                    <w:r>
                      <w:rPr>
                        <w:rFonts w:ascii="Arial" w:hAnsi="Arial"/>
                        <w:b/>
                        <w:sz w:val="16"/>
                      </w:rPr>
                      <w:t>News Media Information 202 / 418-0500</w:t>
                    </w:r>
                  </w:p>
                  <w:p w:rsidR="009560CD" w:rsidP="009560CD" w14:paraId="1E7828D5" w14:textId="77777777">
                    <w:pPr>
                      <w:jc w:val="right"/>
                      <w:rPr>
                        <w:rFonts w:ascii="Arial" w:hAnsi="Arial"/>
                        <w:b/>
                        <w:sz w:val="16"/>
                      </w:rPr>
                    </w:pPr>
                    <w:r>
                      <w:rPr>
                        <w:rFonts w:ascii="Arial" w:hAnsi="Arial"/>
                        <w:b/>
                        <w:sz w:val="16"/>
                      </w:rPr>
                      <w:t xml:space="preserve">Internet: </w:t>
                    </w:r>
                    <w:bookmarkStart w:id="7" w:name="_Hlt233824"/>
                    <w:hyperlink r:id="rId2" w:history="1">
                      <w:r w:rsidRPr="00D216CD">
                        <w:rPr>
                          <w:rStyle w:val="Hyperlink"/>
                          <w:rFonts w:ascii="Arial" w:hAnsi="Arial"/>
                          <w:b/>
                          <w:sz w:val="16"/>
                        </w:rPr>
                        <w:t>h</w:t>
                      </w:r>
                      <w:bookmarkEnd w:id="7"/>
                      <w:r w:rsidRPr="00D216CD">
                        <w:rPr>
                          <w:rStyle w:val="Hyperlink"/>
                          <w:rFonts w:ascii="Arial" w:hAnsi="Arial"/>
                          <w:b/>
                          <w:sz w:val="16"/>
                        </w:rPr>
                        <w:t>ttps://www.fcc.gov</w:t>
                      </w:r>
                    </w:hyperlink>
                  </w:p>
                  <w:p w:rsidR="009560CD" w:rsidP="009560CD" w14:paraId="02C3353F" w14:textId="77777777">
                    <w:pPr>
                      <w:jc w:val="right"/>
                    </w:pPr>
                    <w:r>
                      <w:rPr>
                        <w:rFonts w:ascii="Arial" w:hAnsi="Arial"/>
                        <w:b/>
                        <w:sz w:val="16"/>
                      </w:rPr>
                      <w:t>TTY: 1-888-835-5322</w:t>
                    </w:r>
                  </w:p>
                </w:txbxContent>
              </v:textbox>
            </v:shape>
          </w:pict>
        </mc:Fallback>
      </mc:AlternateContent>
    </w:r>
  </w:p>
  <w:p w:rsidR="009560CD" w:rsidRPr="009838BC" w:rsidP="009560CD" w14:paraId="3DC5BCC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A25"/>
    <w:rsid w:val="00016EB7"/>
    <w:rsid w:val="000239C4"/>
    <w:rsid w:val="00034BE8"/>
    <w:rsid w:val="000372E6"/>
    <w:rsid w:val="000418D2"/>
    <w:rsid w:val="00042BF5"/>
    <w:rsid w:val="00042C44"/>
    <w:rsid w:val="000447B2"/>
    <w:rsid w:val="0004613C"/>
    <w:rsid w:val="00050449"/>
    <w:rsid w:val="0005050A"/>
    <w:rsid w:val="000524B4"/>
    <w:rsid w:val="0006055F"/>
    <w:rsid w:val="00062A4F"/>
    <w:rsid w:val="00064A57"/>
    <w:rsid w:val="0006543D"/>
    <w:rsid w:val="00065809"/>
    <w:rsid w:val="00081548"/>
    <w:rsid w:val="00090770"/>
    <w:rsid w:val="00097664"/>
    <w:rsid w:val="00097FC0"/>
    <w:rsid w:val="000A4D44"/>
    <w:rsid w:val="000A6021"/>
    <w:rsid w:val="000B0AF7"/>
    <w:rsid w:val="000B1E30"/>
    <w:rsid w:val="000C08F7"/>
    <w:rsid w:val="000C6F3C"/>
    <w:rsid w:val="000D6AF4"/>
    <w:rsid w:val="000D782A"/>
    <w:rsid w:val="000E3FC3"/>
    <w:rsid w:val="000E7034"/>
    <w:rsid w:val="000E78BD"/>
    <w:rsid w:val="000F4074"/>
    <w:rsid w:val="000F450D"/>
    <w:rsid w:val="000F5B68"/>
    <w:rsid w:val="000F5D40"/>
    <w:rsid w:val="00105A80"/>
    <w:rsid w:val="001073F8"/>
    <w:rsid w:val="00110252"/>
    <w:rsid w:val="00113574"/>
    <w:rsid w:val="00116E56"/>
    <w:rsid w:val="0011735A"/>
    <w:rsid w:val="00121DB7"/>
    <w:rsid w:val="00131393"/>
    <w:rsid w:val="00135D84"/>
    <w:rsid w:val="001401F3"/>
    <w:rsid w:val="001407B1"/>
    <w:rsid w:val="00141A16"/>
    <w:rsid w:val="001503AE"/>
    <w:rsid w:val="00151260"/>
    <w:rsid w:val="001539FC"/>
    <w:rsid w:val="00155007"/>
    <w:rsid w:val="00160656"/>
    <w:rsid w:val="00163C91"/>
    <w:rsid w:val="00164EFA"/>
    <w:rsid w:val="00166B5D"/>
    <w:rsid w:val="00166DB2"/>
    <w:rsid w:val="00170171"/>
    <w:rsid w:val="00172504"/>
    <w:rsid w:val="001761B2"/>
    <w:rsid w:val="00177B81"/>
    <w:rsid w:val="00190353"/>
    <w:rsid w:val="00191F3D"/>
    <w:rsid w:val="001D1964"/>
    <w:rsid w:val="001D4DD9"/>
    <w:rsid w:val="001E44A8"/>
    <w:rsid w:val="001E6D45"/>
    <w:rsid w:val="001E7E96"/>
    <w:rsid w:val="001F4EB1"/>
    <w:rsid w:val="001F6A0C"/>
    <w:rsid w:val="0020155F"/>
    <w:rsid w:val="002025B5"/>
    <w:rsid w:val="0020405A"/>
    <w:rsid w:val="00204D99"/>
    <w:rsid w:val="00205454"/>
    <w:rsid w:val="002142F7"/>
    <w:rsid w:val="0023170B"/>
    <w:rsid w:val="0023369C"/>
    <w:rsid w:val="002350C2"/>
    <w:rsid w:val="00240114"/>
    <w:rsid w:val="002410F4"/>
    <w:rsid w:val="002470F8"/>
    <w:rsid w:val="0025269E"/>
    <w:rsid w:val="002538EE"/>
    <w:rsid w:val="002574B7"/>
    <w:rsid w:val="00257C5D"/>
    <w:rsid w:val="00264EFA"/>
    <w:rsid w:val="00265992"/>
    <w:rsid w:val="002707E1"/>
    <w:rsid w:val="002738F1"/>
    <w:rsid w:val="00277A7E"/>
    <w:rsid w:val="002811BE"/>
    <w:rsid w:val="00285B65"/>
    <w:rsid w:val="00286FDD"/>
    <w:rsid w:val="00292AE8"/>
    <w:rsid w:val="002940B4"/>
    <w:rsid w:val="00297D36"/>
    <w:rsid w:val="002A13B7"/>
    <w:rsid w:val="002B101C"/>
    <w:rsid w:val="002B13E2"/>
    <w:rsid w:val="002B3A65"/>
    <w:rsid w:val="002B4AA1"/>
    <w:rsid w:val="002B6719"/>
    <w:rsid w:val="002C22CB"/>
    <w:rsid w:val="002C2A68"/>
    <w:rsid w:val="002E44D9"/>
    <w:rsid w:val="002F0235"/>
    <w:rsid w:val="002F09DE"/>
    <w:rsid w:val="002F20B9"/>
    <w:rsid w:val="00301D79"/>
    <w:rsid w:val="00306EEF"/>
    <w:rsid w:val="003108A7"/>
    <w:rsid w:val="00325C8A"/>
    <w:rsid w:val="00325FA0"/>
    <w:rsid w:val="003338CD"/>
    <w:rsid w:val="00335DC9"/>
    <w:rsid w:val="00336AC8"/>
    <w:rsid w:val="00341E18"/>
    <w:rsid w:val="00346506"/>
    <w:rsid w:val="003546A9"/>
    <w:rsid w:val="00356188"/>
    <w:rsid w:val="00357D50"/>
    <w:rsid w:val="00360A25"/>
    <w:rsid w:val="00360F95"/>
    <w:rsid w:val="00361E29"/>
    <w:rsid w:val="00373C2C"/>
    <w:rsid w:val="003752FC"/>
    <w:rsid w:val="0038358F"/>
    <w:rsid w:val="00384183"/>
    <w:rsid w:val="00386B01"/>
    <w:rsid w:val="003870E8"/>
    <w:rsid w:val="003915EF"/>
    <w:rsid w:val="00391D67"/>
    <w:rsid w:val="00392396"/>
    <w:rsid w:val="00397B71"/>
    <w:rsid w:val="003A2D5D"/>
    <w:rsid w:val="003B5BAB"/>
    <w:rsid w:val="003C13D6"/>
    <w:rsid w:val="003C4042"/>
    <w:rsid w:val="003C564B"/>
    <w:rsid w:val="003D22F9"/>
    <w:rsid w:val="003D435A"/>
    <w:rsid w:val="003E5636"/>
    <w:rsid w:val="003E5F04"/>
    <w:rsid w:val="003F2288"/>
    <w:rsid w:val="003F5C32"/>
    <w:rsid w:val="003F5FD5"/>
    <w:rsid w:val="0041513E"/>
    <w:rsid w:val="00422637"/>
    <w:rsid w:val="00423648"/>
    <w:rsid w:val="004261A3"/>
    <w:rsid w:val="00427EB3"/>
    <w:rsid w:val="0044021E"/>
    <w:rsid w:val="0044046E"/>
    <w:rsid w:val="0044290F"/>
    <w:rsid w:val="00445585"/>
    <w:rsid w:val="0045382B"/>
    <w:rsid w:val="0045529B"/>
    <w:rsid w:val="00462BEA"/>
    <w:rsid w:val="00472D8C"/>
    <w:rsid w:val="004762AB"/>
    <w:rsid w:val="0047633D"/>
    <w:rsid w:val="004763C8"/>
    <w:rsid w:val="00476505"/>
    <w:rsid w:val="00484D17"/>
    <w:rsid w:val="00485F44"/>
    <w:rsid w:val="00495353"/>
    <w:rsid w:val="00496424"/>
    <w:rsid w:val="004A0B35"/>
    <w:rsid w:val="004A571F"/>
    <w:rsid w:val="004B1DE5"/>
    <w:rsid w:val="004B5558"/>
    <w:rsid w:val="004B6CF4"/>
    <w:rsid w:val="004B7EBD"/>
    <w:rsid w:val="004C1C4F"/>
    <w:rsid w:val="004C3980"/>
    <w:rsid w:val="004C39E4"/>
    <w:rsid w:val="004C3F72"/>
    <w:rsid w:val="004C52B2"/>
    <w:rsid w:val="004E02FE"/>
    <w:rsid w:val="004F0B5B"/>
    <w:rsid w:val="004F277A"/>
    <w:rsid w:val="004F340A"/>
    <w:rsid w:val="004F37A3"/>
    <w:rsid w:val="004F659A"/>
    <w:rsid w:val="004F7405"/>
    <w:rsid w:val="00516504"/>
    <w:rsid w:val="00533D3B"/>
    <w:rsid w:val="00534B0C"/>
    <w:rsid w:val="00534C9F"/>
    <w:rsid w:val="0054080B"/>
    <w:rsid w:val="00554A55"/>
    <w:rsid w:val="005550A3"/>
    <w:rsid w:val="00557F9A"/>
    <w:rsid w:val="00561173"/>
    <w:rsid w:val="00565A49"/>
    <w:rsid w:val="00565D80"/>
    <w:rsid w:val="00566466"/>
    <w:rsid w:val="005708F1"/>
    <w:rsid w:val="00576F3C"/>
    <w:rsid w:val="005812EE"/>
    <w:rsid w:val="00583FE7"/>
    <w:rsid w:val="0058534C"/>
    <w:rsid w:val="005874E5"/>
    <w:rsid w:val="005A6110"/>
    <w:rsid w:val="005B0BA9"/>
    <w:rsid w:val="005B1800"/>
    <w:rsid w:val="005B75B3"/>
    <w:rsid w:val="005C2671"/>
    <w:rsid w:val="005C3880"/>
    <w:rsid w:val="005C4B42"/>
    <w:rsid w:val="005C5609"/>
    <w:rsid w:val="005C7D71"/>
    <w:rsid w:val="005F0D08"/>
    <w:rsid w:val="005F4E54"/>
    <w:rsid w:val="00600899"/>
    <w:rsid w:val="00611481"/>
    <w:rsid w:val="0061344C"/>
    <w:rsid w:val="00613C3A"/>
    <w:rsid w:val="00620849"/>
    <w:rsid w:val="00622DF5"/>
    <w:rsid w:val="00622E7C"/>
    <w:rsid w:val="00626DE6"/>
    <w:rsid w:val="00640931"/>
    <w:rsid w:val="00647A6E"/>
    <w:rsid w:val="00653788"/>
    <w:rsid w:val="00654741"/>
    <w:rsid w:val="006614C1"/>
    <w:rsid w:val="006650A4"/>
    <w:rsid w:val="006657C3"/>
    <w:rsid w:val="00677C03"/>
    <w:rsid w:val="0068256F"/>
    <w:rsid w:val="0068538C"/>
    <w:rsid w:val="00696C93"/>
    <w:rsid w:val="006A65D3"/>
    <w:rsid w:val="006B0317"/>
    <w:rsid w:val="006B6FEB"/>
    <w:rsid w:val="006B733B"/>
    <w:rsid w:val="006C6F22"/>
    <w:rsid w:val="006C7220"/>
    <w:rsid w:val="006D2581"/>
    <w:rsid w:val="006D2EA5"/>
    <w:rsid w:val="006D5E3A"/>
    <w:rsid w:val="006D7507"/>
    <w:rsid w:val="006E3CA2"/>
    <w:rsid w:val="006E68A2"/>
    <w:rsid w:val="00702179"/>
    <w:rsid w:val="00702592"/>
    <w:rsid w:val="00706977"/>
    <w:rsid w:val="007069DD"/>
    <w:rsid w:val="00711614"/>
    <w:rsid w:val="00714BDA"/>
    <w:rsid w:val="00722E9E"/>
    <w:rsid w:val="00727FFE"/>
    <w:rsid w:val="007305E9"/>
    <w:rsid w:val="0073741A"/>
    <w:rsid w:val="007435E8"/>
    <w:rsid w:val="00743A97"/>
    <w:rsid w:val="00750859"/>
    <w:rsid w:val="0075234E"/>
    <w:rsid w:val="00756CF7"/>
    <w:rsid w:val="00762CDC"/>
    <w:rsid w:val="00764286"/>
    <w:rsid w:val="00766B73"/>
    <w:rsid w:val="00767932"/>
    <w:rsid w:val="0077087C"/>
    <w:rsid w:val="00777263"/>
    <w:rsid w:val="007C02C8"/>
    <w:rsid w:val="007C0C9F"/>
    <w:rsid w:val="007C69C8"/>
    <w:rsid w:val="007E31CD"/>
    <w:rsid w:val="007E4CDC"/>
    <w:rsid w:val="007E5F46"/>
    <w:rsid w:val="007E7B9E"/>
    <w:rsid w:val="007F3E2B"/>
    <w:rsid w:val="00803316"/>
    <w:rsid w:val="00804B0E"/>
    <w:rsid w:val="008103A8"/>
    <w:rsid w:val="0081347F"/>
    <w:rsid w:val="00821625"/>
    <w:rsid w:val="0082446B"/>
    <w:rsid w:val="00827491"/>
    <w:rsid w:val="008302FE"/>
    <w:rsid w:val="00832947"/>
    <w:rsid w:val="0083415B"/>
    <w:rsid w:val="00834307"/>
    <w:rsid w:val="00834342"/>
    <w:rsid w:val="00842730"/>
    <w:rsid w:val="008454A4"/>
    <w:rsid w:val="008473D9"/>
    <w:rsid w:val="0085405E"/>
    <w:rsid w:val="008571DC"/>
    <w:rsid w:val="00870737"/>
    <w:rsid w:val="00871F43"/>
    <w:rsid w:val="00872C6A"/>
    <w:rsid w:val="0087682A"/>
    <w:rsid w:val="00877F51"/>
    <w:rsid w:val="00896B72"/>
    <w:rsid w:val="008A5C2D"/>
    <w:rsid w:val="008A5FEF"/>
    <w:rsid w:val="008B1967"/>
    <w:rsid w:val="008B2AE3"/>
    <w:rsid w:val="008B3790"/>
    <w:rsid w:val="008B4602"/>
    <w:rsid w:val="008B63B6"/>
    <w:rsid w:val="008C7AD1"/>
    <w:rsid w:val="008D2EB0"/>
    <w:rsid w:val="008E09B6"/>
    <w:rsid w:val="008E4CC6"/>
    <w:rsid w:val="008E71E0"/>
    <w:rsid w:val="008F04B1"/>
    <w:rsid w:val="008F60C6"/>
    <w:rsid w:val="009061CF"/>
    <w:rsid w:val="009120C4"/>
    <w:rsid w:val="009135B7"/>
    <w:rsid w:val="00930423"/>
    <w:rsid w:val="00930ECF"/>
    <w:rsid w:val="009322C0"/>
    <w:rsid w:val="00933DC6"/>
    <w:rsid w:val="009423B4"/>
    <w:rsid w:val="00945B79"/>
    <w:rsid w:val="0094741D"/>
    <w:rsid w:val="00950931"/>
    <w:rsid w:val="00953170"/>
    <w:rsid w:val="009560CD"/>
    <w:rsid w:val="00960E82"/>
    <w:rsid w:val="00976757"/>
    <w:rsid w:val="009838BC"/>
    <w:rsid w:val="00994314"/>
    <w:rsid w:val="009A0785"/>
    <w:rsid w:val="009A0A07"/>
    <w:rsid w:val="009A1B50"/>
    <w:rsid w:val="009B0F0C"/>
    <w:rsid w:val="009B5A07"/>
    <w:rsid w:val="009C46FD"/>
    <w:rsid w:val="009C7271"/>
    <w:rsid w:val="009D2F73"/>
    <w:rsid w:val="009D361F"/>
    <w:rsid w:val="009D5706"/>
    <w:rsid w:val="009E703B"/>
    <w:rsid w:val="009E70CB"/>
    <w:rsid w:val="00A018C5"/>
    <w:rsid w:val="00A04201"/>
    <w:rsid w:val="00A11F7E"/>
    <w:rsid w:val="00A23273"/>
    <w:rsid w:val="00A23982"/>
    <w:rsid w:val="00A26E0F"/>
    <w:rsid w:val="00A426A6"/>
    <w:rsid w:val="00A44430"/>
    <w:rsid w:val="00A530A3"/>
    <w:rsid w:val="00A53330"/>
    <w:rsid w:val="00A65DF7"/>
    <w:rsid w:val="00A82512"/>
    <w:rsid w:val="00A866AC"/>
    <w:rsid w:val="00A90863"/>
    <w:rsid w:val="00AA03F5"/>
    <w:rsid w:val="00AB2ED7"/>
    <w:rsid w:val="00AB699D"/>
    <w:rsid w:val="00AC00DB"/>
    <w:rsid w:val="00AC3F3D"/>
    <w:rsid w:val="00AC5680"/>
    <w:rsid w:val="00AC7A38"/>
    <w:rsid w:val="00AD017F"/>
    <w:rsid w:val="00AD18BA"/>
    <w:rsid w:val="00AE12BC"/>
    <w:rsid w:val="00AE1A28"/>
    <w:rsid w:val="00AE3359"/>
    <w:rsid w:val="00AE5FA3"/>
    <w:rsid w:val="00B038EB"/>
    <w:rsid w:val="00B0570A"/>
    <w:rsid w:val="00B07381"/>
    <w:rsid w:val="00B1106B"/>
    <w:rsid w:val="00B16ACF"/>
    <w:rsid w:val="00B17585"/>
    <w:rsid w:val="00B2241A"/>
    <w:rsid w:val="00B45C5D"/>
    <w:rsid w:val="00B47924"/>
    <w:rsid w:val="00B5086A"/>
    <w:rsid w:val="00B5779E"/>
    <w:rsid w:val="00B76D5C"/>
    <w:rsid w:val="00B80854"/>
    <w:rsid w:val="00B9233A"/>
    <w:rsid w:val="00BA5EC1"/>
    <w:rsid w:val="00BB23E9"/>
    <w:rsid w:val="00BB5719"/>
    <w:rsid w:val="00BC767F"/>
    <w:rsid w:val="00BD076D"/>
    <w:rsid w:val="00BD7197"/>
    <w:rsid w:val="00BE1D98"/>
    <w:rsid w:val="00BF492A"/>
    <w:rsid w:val="00C021C8"/>
    <w:rsid w:val="00C0281C"/>
    <w:rsid w:val="00C0409C"/>
    <w:rsid w:val="00C04EBC"/>
    <w:rsid w:val="00C05D47"/>
    <w:rsid w:val="00C06EE4"/>
    <w:rsid w:val="00C13A13"/>
    <w:rsid w:val="00C16154"/>
    <w:rsid w:val="00C16D24"/>
    <w:rsid w:val="00C23F1A"/>
    <w:rsid w:val="00C24C5F"/>
    <w:rsid w:val="00C26786"/>
    <w:rsid w:val="00C3081E"/>
    <w:rsid w:val="00C373AB"/>
    <w:rsid w:val="00C4042C"/>
    <w:rsid w:val="00C44427"/>
    <w:rsid w:val="00C460C9"/>
    <w:rsid w:val="00C50EBF"/>
    <w:rsid w:val="00C530D0"/>
    <w:rsid w:val="00C576F0"/>
    <w:rsid w:val="00C66D1D"/>
    <w:rsid w:val="00C710E0"/>
    <w:rsid w:val="00C8010B"/>
    <w:rsid w:val="00C80D94"/>
    <w:rsid w:val="00C8359B"/>
    <w:rsid w:val="00C847FD"/>
    <w:rsid w:val="00CA0717"/>
    <w:rsid w:val="00CA1BA1"/>
    <w:rsid w:val="00CA316D"/>
    <w:rsid w:val="00CA3C7A"/>
    <w:rsid w:val="00CB6D42"/>
    <w:rsid w:val="00CC0210"/>
    <w:rsid w:val="00CC46AA"/>
    <w:rsid w:val="00CC4A75"/>
    <w:rsid w:val="00CC4C1E"/>
    <w:rsid w:val="00CC62D8"/>
    <w:rsid w:val="00CD4064"/>
    <w:rsid w:val="00CD40D8"/>
    <w:rsid w:val="00CD6BCE"/>
    <w:rsid w:val="00CE447E"/>
    <w:rsid w:val="00CE77C6"/>
    <w:rsid w:val="00CF4485"/>
    <w:rsid w:val="00CF4F21"/>
    <w:rsid w:val="00CF5D99"/>
    <w:rsid w:val="00D00C2E"/>
    <w:rsid w:val="00D01D05"/>
    <w:rsid w:val="00D07551"/>
    <w:rsid w:val="00D115F7"/>
    <w:rsid w:val="00D116C2"/>
    <w:rsid w:val="00D14CC0"/>
    <w:rsid w:val="00D216CD"/>
    <w:rsid w:val="00D260D4"/>
    <w:rsid w:val="00D438C7"/>
    <w:rsid w:val="00D5278C"/>
    <w:rsid w:val="00D54847"/>
    <w:rsid w:val="00D60708"/>
    <w:rsid w:val="00D62FBC"/>
    <w:rsid w:val="00D708CD"/>
    <w:rsid w:val="00D7497F"/>
    <w:rsid w:val="00D77F6C"/>
    <w:rsid w:val="00D77FAE"/>
    <w:rsid w:val="00D92B9C"/>
    <w:rsid w:val="00DA34DD"/>
    <w:rsid w:val="00DA6514"/>
    <w:rsid w:val="00DC32C3"/>
    <w:rsid w:val="00DC3493"/>
    <w:rsid w:val="00DC3725"/>
    <w:rsid w:val="00DC70A8"/>
    <w:rsid w:val="00DE4ABF"/>
    <w:rsid w:val="00DE5A50"/>
    <w:rsid w:val="00DE7B1E"/>
    <w:rsid w:val="00E0389F"/>
    <w:rsid w:val="00E20623"/>
    <w:rsid w:val="00E2331D"/>
    <w:rsid w:val="00E25C28"/>
    <w:rsid w:val="00E342F6"/>
    <w:rsid w:val="00E35711"/>
    <w:rsid w:val="00E3672B"/>
    <w:rsid w:val="00E415F4"/>
    <w:rsid w:val="00E432B8"/>
    <w:rsid w:val="00E50942"/>
    <w:rsid w:val="00E51A89"/>
    <w:rsid w:val="00E54606"/>
    <w:rsid w:val="00E556AA"/>
    <w:rsid w:val="00E572E9"/>
    <w:rsid w:val="00E619D6"/>
    <w:rsid w:val="00E63E39"/>
    <w:rsid w:val="00E64CE6"/>
    <w:rsid w:val="00E6719E"/>
    <w:rsid w:val="00E679CD"/>
    <w:rsid w:val="00E70943"/>
    <w:rsid w:val="00E7470B"/>
    <w:rsid w:val="00E813A7"/>
    <w:rsid w:val="00EA3A22"/>
    <w:rsid w:val="00EB3799"/>
    <w:rsid w:val="00ED1241"/>
    <w:rsid w:val="00ED2AC4"/>
    <w:rsid w:val="00ED32C7"/>
    <w:rsid w:val="00EE03EA"/>
    <w:rsid w:val="00EE3B42"/>
    <w:rsid w:val="00EE568B"/>
    <w:rsid w:val="00EE65ED"/>
    <w:rsid w:val="00EF299B"/>
    <w:rsid w:val="00F10C9D"/>
    <w:rsid w:val="00F11B64"/>
    <w:rsid w:val="00F142E2"/>
    <w:rsid w:val="00F25E01"/>
    <w:rsid w:val="00F2676B"/>
    <w:rsid w:val="00F336F1"/>
    <w:rsid w:val="00F46084"/>
    <w:rsid w:val="00F46420"/>
    <w:rsid w:val="00F54DE1"/>
    <w:rsid w:val="00F61613"/>
    <w:rsid w:val="00F70187"/>
    <w:rsid w:val="00F9008E"/>
    <w:rsid w:val="00F9389F"/>
    <w:rsid w:val="00FA07D6"/>
    <w:rsid w:val="00FA3C30"/>
    <w:rsid w:val="00FB2BBF"/>
    <w:rsid w:val="00FB4D77"/>
    <w:rsid w:val="00FC3D46"/>
    <w:rsid w:val="00FC5A96"/>
    <w:rsid w:val="00FC7A60"/>
    <w:rsid w:val="00FD3FFD"/>
    <w:rsid w:val="00FD42AF"/>
    <w:rsid w:val="00FE0C05"/>
    <w:rsid w:val="00FE52EB"/>
    <w:rsid w:val="00FE6A0C"/>
    <w:rsid w:val="00FF0304"/>
    <w:rsid w:val="00FF31BD"/>
    <w:rsid w:val="00FF473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B297AF8-2986-4B73-BAC4-9FE8FBF9A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625"/>
    <w:pPr>
      <w:widowControl w:val="0"/>
    </w:pPr>
    <w:rPr>
      <w:snapToGrid w:val="0"/>
      <w:kern w:val="28"/>
      <w:sz w:val="22"/>
      <w:lang w:eastAsia="en-US"/>
    </w:rPr>
  </w:style>
  <w:style w:type="paragraph" w:styleId="Heading1">
    <w:name w:val="heading 1"/>
    <w:basedOn w:val="Normal"/>
    <w:next w:val="ParaNum"/>
    <w:qFormat/>
    <w:rsid w:val="0082162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21625"/>
    <w:pPr>
      <w:keepNext/>
      <w:numPr>
        <w:ilvl w:val="1"/>
        <w:numId w:val="3"/>
      </w:numPr>
      <w:spacing w:after="120"/>
      <w:outlineLvl w:val="1"/>
    </w:pPr>
    <w:rPr>
      <w:b/>
    </w:rPr>
  </w:style>
  <w:style w:type="paragraph" w:styleId="Heading3">
    <w:name w:val="heading 3"/>
    <w:basedOn w:val="Normal"/>
    <w:next w:val="ParaNum"/>
    <w:qFormat/>
    <w:rsid w:val="00821625"/>
    <w:pPr>
      <w:keepNext/>
      <w:numPr>
        <w:ilvl w:val="2"/>
        <w:numId w:val="3"/>
      </w:numPr>
      <w:tabs>
        <w:tab w:val="left" w:pos="2160"/>
      </w:tabs>
      <w:spacing w:after="120"/>
      <w:outlineLvl w:val="2"/>
    </w:pPr>
    <w:rPr>
      <w:b/>
    </w:rPr>
  </w:style>
  <w:style w:type="paragraph" w:styleId="Heading4">
    <w:name w:val="heading 4"/>
    <w:basedOn w:val="Normal"/>
    <w:next w:val="ParaNum"/>
    <w:qFormat/>
    <w:rsid w:val="00821625"/>
    <w:pPr>
      <w:keepNext/>
      <w:numPr>
        <w:ilvl w:val="3"/>
        <w:numId w:val="3"/>
      </w:numPr>
      <w:tabs>
        <w:tab w:val="left" w:pos="2880"/>
      </w:tabs>
      <w:spacing w:after="120"/>
      <w:outlineLvl w:val="3"/>
    </w:pPr>
    <w:rPr>
      <w:b/>
    </w:rPr>
  </w:style>
  <w:style w:type="paragraph" w:styleId="Heading5">
    <w:name w:val="heading 5"/>
    <w:basedOn w:val="Normal"/>
    <w:next w:val="ParaNum"/>
    <w:qFormat/>
    <w:rsid w:val="0082162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21625"/>
    <w:pPr>
      <w:numPr>
        <w:ilvl w:val="5"/>
        <w:numId w:val="3"/>
      </w:numPr>
      <w:tabs>
        <w:tab w:val="left" w:pos="4320"/>
      </w:tabs>
      <w:spacing w:after="120"/>
      <w:outlineLvl w:val="5"/>
    </w:pPr>
    <w:rPr>
      <w:b/>
    </w:rPr>
  </w:style>
  <w:style w:type="paragraph" w:styleId="Heading7">
    <w:name w:val="heading 7"/>
    <w:basedOn w:val="Normal"/>
    <w:next w:val="ParaNum"/>
    <w:qFormat/>
    <w:rsid w:val="0082162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2162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2162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8216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821625"/>
  </w:style>
  <w:style w:type="paragraph" w:customStyle="1" w:styleId="ParaNum">
    <w:name w:val="ParaNum"/>
    <w:basedOn w:val="Normal"/>
    <w:rsid w:val="00821625"/>
    <w:pPr>
      <w:numPr>
        <w:numId w:val="2"/>
      </w:numPr>
      <w:tabs>
        <w:tab w:val="clear" w:pos="1080"/>
        <w:tab w:val="num" w:pos="1440"/>
      </w:tabs>
      <w:spacing w:after="120"/>
    </w:pPr>
  </w:style>
  <w:style w:type="paragraph" w:styleId="EndnoteText">
    <w:name w:val="endnote text"/>
    <w:basedOn w:val="Normal"/>
    <w:semiHidden/>
    <w:rsid w:val="00821625"/>
    <w:rPr>
      <w:sz w:val="20"/>
    </w:rPr>
  </w:style>
  <w:style w:type="character" w:styleId="EndnoteReference">
    <w:name w:val="endnote reference"/>
    <w:semiHidden/>
    <w:rsid w:val="00821625"/>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rsid w:val="00821625"/>
    <w:pPr>
      <w:spacing w:after="120"/>
    </w:pPr>
    <w:rPr>
      <w:lang w:eastAsia="en-US"/>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821625"/>
    <w:rPr>
      <w:rFonts w:ascii="Times New Roman" w:hAnsi="Times New Roman"/>
      <w:dstrike w:val="0"/>
      <w:color w:val="auto"/>
      <w:sz w:val="22"/>
      <w:vertAlign w:val="superscript"/>
    </w:rPr>
  </w:style>
  <w:style w:type="paragraph" w:styleId="TOC1">
    <w:name w:val="toc 1"/>
    <w:basedOn w:val="Normal"/>
    <w:next w:val="Normal"/>
    <w:uiPriority w:val="39"/>
    <w:rsid w:val="0082162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21625"/>
    <w:pPr>
      <w:tabs>
        <w:tab w:val="left" w:pos="720"/>
        <w:tab w:val="right" w:leader="dot" w:pos="9360"/>
      </w:tabs>
      <w:suppressAutoHyphens/>
      <w:ind w:left="720" w:right="720" w:hanging="360"/>
    </w:pPr>
    <w:rPr>
      <w:noProof/>
    </w:rPr>
  </w:style>
  <w:style w:type="paragraph" w:styleId="TOC3">
    <w:name w:val="toc 3"/>
    <w:basedOn w:val="Normal"/>
    <w:next w:val="Normal"/>
    <w:semiHidden/>
    <w:rsid w:val="0082162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2162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2162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2162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2162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2162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2162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21625"/>
    <w:pPr>
      <w:tabs>
        <w:tab w:val="right" w:pos="9360"/>
      </w:tabs>
      <w:suppressAutoHyphens/>
    </w:pPr>
  </w:style>
  <w:style w:type="character" w:customStyle="1" w:styleId="EquationCaption">
    <w:name w:val="_Equation Caption"/>
    <w:rsid w:val="00821625"/>
  </w:style>
  <w:style w:type="paragraph" w:styleId="Header">
    <w:name w:val="header"/>
    <w:basedOn w:val="Normal"/>
    <w:autoRedefine/>
    <w:rsid w:val="00821625"/>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821625"/>
    <w:pPr>
      <w:tabs>
        <w:tab w:val="center" w:pos="4320"/>
        <w:tab w:val="right" w:pos="8640"/>
      </w:tabs>
    </w:pPr>
  </w:style>
  <w:style w:type="character" w:styleId="PageNumber">
    <w:name w:val="page number"/>
    <w:basedOn w:val="DefaultParagraphFont"/>
    <w:rsid w:val="00821625"/>
  </w:style>
  <w:style w:type="paragraph" w:styleId="BlockText">
    <w:name w:val="Block Text"/>
    <w:basedOn w:val="Normal"/>
    <w:rsid w:val="00821625"/>
    <w:pPr>
      <w:spacing w:after="240"/>
      <w:ind w:left="1440" w:right="1440"/>
    </w:pPr>
  </w:style>
  <w:style w:type="paragraph" w:customStyle="1" w:styleId="Paratitle">
    <w:name w:val="Para title"/>
    <w:basedOn w:val="Normal"/>
    <w:rsid w:val="00821625"/>
    <w:pPr>
      <w:tabs>
        <w:tab w:val="center" w:pos="9270"/>
      </w:tabs>
      <w:spacing w:after="240"/>
    </w:pPr>
    <w:rPr>
      <w:spacing w:val="-2"/>
    </w:rPr>
  </w:style>
  <w:style w:type="paragraph" w:customStyle="1" w:styleId="Bullet">
    <w:name w:val="Bullet"/>
    <w:basedOn w:val="Normal"/>
    <w:rsid w:val="00821625"/>
    <w:pPr>
      <w:numPr>
        <w:numId w:val="1"/>
      </w:numPr>
      <w:tabs>
        <w:tab w:val="clear" w:pos="360"/>
        <w:tab w:val="left" w:pos="2160"/>
      </w:tabs>
      <w:spacing w:after="220"/>
      <w:ind w:left="2160" w:hanging="720"/>
    </w:pPr>
  </w:style>
  <w:style w:type="paragraph" w:customStyle="1" w:styleId="TableFormat">
    <w:name w:val="TableFormat"/>
    <w:basedOn w:val="Bullet"/>
    <w:rsid w:val="00821625"/>
    <w:pPr>
      <w:numPr>
        <w:numId w:val="0"/>
      </w:numPr>
      <w:tabs>
        <w:tab w:val="clear" w:pos="2160"/>
        <w:tab w:val="left" w:pos="5040"/>
      </w:tabs>
      <w:ind w:left="5040" w:hanging="3600"/>
    </w:pPr>
  </w:style>
  <w:style w:type="paragraph" w:customStyle="1" w:styleId="TOCTitle">
    <w:name w:val="TOC Title"/>
    <w:basedOn w:val="Normal"/>
    <w:rsid w:val="0082162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21625"/>
    <w:pPr>
      <w:jc w:val="center"/>
    </w:pPr>
    <w:rPr>
      <w:rFonts w:ascii="Times New Roman Bold" w:hAnsi="Times New Roman Bold"/>
      <w:b/>
      <w:bCs/>
      <w:caps/>
      <w:szCs w:val="22"/>
    </w:rPr>
  </w:style>
  <w:style w:type="character" w:styleId="Hyperlink">
    <w:name w:val="Hyperlink"/>
    <w:rsid w:val="00821625"/>
    <w:rPr>
      <w:color w:val="0000FF"/>
      <w:u w:val="single"/>
    </w:rPr>
  </w:style>
  <w:style w:type="character" w:customStyle="1" w:styleId="FooterChar">
    <w:name w:val="Footer Char"/>
    <w:link w:val="Footer"/>
    <w:uiPriority w:val="99"/>
    <w:rsid w:val="00821625"/>
    <w:rPr>
      <w:snapToGrid w:val="0"/>
      <w:kern w:val="28"/>
      <w:sz w:val="22"/>
      <w:lang w:eastAsia="en-US"/>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locked/>
    <w:rsid w:val="00016FA4"/>
    <w:rPr>
      <w:lang w:eastAsia="en-US"/>
    </w:rPr>
  </w:style>
  <w:style w:type="character" w:styleId="Emphasis">
    <w:name w:val="Emphasis"/>
    <w:uiPriority w:val="20"/>
    <w:qFormat/>
    <w:rsid w:val="00016FA4"/>
    <w:rPr>
      <w:i/>
      <w:iCs/>
    </w:rPr>
  </w:style>
  <w:style w:type="character" w:customStyle="1" w:styleId="cosearchterm">
    <w:name w:val="co_searchterm"/>
    <w:rsid w:val="00016FA4"/>
  </w:style>
  <w:style w:type="character" w:styleId="FollowedHyperlink">
    <w:name w:val="FollowedHyperlink"/>
    <w:uiPriority w:val="99"/>
    <w:semiHidden/>
    <w:unhideWhenUsed/>
    <w:rsid w:val="00CB6D42"/>
    <w:rPr>
      <w:color w:val="954F72"/>
      <w:u w:val="single"/>
    </w:rPr>
  </w:style>
  <w:style w:type="paragraph" w:styleId="BalloonText">
    <w:name w:val="Balloon Text"/>
    <w:basedOn w:val="Normal"/>
    <w:link w:val="BalloonTextChar"/>
    <w:uiPriority w:val="99"/>
    <w:semiHidden/>
    <w:unhideWhenUsed/>
    <w:rsid w:val="004B5558"/>
    <w:rPr>
      <w:rFonts w:ascii="Segoe UI" w:hAnsi="Segoe UI" w:cs="Segoe UI"/>
      <w:sz w:val="18"/>
      <w:szCs w:val="18"/>
    </w:rPr>
  </w:style>
  <w:style w:type="character" w:customStyle="1" w:styleId="BalloonTextChar">
    <w:name w:val="Balloon Text Char"/>
    <w:link w:val="BalloonText"/>
    <w:uiPriority w:val="99"/>
    <w:semiHidden/>
    <w:rsid w:val="004B5558"/>
    <w:rPr>
      <w:rFonts w:ascii="Segoe UI" w:hAnsi="Segoe UI" w:cs="Segoe UI"/>
      <w:snapToGrid w:val="0"/>
      <w:kern w:val="28"/>
      <w:sz w:val="18"/>
      <w:szCs w:val="18"/>
    </w:rPr>
  </w:style>
  <w:style w:type="character" w:styleId="CommentReference">
    <w:name w:val="annotation reference"/>
    <w:uiPriority w:val="99"/>
    <w:semiHidden/>
    <w:unhideWhenUsed/>
    <w:rsid w:val="00306EEF"/>
    <w:rPr>
      <w:sz w:val="16"/>
      <w:szCs w:val="16"/>
    </w:rPr>
  </w:style>
  <w:style w:type="paragraph" w:styleId="CommentText">
    <w:name w:val="annotation text"/>
    <w:basedOn w:val="Normal"/>
    <w:link w:val="CommentTextChar"/>
    <w:uiPriority w:val="99"/>
    <w:semiHidden/>
    <w:unhideWhenUsed/>
    <w:rsid w:val="00306EEF"/>
    <w:rPr>
      <w:sz w:val="20"/>
    </w:rPr>
  </w:style>
  <w:style w:type="character" w:customStyle="1" w:styleId="CommentTextChar">
    <w:name w:val="Comment Text Char"/>
    <w:link w:val="CommentText"/>
    <w:uiPriority w:val="99"/>
    <w:semiHidden/>
    <w:rsid w:val="00306EEF"/>
    <w:rPr>
      <w:snapToGrid w:val="0"/>
      <w:kern w:val="28"/>
    </w:rPr>
  </w:style>
  <w:style w:type="paragraph" w:styleId="CommentSubject">
    <w:name w:val="annotation subject"/>
    <w:basedOn w:val="CommentText"/>
    <w:next w:val="CommentText"/>
    <w:link w:val="CommentSubjectChar"/>
    <w:uiPriority w:val="99"/>
    <w:semiHidden/>
    <w:unhideWhenUsed/>
    <w:rsid w:val="00306EEF"/>
    <w:rPr>
      <w:b/>
      <w:bCs/>
    </w:rPr>
  </w:style>
  <w:style w:type="character" w:customStyle="1" w:styleId="CommentSubjectChar">
    <w:name w:val="Comment Subject Char"/>
    <w:link w:val="CommentSubject"/>
    <w:uiPriority w:val="99"/>
    <w:semiHidden/>
    <w:rsid w:val="00306EEF"/>
    <w:rPr>
      <w:b/>
      <w:bCs/>
      <w:snapToGrid w:val="0"/>
      <w:kern w:val="28"/>
    </w:rPr>
  </w:style>
  <w:style w:type="character" w:customStyle="1" w:styleId="UnresolvedMention1">
    <w:name w:val="Unresolved Mention1"/>
    <w:uiPriority w:val="99"/>
    <w:semiHidden/>
    <w:unhideWhenUsed/>
    <w:rsid w:val="00346506"/>
    <w:rPr>
      <w:color w:val="605E5C"/>
      <w:shd w:val="clear" w:color="auto" w:fill="E1DFDD"/>
    </w:rPr>
  </w:style>
  <w:style w:type="paragraph" w:styleId="Revision">
    <w:name w:val="Revision"/>
    <w:hidden/>
    <w:uiPriority w:val="99"/>
    <w:semiHidden/>
    <w:rsid w:val="00653788"/>
    <w:rPr>
      <w:snapToGrid w:val="0"/>
      <w:kern w:val="28"/>
      <w:sz w:val="22"/>
      <w:lang w:eastAsia="en-US"/>
    </w:rPr>
  </w:style>
  <w:style w:type="character" w:customStyle="1" w:styleId="UnresolvedMention2">
    <w:name w:val="Unresolved Mention2"/>
    <w:basedOn w:val="DefaultParagraphFont"/>
    <w:uiPriority w:val="99"/>
    <w:rsid w:val="00912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high-cost/resources/tools/" TargetMode="External" /><Relationship Id="rId2" Type="http://schemas.openxmlformats.org/officeDocument/2006/relationships/hyperlink" Target="https://1.next.westlaw.com/Link/Document/FullText?findType=Y&amp;serNum=2038616709&amp;pubNum=0004493&amp;originatingDoc=Idcc3b94a658d11ea96bae63bc27a1895&amp;refType=CA&amp;fi=co_pp_sp_4493_3090&amp;originationContext=document&amp;transitionType=DocumentItem&amp;contextData=(sc.Search)" TargetMode="External" /><Relationship Id="rId3" Type="http://schemas.openxmlformats.org/officeDocument/2006/relationships/hyperlink" Target="https://1.next.westlaw.com/Link/Document/FullText?findType=Y&amp;serNum=2047117512&amp;pubNum=0004493&amp;originatingDoc=I220c6c55c66b11e9b8aeecdeb6661cf4&amp;refType=CA&amp;fi=co_pp_sp_4493_11898&amp;originationContext=document&amp;transitionType=DocumentItem&amp;contextData=(sc.Search)" TargetMode="External" /><Relationship Id="rId4" Type="http://schemas.openxmlformats.org/officeDocument/2006/relationships/hyperlink" Target="https://1.next.westlaw.com/Link/Document/FullText?findType=L&amp;pubNum=1000546&amp;cite=47USCAS214&amp;originatingDoc=Ida288106795811e8bbbcd57aa014637b&amp;refType=RB&amp;originationContext=document&amp;transitionType=DocumentItem&amp;contextData=(sc.Search)" TargetMode="External" /><Relationship Id="rId5" Type="http://schemas.openxmlformats.org/officeDocument/2006/relationships/hyperlink" Target="https://1.next.westlaw.com/Link/Document/FullText?findType=L&amp;pubNum=1000547&amp;cite=47CFRS63.03&amp;originatingDoc=Ida288106795811e8bbbcd57aa014637b&amp;refType=LQ&amp;originationContext=document&amp;transitionType=DocumentItem&amp;contextData=(sc.Search)"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