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EF7821" w:rsidP="00013A8B" w14:paraId="358592DB" w14:textId="60A6FFB8">
      <w:pPr>
        <w:jc w:val="right"/>
        <w:rPr>
          <w:b/>
          <w:szCs w:val="22"/>
        </w:rPr>
      </w:pPr>
      <w:bookmarkStart w:id="0" w:name="_GoBack"/>
      <w:bookmarkEnd w:id="0"/>
      <w:r w:rsidRPr="00EF7821">
        <w:rPr>
          <w:b/>
          <w:szCs w:val="22"/>
        </w:rPr>
        <w:t>DA 20-</w:t>
      </w:r>
      <w:r w:rsidR="00ED08F3">
        <w:rPr>
          <w:b/>
          <w:szCs w:val="22"/>
        </w:rPr>
        <w:t>985</w:t>
      </w:r>
    </w:p>
    <w:p w:rsidR="00013A8B" w:rsidRPr="00EF7821" w:rsidP="00013A8B" w14:paraId="605FA416" w14:textId="2F47471B">
      <w:pPr>
        <w:spacing w:before="60"/>
        <w:jc w:val="right"/>
        <w:rPr>
          <w:b/>
          <w:szCs w:val="22"/>
        </w:rPr>
      </w:pPr>
      <w:r w:rsidRPr="00EF7821">
        <w:rPr>
          <w:b/>
          <w:szCs w:val="22"/>
        </w:rPr>
        <w:t xml:space="preserve">Released:  </w:t>
      </w:r>
      <w:r w:rsidRPr="00EF7821" w:rsidR="006F1A60">
        <w:rPr>
          <w:b/>
          <w:szCs w:val="22"/>
        </w:rPr>
        <w:t xml:space="preserve">August </w:t>
      </w:r>
      <w:r w:rsidR="00175A87">
        <w:rPr>
          <w:b/>
          <w:szCs w:val="22"/>
        </w:rPr>
        <w:t>28</w:t>
      </w:r>
      <w:r w:rsidRPr="00EF7821" w:rsidR="00470A81">
        <w:rPr>
          <w:b/>
          <w:szCs w:val="22"/>
        </w:rPr>
        <w:t>, 2020</w:t>
      </w:r>
    </w:p>
    <w:p w:rsidR="00013A8B" w:rsidRPr="00EF7821" w:rsidP="00013A8B" w14:paraId="5026D99A" w14:textId="77777777">
      <w:pPr>
        <w:jc w:val="right"/>
        <w:rPr>
          <w:szCs w:val="22"/>
        </w:rPr>
      </w:pPr>
    </w:p>
    <w:p w:rsidR="00470A81" w:rsidRPr="00EF7821" w:rsidP="00470A81" w14:paraId="7D76BB37" w14:textId="77777777">
      <w:pPr>
        <w:autoSpaceDE w:val="0"/>
        <w:autoSpaceDN w:val="0"/>
        <w:adjustRightInd w:val="0"/>
        <w:jc w:val="center"/>
        <w:rPr>
          <w:b/>
          <w:szCs w:val="22"/>
        </w:rPr>
      </w:pPr>
      <w:r w:rsidRPr="00EF7821">
        <w:rPr>
          <w:b/>
          <w:szCs w:val="22"/>
        </w:rPr>
        <w:t xml:space="preserve">APPLICATIONS GRANTED FOR THE TRANSFER OF CONTROL OF </w:t>
      </w:r>
    </w:p>
    <w:p w:rsidR="00470A81" w:rsidRPr="00EF7821" w:rsidP="00470A81" w14:paraId="4EF917C1" w14:textId="13BDAEE5">
      <w:pPr>
        <w:autoSpaceDE w:val="0"/>
        <w:autoSpaceDN w:val="0"/>
        <w:adjustRightInd w:val="0"/>
        <w:jc w:val="center"/>
        <w:rPr>
          <w:b/>
          <w:szCs w:val="22"/>
        </w:rPr>
      </w:pPr>
      <w:r w:rsidRPr="00EF7821">
        <w:rPr>
          <w:b/>
          <w:szCs w:val="22"/>
        </w:rPr>
        <w:t>WINDSTREAM HOLDINGS,</w:t>
      </w:r>
      <w:r w:rsidRPr="00EF7821" w:rsidR="00294A6B">
        <w:rPr>
          <w:b/>
          <w:szCs w:val="22"/>
        </w:rPr>
        <w:t xml:space="preserve"> INC.</w:t>
      </w:r>
      <w:r w:rsidRPr="00EF7821" w:rsidR="002809D2">
        <w:rPr>
          <w:b/>
          <w:szCs w:val="22"/>
        </w:rPr>
        <w:t>, DEBTOR-IN-POSSESSION,</w:t>
      </w:r>
      <w:r w:rsidRPr="00EF7821" w:rsidR="00294A6B">
        <w:rPr>
          <w:b/>
          <w:szCs w:val="22"/>
        </w:rPr>
        <w:t xml:space="preserve"> AND SUBSIDIARIES </w:t>
      </w:r>
    </w:p>
    <w:p w:rsidR="00470A81" w:rsidRPr="00EF7821" w:rsidP="00470A81" w14:paraId="45111ACF" w14:textId="77777777">
      <w:pPr>
        <w:autoSpaceDE w:val="0"/>
        <w:autoSpaceDN w:val="0"/>
        <w:adjustRightInd w:val="0"/>
        <w:jc w:val="center"/>
        <w:rPr>
          <w:b/>
          <w:szCs w:val="22"/>
        </w:rPr>
      </w:pPr>
    </w:p>
    <w:p w:rsidR="00470A81" w:rsidP="00470A81" w14:paraId="3C3E4CEB" w14:textId="131B4DE5">
      <w:pPr>
        <w:autoSpaceDE w:val="0"/>
        <w:autoSpaceDN w:val="0"/>
        <w:adjustRightInd w:val="0"/>
        <w:jc w:val="center"/>
        <w:rPr>
          <w:b/>
          <w:szCs w:val="22"/>
        </w:rPr>
      </w:pPr>
      <w:r w:rsidRPr="00EF7821">
        <w:rPr>
          <w:b/>
          <w:szCs w:val="22"/>
        </w:rPr>
        <w:t xml:space="preserve">WC Docket No. </w:t>
      </w:r>
      <w:r w:rsidRPr="00EF7821" w:rsidR="00ED2B7F">
        <w:rPr>
          <w:b/>
          <w:szCs w:val="22"/>
        </w:rPr>
        <w:t>20-151</w:t>
      </w:r>
    </w:p>
    <w:p w:rsidR="00393247" w:rsidRPr="00EF7821" w:rsidP="00470A81" w14:paraId="19880B62" w14:textId="662A5A07">
      <w:pPr>
        <w:autoSpaceDE w:val="0"/>
        <w:autoSpaceDN w:val="0"/>
        <w:adjustRightInd w:val="0"/>
        <w:jc w:val="center"/>
        <w:rPr>
          <w:b/>
          <w:szCs w:val="22"/>
        </w:rPr>
      </w:pPr>
      <w:r>
        <w:rPr>
          <w:b/>
          <w:szCs w:val="22"/>
        </w:rPr>
        <w:t>AU Docket No. 19-244</w:t>
      </w:r>
    </w:p>
    <w:p w:rsidR="00470A81" w:rsidRPr="00EF7821" w:rsidP="00470A81" w14:paraId="3D19A56B" w14:textId="77777777">
      <w:pPr>
        <w:autoSpaceDE w:val="0"/>
        <w:autoSpaceDN w:val="0"/>
        <w:adjustRightInd w:val="0"/>
        <w:jc w:val="center"/>
        <w:rPr>
          <w:b/>
          <w:szCs w:val="22"/>
        </w:rPr>
      </w:pPr>
    </w:p>
    <w:p w:rsidR="00393247" w:rsidP="00784B5B" w14:paraId="24239510" w14:textId="38FD81A8">
      <w:pPr>
        <w:widowControl/>
        <w:autoSpaceDE w:val="0"/>
        <w:autoSpaceDN w:val="0"/>
        <w:adjustRightInd w:val="0"/>
        <w:rPr>
          <w:szCs w:val="22"/>
        </w:rPr>
      </w:pPr>
      <w:r w:rsidRPr="00EF7821">
        <w:rPr>
          <w:b/>
          <w:szCs w:val="22"/>
        </w:rPr>
        <w:t xml:space="preserve"> </w:t>
      </w:r>
      <w:r w:rsidRPr="00EF7821">
        <w:rPr>
          <w:b/>
          <w:szCs w:val="22"/>
        </w:rPr>
        <w:tab/>
      </w:r>
      <w:r w:rsidRPr="00EF7821">
        <w:rPr>
          <w:color w:val="000000"/>
          <w:szCs w:val="22"/>
        </w:rPr>
        <w:t xml:space="preserve">By this Public Notice, </w:t>
      </w:r>
      <w:r w:rsidRPr="00EF7821">
        <w:rPr>
          <w:szCs w:val="22"/>
        </w:rPr>
        <w:t>the Wireline Competition Bureau</w:t>
      </w:r>
      <w:r w:rsidRPr="00EF7821" w:rsidR="00ED2B7F">
        <w:rPr>
          <w:szCs w:val="22"/>
        </w:rPr>
        <w:t xml:space="preserve">, </w:t>
      </w:r>
      <w:r w:rsidRPr="00EF7821">
        <w:rPr>
          <w:szCs w:val="22"/>
        </w:rPr>
        <w:t>International Bureau</w:t>
      </w:r>
      <w:r w:rsidRPr="00EF7821" w:rsidR="00ED2B7F">
        <w:rPr>
          <w:szCs w:val="22"/>
        </w:rPr>
        <w:t xml:space="preserve">, </w:t>
      </w:r>
      <w:r w:rsidRPr="00EF7821" w:rsidR="005A655F">
        <w:rPr>
          <w:szCs w:val="22"/>
        </w:rPr>
        <w:t>and Wireless Telecommunications Bureau</w:t>
      </w:r>
      <w:r w:rsidRPr="00EF7821">
        <w:rPr>
          <w:szCs w:val="22"/>
        </w:rPr>
        <w:t xml:space="preserve"> (Bureaus) </w:t>
      </w:r>
      <w:r w:rsidRPr="00EF7821">
        <w:rPr>
          <w:color w:val="000000"/>
          <w:szCs w:val="22"/>
        </w:rPr>
        <w:t xml:space="preserve">grant </w:t>
      </w:r>
      <w:r w:rsidRPr="00EF7821" w:rsidR="0084763B">
        <w:rPr>
          <w:color w:val="000000"/>
          <w:szCs w:val="22"/>
        </w:rPr>
        <w:t xml:space="preserve">the </w:t>
      </w:r>
      <w:r w:rsidR="00DB0754">
        <w:rPr>
          <w:color w:val="000000"/>
          <w:szCs w:val="22"/>
        </w:rPr>
        <w:t xml:space="preserve">unopposed </w:t>
      </w:r>
      <w:r w:rsidRPr="00EF7821">
        <w:rPr>
          <w:color w:val="000000"/>
          <w:szCs w:val="22"/>
        </w:rPr>
        <w:t xml:space="preserve">applications filed by </w:t>
      </w:r>
      <w:r w:rsidRPr="00EF7821" w:rsidR="00ED2B7F">
        <w:rPr>
          <w:snapToGrid/>
          <w:kern w:val="0"/>
          <w:szCs w:val="22"/>
        </w:rPr>
        <w:t>Windstream Holdings, Inc</w:t>
      </w:r>
      <w:r w:rsidRPr="00EF7821" w:rsidR="00CB2DB7">
        <w:rPr>
          <w:snapToGrid/>
          <w:kern w:val="0"/>
          <w:szCs w:val="22"/>
        </w:rPr>
        <w:t>.</w:t>
      </w:r>
      <w:r w:rsidRPr="00EF7821" w:rsidR="00ED2B7F">
        <w:rPr>
          <w:snapToGrid/>
          <w:kern w:val="0"/>
          <w:szCs w:val="22"/>
        </w:rPr>
        <w:t>, Debtor-in Possession (Holdings), its subsidiary Windstream Services, LLC (Windstream), and post-bankruptcy Windstream Holdings, Inc.</w:t>
      </w:r>
      <w:r w:rsidRPr="00EF7821" w:rsidR="0001788D">
        <w:rPr>
          <w:snapToGrid/>
          <w:kern w:val="0"/>
          <w:szCs w:val="22"/>
        </w:rPr>
        <w:t>, reorganized as Windstream Holdings LLC</w:t>
      </w:r>
      <w:r w:rsidRPr="00EF7821" w:rsidR="00ED2B7F">
        <w:rPr>
          <w:snapToGrid/>
          <w:kern w:val="0"/>
          <w:szCs w:val="22"/>
        </w:rPr>
        <w:t xml:space="preserve"> (New Windstream, and together with Holdings, Applicants)</w:t>
      </w:r>
      <w:r w:rsidR="007928E0">
        <w:rPr>
          <w:snapToGrid/>
          <w:kern w:val="0"/>
          <w:szCs w:val="22"/>
        </w:rPr>
        <w:t>,</w:t>
      </w:r>
      <w:r w:rsidRPr="00EF7821" w:rsidR="00ED2B7F">
        <w:rPr>
          <w:snapToGrid/>
          <w:kern w:val="0"/>
          <w:szCs w:val="22"/>
        </w:rPr>
        <w:t xml:space="preserve"> for consent to transfer control </w:t>
      </w:r>
      <w:r w:rsidR="00D3040B">
        <w:rPr>
          <w:snapToGrid/>
          <w:kern w:val="0"/>
          <w:szCs w:val="22"/>
        </w:rPr>
        <w:t>and assign</w:t>
      </w:r>
      <w:r w:rsidRPr="00EF7821" w:rsidR="00ED2B7F">
        <w:rPr>
          <w:snapToGrid/>
          <w:kern w:val="0"/>
          <w:szCs w:val="22"/>
        </w:rPr>
        <w:t xml:space="preserve"> licenses and authorizations held by Windstream and its subsidiaries to </w:t>
      </w:r>
      <w:r w:rsidRPr="00EF7821" w:rsidR="005A655F">
        <w:rPr>
          <w:snapToGrid/>
          <w:kern w:val="0"/>
          <w:szCs w:val="22"/>
        </w:rPr>
        <w:t>New Windstream.</w:t>
      </w:r>
      <w:r>
        <w:rPr>
          <w:rStyle w:val="FootnoteReference"/>
          <w:snapToGrid/>
          <w:kern w:val="0"/>
          <w:szCs w:val="22"/>
        </w:rPr>
        <w:footnoteReference w:id="3"/>
      </w:r>
      <w:r w:rsidRPr="00EF7821" w:rsidR="005A655F">
        <w:rPr>
          <w:snapToGrid/>
          <w:kern w:val="0"/>
          <w:szCs w:val="22"/>
        </w:rPr>
        <w:t xml:space="preserve">  </w:t>
      </w:r>
      <w:r w:rsidRPr="00EF7821" w:rsidR="009665B6">
        <w:rPr>
          <w:szCs w:val="22"/>
        </w:rPr>
        <w:t xml:space="preserve">In addition, the Bureaus grant </w:t>
      </w:r>
      <w:r w:rsidR="009665B6">
        <w:rPr>
          <w:szCs w:val="22"/>
        </w:rPr>
        <w:t xml:space="preserve">the </w:t>
      </w:r>
      <w:r w:rsidRPr="00EF7821" w:rsidR="009665B6">
        <w:rPr>
          <w:szCs w:val="22"/>
        </w:rPr>
        <w:t>Applicants’</w:t>
      </w:r>
      <w:r w:rsidRPr="00EF7821" w:rsidR="009665B6">
        <w:rPr>
          <w:snapToGrid/>
          <w:kern w:val="0"/>
          <w:szCs w:val="22"/>
        </w:rPr>
        <w:t xml:space="preserve"> unopposed request for a temporary and limited waiver of sections 1.948,</w:t>
      </w:r>
      <w:r w:rsidR="0073557D">
        <w:rPr>
          <w:snapToGrid/>
          <w:kern w:val="0"/>
          <w:szCs w:val="22"/>
        </w:rPr>
        <w:t xml:space="preserve"> </w:t>
      </w:r>
      <w:r w:rsidRPr="00EF7821" w:rsidR="009665B6">
        <w:rPr>
          <w:snapToGrid/>
          <w:kern w:val="0"/>
          <w:szCs w:val="22"/>
        </w:rPr>
        <w:t xml:space="preserve">1.5000(a)(1), 63.03, 63.04, 63.18, and 63.24 of the </w:t>
      </w:r>
      <w:r w:rsidR="00175A87">
        <w:rPr>
          <w:snapToGrid/>
          <w:kern w:val="0"/>
          <w:szCs w:val="22"/>
        </w:rPr>
        <w:t xml:space="preserve">Federal Communications </w:t>
      </w:r>
      <w:r w:rsidRPr="00EF7821" w:rsidR="009665B6">
        <w:rPr>
          <w:snapToGrid/>
          <w:kern w:val="0"/>
          <w:szCs w:val="22"/>
        </w:rPr>
        <w:t xml:space="preserve">Commission’s </w:t>
      </w:r>
      <w:r w:rsidR="00175A87">
        <w:rPr>
          <w:snapToGrid/>
          <w:kern w:val="0"/>
          <w:szCs w:val="22"/>
        </w:rPr>
        <w:t xml:space="preserve">(Commission) </w:t>
      </w:r>
      <w:r w:rsidRPr="00EF7821" w:rsidR="009665B6">
        <w:rPr>
          <w:snapToGrid/>
          <w:kern w:val="0"/>
          <w:szCs w:val="22"/>
        </w:rPr>
        <w:t>rules</w:t>
      </w:r>
      <w:r w:rsidR="009665B6">
        <w:rPr>
          <w:snapToGrid/>
          <w:kern w:val="0"/>
          <w:szCs w:val="22"/>
        </w:rPr>
        <w:t>,</w:t>
      </w:r>
      <w:r>
        <w:rPr>
          <w:snapToGrid/>
          <w:kern w:val="0"/>
          <w:szCs w:val="22"/>
          <w:vertAlign w:val="superscript"/>
        </w:rPr>
        <w:footnoteReference w:id="4"/>
      </w:r>
      <w:r w:rsidR="009665B6">
        <w:rPr>
          <w:snapToGrid/>
          <w:kern w:val="0"/>
          <w:szCs w:val="22"/>
        </w:rPr>
        <w:t xml:space="preserve"> subject to the conditions herein.  </w:t>
      </w:r>
      <w:r w:rsidRPr="00EF7821" w:rsidR="005A655F">
        <w:rPr>
          <w:snapToGrid/>
          <w:kern w:val="0"/>
          <w:szCs w:val="22"/>
        </w:rPr>
        <w:t>Grant of the applications</w:t>
      </w:r>
      <w:r w:rsidRPr="00EF7821" w:rsidR="005A655F">
        <w:rPr>
          <w:szCs w:val="22"/>
        </w:rPr>
        <w:t xml:space="preserve">, </w:t>
      </w:r>
      <w:r w:rsidRPr="00F21CFB" w:rsidR="005A655F">
        <w:rPr>
          <w:szCs w:val="22"/>
        </w:rPr>
        <w:t>pursuant to section</w:t>
      </w:r>
      <w:r w:rsidRPr="00F21CFB" w:rsidR="00170E2D">
        <w:rPr>
          <w:szCs w:val="22"/>
        </w:rPr>
        <w:t>s</w:t>
      </w:r>
      <w:r w:rsidRPr="00F21CFB" w:rsidR="005A655F">
        <w:rPr>
          <w:szCs w:val="22"/>
        </w:rPr>
        <w:t xml:space="preserve"> 214 </w:t>
      </w:r>
      <w:r w:rsidRPr="00F21CFB" w:rsidR="00170E2D">
        <w:rPr>
          <w:szCs w:val="22"/>
        </w:rPr>
        <w:t xml:space="preserve">and 310(d) </w:t>
      </w:r>
      <w:r w:rsidRPr="00F21CFB" w:rsidR="005A655F">
        <w:rPr>
          <w:szCs w:val="22"/>
        </w:rPr>
        <w:t xml:space="preserve">of the Communications Act of 1934, as amended (Act), and sections </w:t>
      </w:r>
      <w:r w:rsidRPr="00F21CFB" w:rsidR="00B07114">
        <w:rPr>
          <w:szCs w:val="22"/>
        </w:rPr>
        <w:t xml:space="preserve">1.948, </w:t>
      </w:r>
      <w:r w:rsidRPr="00EF7821" w:rsidR="005A655F">
        <w:rPr>
          <w:szCs w:val="22"/>
        </w:rPr>
        <w:t>63.03</w:t>
      </w:r>
      <w:r w:rsidR="00A06460">
        <w:rPr>
          <w:szCs w:val="22"/>
        </w:rPr>
        <w:t>, 63.04</w:t>
      </w:r>
      <w:r w:rsidRPr="00EF7821" w:rsidR="005A655F">
        <w:rPr>
          <w:szCs w:val="22"/>
        </w:rPr>
        <w:t xml:space="preserve">, 63.18, and 63.24 of the Commission’s rules, </w:t>
      </w:r>
      <w:r w:rsidRPr="00EF7821" w:rsidR="005A655F">
        <w:rPr>
          <w:snapToGrid/>
          <w:kern w:val="0"/>
          <w:szCs w:val="22"/>
        </w:rPr>
        <w:t xml:space="preserve">will enable the Applicants to </w:t>
      </w:r>
      <w:r w:rsidRPr="00EF7821" w:rsidR="00ED2B7F">
        <w:rPr>
          <w:snapToGrid/>
          <w:kern w:val="0"/>
          <w:szCs w:val="22"/>
        </w:rPr>
        <w:t>emerge from federal bankruptcy protection</w:t>
      </w:r>
      <w:r w:rsidRPr="00D8294E" w:rsidR="00D8294E">
        <w:rPr>
          <w:snapToGrid/>
          <w:kern w:val="0"/>
          <w:szCs w:val="22"/>
        </w:rPr>
        <w:t xml:space="preserve"> </w:t>
      </w:r>
      <w:r w:rsidR="00BE7D68">
        <w:rPr>
          <w:snapToGrid/>
          <w:kern w:val="0"/>
          <w:szCs w:val="22"/>
        </w:rPr>
        <w:t xml:space="preserve">and </w:t>
      </w:r>
      <w:r w:rsidR="00D8294E">
        <w:rPr>
          <w:snapToGrid/>
          <w:kern w:val="0"/>
          <w:szCs w:val="22"/>
        </w:rPr>
        <w:t>is</w:t>
      </w:r>
      <w:r w:rsidRPr="00EF7821" w:rsidR="00D8294E">
        <w:rPr>
          <w:snapToGrid/>
          <w:kern w:val="0"/>
          <w:szCs w:val="22"/>
        </w:rPr>
        <w:t xml:space="preserve"> subject to certain conditions described herein</w:t>
      </w:r>
      <w:r w:rsidRPr="00EF7821" w:rsidR="00784B5B">
        <w:rPr>
          <w:snapToGrid/>
          <w:kern w:val="0"/>
          <w:szCs w:val="22"/>
        </w:rPr>
        <w:t>.</w:t>
      </w:r>
      <w:r>
        <w:rPr>
          <w:szCs w:val="22"/>
          <w:vertAlign w:val="superscript"/>
        </w:rPr>
        <w:footnoteReference w:id="5"/>
      </w:r>
      <w:r w:rsidRPr="00EF7821" w:rsidR="00784B5B">
        <w:rPr>
          <w:szCs w:val="22"/>
        </w:rPr>
        <w:t xml:space="preserve"> </w:t>
      </w:r>
    </w:p>
    <w:p w:rsidR="00393247" w:rsidP="00784B5B" w14:paraId="0276954C" w14:textId="77777777">
      <w:pPr>
        <w:widowControl/>
        <w:autoSpaceDE w:val="0"/>
        <w:autoSpaceDN w:val="0"/>
        <w:adjustRightInd w:val="0"/>
        <w:rPr>
          <w:szCs w:val="22"/>
        </w:rPr>
      </w:pPr>
    </w:p>
    <w:p w:rsidR="00470A81" w:rsidRPr="00EF7821" w:rsidP="00784B5B" w14:paraId="1BEBCFBE" w14:textId="049C918A">
      <w:pPr>
        <w:widowControl/>
        <w:autoSpaceDE w:val="0"/>
        <w:autoSpaceDN w:val="0"/>
        <w:adjustRightInd w:val="0"/>
        <w:rPr>
          <w:snapToGrid/>
          <w:kern w:val="0"/>
          <w:szCs w:val="22"/>
        </w:rPr>
      </w:pPr>
      <w:r>
        <w:rPr>
          <w:szCs w:val="22"/>
        </w:rPr>
        <w:tab/>
        <w:t xml:space="preserve">In addition, </w:t>
      </w:r>
      <w:r>
        <w:rPr>
          <w:snapToGrid/>
          <w:kern w:val="0"/>
          <w:szCs w:val="22"/>
        </w:rPr>
        <w:t>the Office of Economics and Analytics (OEA)</w:t>
      </w:r>
      <w:r w:rsidR="002978ED">
        <w:rPr>
          <w:snapToGrid/>
          <w:kern w:val="0"/>
          <w:szCs w:val="22"/>
        </w:rPr>
        <w:t xml:space="preserve"> and the Wireless Telecommunications Bureau (WTB)</w:t>
      </w:r>
      <w:r w:rsidR="00382B84">
        <w:rPr>
          <w:snapToGrid/>
          <w:kern w:val="0"/>
          <w:szCs w:val="22"/>
        </w:rPr>
        <w:t xml:space="preserve">, in order to </w:t>
      </w:r>
      <w:r w:rsidR="00382B84">
        <w:rPr>
          <w:rFonts w:eastAsia="Calibri"/>
          <w:bCs/>
          <w:snapToGrid/>
          <w:kern w:val="0"/>
          <w:szCs w:val="22"/>
        </w:rPr>
        <w:t xml:space="preserve">help achieve the public interest benefit of </w:t>
      </w:r>
      <w:r w:rsidRPr="00155F9F" w:rsidR="00382B84">
        <w:rPr>
          <w:rFonts w:eastAsia="Calibri"/>
          <w:snapToGrid/>
          <w:kern w:val="0"/>
          <w:szCs w:val="22"/>
        </w:rPr>
        <w:t>facilitat</w:t>
      </w:r>
      <w:r w:rsidR="00382B84">
        <w:rPr>
          <w:rFonts w:eastAsia="Calibri"/>
          <w:snapToGrid/>
          <w:kern w:val="0"/>
          <w:szCs w:val="22"/>
        </w:rPr>
        <w:t>ing</w:t>
      </w:r>
      <w:r w:rsidRPr="00155F9F" w:rsidR="00382B84">
        <w:rPr>
          <w:rFonts w:eastAsia="Calibri"/>
          <w:snapToGrid/>
          <w:kern w:val="0"/>
          <w:szCs w:val="22"/>
        </w:rPr>
        <w:t xml:space="preserve"> Windstream’s prompt emergence from the bankruptcy process</w:t>
      </w:r>
      <w:r w:rsidR="00382B84">
        <w:rPr>
          <w:rFonts w:eastAsia="Calibri"/>
          <w:snapToGrid/>
          <w:kern w:val="0"/>
          <w:szCs w:val="22"/>
        </w:rPr>
        <w:t>,</w:t>
      </w:r>
      <w:r>
        <w:rPr>
          <w:snapToGrid/>
          <w:kern w:val="0"/>
          <w:szCs w:val="22"/>
        </w:rPr>
        <w:t xml:space="preserve"> grant </w:t>
      </w:r>
      <w:r w:rsidR="002978ED">
        <w:rPr>
          <w:snapToGrid/>
          <w:kern w:val="0"/>
          <w:szCs w:val="22"/>
        </w:rPr>
        <w:t>a conditional</w:t>
      </w:r>
      <w:r>
        <w:rPr>
          <w:snapToGrid/>
          <w:kern w:val="0"/>
          <w:szCs w:val="22"/>
        </w:rPr>
        <w:t xml:space="preserve"> waive</w:t>
      </w:r>
      <w:r w:rsidR="002978ED">
        <w:rPr>
          <w:snapToGrid/>
          <w:kern w:val="0"/>
          <w:szCs w:val="22"/>
        </w:rPr>
        <w:t>r</w:t>
      </w:r>
      <w:r>
        <w:rPr>
          <w:snapToGrid/>
          <w:kern w:val="0"/>
          <w:szCs w:val="22"/>
        </w:rPr>
        <w:t xml:space="preserve"> </w:t>
      </w:r>
      <w:r w:rsidR="002978ED">
        <w:rPr>
          <w:snapToGrid/>
          <w:kern w:val="0"/>
          <w:szCs w:val="22"/>
        </w:rPr>
        <w:t xml:space="preserve">of </w:t>
      </w:r>
      <w:r>
        <w:rPr>
          <w:snapToGrid/>
          <w:kern w:val="0"/>
          <w:szCs w:val="22"/>
        </w:rPr>
        <w:t>section</w:t>
      </w:r>
      <w:r w:rsidR="00634FB2">
        <w:rPr>
          <w:snapToGrid/>
          <w:kern w:val="0"/>
          <w:szCs w:val="22"/>
        </w:rPr>
        <w:t>s</w:t>
      </w:r>
      <w:r>
        <w:rPr>
          <w:snapToGrid/>
          <w:kern w:val="0"/>
          <w:szCs w:val="22"/>
        </w:rPr>
        <w:t xml:space="preserve"> 1.2105(b)(2)</w:t>
      </w:r>
      <w:r w:rsidR="002978ED">
        <w:rPr>
          <w:snapToGrid/>
          <w:kern w:val="0"/>
          <w:szCs w:val="22"/>
        </w:rPr>
        <w:t xml:space="preserve">, 1.2107(c), </w:t>
      </w:r>
      <w:r w:rsidR="008222C3">
        <w:rPr>
          <w:snapToGrid/>
          <w:kern w:val="0"/>
          <w:szCs w:val="22"/>
        </w:rPr>
        <w:t>or</w:t>
      </w:r>
      <w:r w:rsidR="002978ED">
        <w:rPr>
          <w:snapToGrid/>
          <w:kern w:val="0"/>
          <w:szCs w:val="22"/>
        </w:rPr>
        <w:t xml:space="preserve"> 1.927(h)</w:t>
      </w:r>
      <w:r>
        <w:rPr>
          <w:snapToGrid/>
          <w:kern w:val="0"/>
          <w:szCs w:val="22"/>
        </w:rPr>
        <w:t xml:space="preserve"> </w:t>
      </w:r>
      <w:r w:rsidR="00382B84">
        <w:rPr>
          <w:snapToGrid/>
          <w:kern w:val="0"/>
          <w:szCs w:val="22"/>
        </w:rPr>
        <w:t>of the Commission’s rules</w:t>
      </w:r>
      <w:r w:rsidR="002978ED">
        <w:rPr>
          <w:snapToGrid/>
          <w:kern w:val="0"/>
          <w:szCs w:val="22"/>
        </w:rPr>
        <w:t>, as needed</w:t>
      </w:r>
      <w:r w:rsidR="00382B84">
        <w:rPr>
          <w:snapToGrid/>
          <w:kern w:val="0"/>
          <w:szCs w:val="22"/>
        </w:rPr>
        <w:t xml:space="preserve"> </w:t>
      </w:r>
      <w:r>
        <w:rPr>
          <w:snapToGrid/>
          <w:kern w:val="0"/>
          <w:szCs w:val="22"/>
        </w:rPr>
        <w:t xml:space="preserve">to permit it </w:t>
      </w:r>
      <w:r w:rsidR="00596832">
        <w:rPr>
          <w:snapToGrid/>
          <w:kern w:val="0"/>
          <w:szCs w:val="22"/>
        </w:rPr>
        <w:t xml:space="preserve">to </w:t>
      </w:r>
      <w:r w:rsidR="002978ED">
        <w:rPr>
          <w:snapToGrid/>
          <w:kern w:val="0"/>
          <w:szCs w:val="22"/>
        </w:rPr>
        <w:t>complete</w:t>
      </w:r>
      <w:r w:rsidRPr="002978ED" w:rsidR="002978ED">
        <w:rPr>
          <w:snapToGrid/>
          <w:kern w:val="0"/>
          <w:szCs w:val="22"/>
        </w:rPr>
        <w:t xml:space="preserve"> a transaction that amounts to a </w:t>
      </w:r>
      <w:r w:rsidRPr="002978ED" w:rsidR="002978ED">
        <w:rPr>
          <w:snapToGrid/>
          <w:kern w:val="0"/>
          <w:szCs w:val="22"/>
        </w:rPr>
        <w:t xml:space="preserve">transfer of control prior </w:t>
      </w:r>
      <w:r w:rsidR="008C0496">
        <w:rPr>
          <w:snapToGrid/>
          <w:kern w:val="0"/>
          <w:szCs w:val="22"/>
        </w:rPr>
        <w:t xml:space="preserve">to </w:t>
      </w:r>
      <w:r w:rsidRPr="002978ED" w:rsidR="002978ED">
        <w:rPr>
          <w:snapToGrid/>
          <w:kern w:val="0"/>
          <w:szCs w:val="22"/>
        </w:rPr>
        <w:t>filing a long-form license application</w:t>
      </w:r>
      <w:r w:rsidRPr="00680944" w:rsidR="00680944">
        <w:rPr>
          <w:rFonts w:eastAsia="Calibri"/>
          <w:snapToGrid/>
          <w:kern w:val="0"/>
        </w:rPr>
        <w:t xml:space="preserve"> </w:t>
      </w:r>
      <w:r w:rsidRPr="002978ED" w:rsidR="002978ED">
        <w:rPr>
          <w:snapToGrid/>
          <w:kern w:val="0"/>
          <w:szCs w:val="22"/>
        </w:rPr>
        <w:t xml:space="preserve">and/or prior to </w:t>
      </w:r>
      <w:r w:rsidR="002978ED">
        <w:rPr>
          <w:snapToGrid/>
          <w:kern w:val="0"/>
          <w:szCs w:val="22"/>
        </w:rPr>
        <w:t xml:space="preserve">the </w:t>
      </w:r>
      <w:r w:rsidRPr="002978ED" w:rsidR="002978ED">
        <w:rPr>
          <w:snapToGrid/>
          <w:kern w:val="0"/>
          <w:szCs w:val="22"/>
        </w:rPr>
        <w:t>grant of</w:t>
      </w:r>
      <w:r w:rsidR="002978ED">
        <w:rPr>
          <w:snapToGrid/>
          <w:kern w:val="0"/>
          <w:szCs w:val="22"/>
        </w:rPr>
        <w:t xml:space="preserve"> </w:t>
      </w:r>
      <w:r w:rsidRPr="002978ED" w:rsidR="002978ED">
        <w:rPr>
          <w:snapToGrid/>
          <w:kern w:val="0"/>
          <w:szCs w:val="22"/>
        </w:rPr>
        <w:t>such licenses to the winning bidder</w:t>
      </w:r>
      <w:r>
        <w:rPr>
          <w:snapToGrid/>
          <w:kern w:val="0"/>
          <w:szCs w:val="22"/>
        </w:rPr>
        <w:t>.</w:t>
      </w:r>
      <w:r>
        <w:rPr>
          <w:rStyle w:val="FootnoteReference"/>
          <w:snapToGrid/>
          <w:kern w:val="0"/>
          <w:szCs w:val="22"/>
        </w:rPr>
        <w:footnoteReference w:id="6"/>
      </w:r>
      <w:r w:rsidRPr="00EF7821" w:rsidR="00784B5B">
        <w:rPr>
          <w:szCs w:val="22"/>
        </w:rPr>
        <w:t xml:space="preserve"> </w:t>
      </w:r>
    </w:p>
    <w:p w:rsidR="00470A81" w:rsidRPr="00EF7821" w:rsidP="00470A81" w14:paraId="408D65A5"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470A81" w:rsidRPr="00EF7821" w:rsidP="00C975A4" w14:paraId="0B813892" w14:textId="77777777">
      <w:pPr>
        <w:keepNext/>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r w:rsidRPr="00EF7821">
        <w:rPr>
          <w:snapToGrid/>
          <w:kern w:val="0"/>
          <w:szCs w:val="22"/>
          <w:u w:val="single"/>
        </w:rPr>
        <w:t>The Applicants</w:t>
      </w:r>
    </w:p>
    <w:p w:rsidR="00470A81" w:rsidRPr="00EF7821" w:rsidP="00C975A4" w14:paraId="7763F368" w14:textId="77777777">
      <w:pPr>
        <w:keepNext/>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784B5B" w:rsidRPr="00EF7821" w:rsidP="00784B5B" w14:paraId="10AD8369" w14:textId="6B3E0702">
      <w:pPr>
        <w:widowControl/>
        <w:autoSpaceDE w:val="0"/>
        <w:autoSpaceDN w:val="0"/>
        <w:adjustRightInd w:val="0"/>
        <w:ind w:firstLine="720"/>
        <w:rPr>
          <w:snapToGrid/>
          <w:kern w:val="0"/>
          <w:szCs w:val="22"/>
        </w:rPr>
      </w:pPr>
      <w:r w:rsidRPr="00EF7821">
        <w:rPr>
          <w:snapToGrid/>
          <w:kern w:val="0"/>
          <w:szCs w:val="22"/>
        </w:rPr>
        <w:t>Windstream, a Delaware limited liability company, is a wholly</w:t>
      </w:r>
      <w:r w:rsidR="00EE34D7">
        <w:rPr>
          <w:snapToGrid/>
          <w:kern w:val="0"/>
          <w:szCs w:val="22"/>
        </w:rPr>
        <w:t xml:space="preserve"> </w:t>
      </w:r>
      <w:r w:rsidRPr="00EF7821">
        <w:rPr>
          <w:snapToGrid/>
          <w:kern w:val="0"/>
          <w:szCs w:val="22"/>
        </w:rPr>
        <w:t>owned</w:t>
      </w:r>
      <w:r w:rsidR="00F570B6">
        <w:rPr>
          <w:snapToGrid/>
          <w:kern w:val="0"/>
          <w:szCs w:val="22"/>
        </w:rPr>
        <w:t>,</w:t>
      </w:r>
      <w:r w:rsidRPr="00EF7821">
        <w:rPr>
          <w:snapToGrid/>
          <w:kern w:val="0"/>
          <w:szCs w:val="22"/>
        </w:rPr>
        <w:t xml:space="preserve"> direct subsidiary of</w:t>
      </w:r>
    </w:p>
    <w:p w:rsidR="00784B5B" w:rsidRPr="00EF7821" w:rsidP="00784B5B" w14:paraId="6B971DB2" w14:textId="1686653F">
      <w:pPr>
        <w:widowControl/>
        <w:autoSpaceDE w:val="0"/>
        <w:autoSpaceDN w:val="0"/>
        <w:adjustRightInd w:val="0"/>
        <w:rPr>
          <w:snapToGrid/>
          <w:kern w:val="0"/>
          <w:szCs w:val="22"/>
        </w:rPr>
      </w:pPr>
      <w:r w:rsidRPr="00EF7821">
        <w:rPr>
          <w:snapToGrid/>
          <w:kern w:val="0"/>
          <w:szCs w:val="22"/>
        </w:rPr>
        <w:t>Holdings, a Delaware corporation.</w:t>
      </w:r>
      <w:r>
        <w:rPr>
          <w:rStyle w:val="FootnoteReference"/>
          <w:snapToGrid/>
          <w:kern w:val="0"/>
          <w:szCs w:val="22"/>
        </w:rPr>
        <w:footnoteReference w:id="7"/>
      </w:r>
      <w:r w:rsidRPr="00EF7821">
        <w:rPr>
          <w:snapToGrid/>
          <w:kern w:val="0"/>
          <w:szCs w:val="22"/>
        </w:rPr>
        <w:t xml:space="preserve">  Windstream’s operating subsidiaries provide voice, data, and</w:t>
      </w:r>
    </w:p>
    <w:p w:rsidR="00470A81" w:rsidRPr="00EF7821" w:rsidP="0005049B" w14:paraId="04B0C29C" w14:textId="226BBCAB">
      <w:pPr>
        <w:widowControl/>
        <w:autoSpaceDE w:val="0"/>
        <w:autoSpaceDN w:val="0"/>
        <w:adjustRightInd w:val="0"/>
        <w:rPr>
          <w:snapToGrid/>
          <w:kern w:val="0"/>
          <w:szCs w:val="22"/>
        </w:rPr>
      </w:pPr>
      <w:r w:rsidRPr="00EF7821">
        <w:rPr>
          <w:snapToGrid/>
          <w:kern w:val="0"/>
          <w:szCs w:val="22"/>
        </w:rPr>
        <w:t>transport services on a local and long-haul fiber network currently spanning approximately 150,000</w:t>
      </w:r>
      <w:r w:rsidRPr="00EF7821" w:rsidR="0005049B">
        <w:rPr>
          <w:snapToGrid/>
          <w:kern w:val="0"/>
          <w:szCs w:val="22"/>
        </w:rPr>
        <w:t xml:space="preserve"> </w:t>
      </w:r>
      <w:r w:rsidRPr="00EF7821">
        <w:rPr>
          <w:snapToGrid/>
          <w:kern w:val="0"/>
          <w:szCs w:val="22"/>
        </w:rPr>
        <w:t>route miles.</w:t>
      </w:r>
      <w:r>
        <w:rPr>
          <w:rStyle w:val="FootnoteReference"/>
          <w:snapToGrid/>
          <w:kern w:val="0"/>
          <w:szCs w:val="22"/>
        </w:rPr>
        <w:footnoteReference w:id="8"/>
      </w:r>
      <w:r w:rsidRPr="00EF7821">
        <w:rPr>
          <w:snapToGrid/>
          <w:kern w:val="0"/>
          <w:szCs w:val="22"/>
        </w:rPr>
        <w:t xml:space="preserve">  </w:t>
      </w:r>
      <w:r w:rsidR="008557BA">
        <w:rPr>
          <w:snapToGrid/>
          <w:kern w:val="0"/>
          <w:szCs w:val="22"/>
        </w:rPr>
        <w:t xml:space="preserve">The </w:t>
      </w:r>
      <w:r w:rsidRPr="00EF7821">
        <w:rPr>
          <w:snapToGrid/>
          <w:kern w:val="0"/>
          <w:szCs w:val="22"/>
        </w:rPr>
        <w:t>Applicants state that Windstream’s consumer and small business segment includes</w:t>
      </w:r>
      <w:r w:rsidRPr="00EF7821" w:rsidR="0005049B">
        <w:rPr>
          <w:snapToGrid/>
          <w:kern w:val="0"/>
          <w:szCs w:val="22"/>
        </w:rPr>
        <w:t xml:space="preserve"> </w:t>
      </w:r>
      <w:r w:rsidRPr="00EF7821">
        <w:rPr>
          <w:snapToGrid/>
          <w:kern w:val="0"/>
          <w:szCs w:val="22"/>
        </w:rPr>
        <w:t>approximately 1.4 million residential and small business customers.</w:t>
      </w:r>
      <w:r>
        <w:rPr>
          <w:rStyle w:val="FootnoteReference"/>
          <w:snapToGrid/>
          <w:kern w:val="0"/>
          <w:szCs w:val="22"/>
        </w:rPr>
        <w:footnoteReference w:id="9"/>
      </w:r>
      <w:r w:rsidRPr="00EF7821">
        <w:rPr>
          <w:snapToGrid/>
          <w:kern w:val="0"/>
          <w:szCs w:val="22"/>
        </w:rPr>
        <w:t xml:space="preserve">  In addition, Windstream</w:t>
      </w:r>
      <w:r w:rsidRPr="00EF7821" w:rsidR="0005049B">
        <w:rPr>
          <w:snapToGrid/>
          <w:kern w:val="0"/>
          <w:szCs w:val="22"/>
        </w:rPr>
        <w:t xml:space="preserve"> </w:t>
      </w:r>
      <w:r w:rsidRPr="00EF7821">
        <w:rPr>
          <w:snapToGrid/>
          <w:kern w:val="0"/>
          <w:szCs w:val="22"/>
        </w:rPr>
        <w:t>provides 100 Gbps bandwidth and transport services to wholesale customers, including</w:t>
      </w:r>
      <w:r w:rsidRPr="00EF7821" w:rsidR="0005049B">
        <w:rPr>
          <w:snapToGrid/>
          <w:kern w:val="0"/>
          <w:szCs w:val="22"/>
        </w:rPr>
        <w:t xml:space="preserve"> </w:t>
      </w:r>
      <w:r w:rsidRPr="00EF7821">
        <w:rPr>
          <w:snapToGrid/>
          <w:kern w:val="0"/>
          <w:szCs w:val="22"/>
        </w:rPr>
        <w:t>telecommunications companies, content providers, and cable and other network operators.</w:t>
      </w:r>
      <w:r>
        <w:rPr>
          <w:rStyle w:val="FootnoteReference"/>
          <w:snapToGrid/>
          <w:kern w:val="0"/>
          <w:szCs w:val="22"/>
        </w:rPr>
        <w:footnoteReference w:id="10"/>
      </w:r>
      <w:r w:rsidRPr="00EF7821" w:rsidR="0005049B">
        <w:rPr>
          <w:snapToGrid/>
          <w:kern w:val="0"/>
          <w:szCs w:val="22"/>
        </w:rPr>
        <w:t xml:space="preserve">  </w:t>
      </w:r>
      <w:r w:rsidRPr="00EF7821">
        <w:rPr>
          <w:snapToGrid/>
          <w:kern w:val="0"/>
          <w:szCs w:val="22"/>
        </w:rPr>
        <w:t>Windstream’s incumbent local exchange carrier subsidiaries (LEC) serve customers in 18 states,</w:t>
      </w:r>
      <w:r w:rsidRPr="00EF7821" w:rsidR="0005049B">
        <w:rPr>
          <w:snapToGrid/>
          <w:kern w:val="0"/>
          <w:szCs w:val="22"/>
        </w:rPr>
        <w:t xml:space="preserve"> </w:t>
      </w:r>
      <w:r w:rsidRPr="00EF7821">
        <w:rPr>
          <w:snapToGrid/>
          <w:kern w:val="0"/>
          <w:szCs w:val="22"/>
        </w:rPr>
        <w:t>while Windstream’s competitive LEC subsidiaries serve primarily enterprise and government</w:t>
      </w:r>
      <w:r w:rsidRPr="00EF7821" w:rsidR="0005049B">
        <w:rPr>
          <w:snapToGrid/>
          <w:kern w:val="0"/>
          <w:szCs w:val="22"/>
        </w:rPr>
        <w:t xml:space="preserve"> </w:t>
      </w:r>
      <w:r w:rsidRPr="00EF7821">
        <w:rPr>
          <w:snapToGrid/>
          <w:kern w:val="0"/>
          <w:szCs w:val="22"/>
        </w:rPr>
        <w:t>customers in all 50 states and the District of Columbia.</w:t>
      </w:r>
      <w:r>
        <w:rPr>
          <w:rStyle w:val="FootnoteReference"/>
          <w:snapToGrid/>
          <w:kern w:val="0"/>
          <w:szCs w:val="22"/>
        </w:rPr>
        <w:footnoteReference w:id="11"/>
      </w:r>
    </w:p>
    <w:p w:rsidR="00784B5B" w:rsidRPr="00EF7821" w:rsidP="00470A81" w14:paraId="20C77430"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u w:val="single"/>
        </w:rPr>
      </w:pPr>
    </w:p>
    <w:p w:rsidR="00470A81" w:rsidRPr="00EF7821" w:rsidP="00470A81" w14:paraId="0C268C94" w14:textId="4C622972">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u w:val="single"/>
        </w:rPr>
      </w:pPr>
      <w:r w:rsidRPr="00EF7821">
        <w:rPr>
          <w:snapToGrid/>
          <w:kern w:val="0"/>
          <w:szCs w:val="22"/>
          <w:u w:val="single"/>
        </w:rPr>
        <w:t>Description of Transaction and Waiver Request</w:t>
      </w:r>
      <w:r w:rsidR="00382B84">
        <w:rPr>
          <w:snapToGrid/>
          <w:kern w:val="0"/>
          <w:szCs w:val="22"/>
          <w:u w:val="single"/>
        </w:rPr>
        <w:t>s</w:t>
      </w:r>
    </w:p>
    <w:p w:rsidR="00470A81" w:rsidRPr="00EF7821" w:rsidP="00470A81" w14:paraId="3DEBBC31"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4C686B" w:rsidRPr="00EF7821" w:rsidP="00157328" w14:paraId="52775FB4" w14:textId="666B8D5A">
      <w:pPr>
        <w:widowControl/>
        <w:autoSpaceDE w:val="0"/>
        <w:autoSpaceDN w:val="0"/>
        <w:adjustRightInd w:val="0"/>
        <w:ind w:firstLine="720"/>
        <w:rPr>
          <w:snapToGrid/>
          <w:kern w:val="0"/>
          <w:szCs w:val="22"/>
        </w:rPr>
      </w:pPr>
      <w:bookmarkStart w:id="2" w:name="_Hlk21685671"/>
      <w:r w:rsidRPr="00EF7821">
        <w:rPr>
          <w:snapToGrid/>
          <w:kern w:val="0"/>
          <w:szCs w:val="22"/>
        </w:rPr>
        <w:t>On February 25, 2019, Holdings filed voluntary petitions for relief for itself, Windstream,</w:t>
      </w:r>
      <w:r w:rsidRPr="00EF7821" w:rsidR="00157328">
        <w:rPr>
          <w:snapToGrid/>
          <w:kern w:val="0"/>
          <w:szCs w:val="22"/>
        </w:rPr>
        <w:t xml:space="preserve"> </w:t>
      </w:r>
      <w:r w:rsidRPr="00EF7821">
        <w:rPr>
          <w:snapToGrid/>
          <w:kern w:val="0"/>
          <w:szCs w:val="22"/>
        </w:rPr>
        <w:t>and Windstream’s subsidiaries under Chapter 11 of the Bankruptcy Code in the United</w:t>
      </w:r>
      <w:r w:rsidRPr="00EF7821" w:rsidR="00157328">
        <w:rPr>
          <w:snapToGrid/>
          <w:kern w:val="0"/>
          <w:szCs w:val="22"/>
        </w:rPr>
        <w:t xml:space="preserve"> </w:t>
      </w:r>
      <w:r w:rsidRPr="00EF7821">
        <w:rPr>
          <w:snapToGrid/>
          <w:kern w:val="0"/>
          <w:szCs w:val="22"/>
        </w:rPr>
        <w:t>States Bankruptcy</w:t>
      </w:r>
      <w:r w:rsidRPr="00EF7821" w:rsidR="00157328">
        <w:rPr>
          <w:snapToGrid/>
          <w:kern w:val="0"/>
          <w:szCs w:val="22"/>
        </w:rPr>
        <w:t xml:space="preserve"> </w:t>
      </w:r>
      <w:r w:rsidRPr="00EF7821">
        <w:rPr>
          <w:snapToGrid/>
          <w:kern w:val="0"/>
          <w:szCs w:val="22"/>
        </w:rPr>
        <w:t>Court for the Southern District of New York.</w:t>
      </w:r>
      <w:r>
        <w:rPr>
          <w:rStyle w:val="FootnoteReference"/>
          <w:snapToGrid/>
          <w:kern w:val="0"/>
          <w:szCs w:val="22"/>
        </w:rPr>
        <w:footnoteReference w:id="12"/>
      </w:r>
      <w:r w:rsidRPr="00EF7821" w:rsidR="0001788D">
        <w:rPr>
          <w:snapToGrid/>
          <w:kern w:val="0"/>
          <w:szCs w:val="22"/>
        </w:rPr>
        <w:t xml:space="preserve">  </w:t>
      </w:r>
      <w:r w:rsidRPr="00EF7821">
        <w:rPr>
          <w:snapToGrid/>
          <w:kern w:val="0"/>
          <w:szCs w:val="22"/>
        </w:rPr>
        <w:t>On April 1, 2020, Holdings filed a plan of reorganization proposing a restructuring,</w:t>
      </w:r>
      <w:r w:rsidRPr="00EF7821" w:rsidR="0001788D">
        <w:rPr>
          <w:snapToGrid/>
          <w:kern w:val="0"/>
          <w:szCs w:val="22"/>
        </w:rPr>
        <w:t xml:space="preserve"> </w:t>
      </w:r>
      <w:r w:rsidRPr="00EF7821">
        <w:rPr>
          <w:snapToGrid/>
          <w:kern w:val="0"/>
          <w:szCs w:val="22"/>
        </w:rPr>
        <w:t>through a two-step transaction, that would allow Holdings, Windstream, and Windstream’s</w:t>
      </w:r>
      <w:r w:rsidRPr="00EF7821" w:rsidR="0001788D">
        <w:rPr>
          <w:snapToGrid/>
          <w:kern w:val="0"/>
          <w:szCs w:val="22"/>
        </w:rPr>
        <w:t xml:space="preserve"> </w:t>
      </w:r>
      <w:r w:rsidRPr="00EF7821">
        <w:rPr>
          <w:snapToGrid/>
          <w:kern w:val="0"/>
          <w:szCs w:val="22"/>
        </w:rPr>
        <w:t>subsidiaries to emerge from bankruptcy with a deleveraged capital structure and sufficient liquidity</w:t>
      </w:r>
      <w:r w:rsidRPr="00EF7821" w:rsidR="0001788D">
        <w:rPr>
          <w:snapToGrid/>
          <w:kern w:val="0"/>
          <w:szCs w:val="22"/>
        </w:rPr>
        <w:t xml:space="preserve"> </w:t>
      </w:r>
      <w:r w:rsidRPr="00EF7821">
        <w:rPr>
          <w:snapToGrid/>
          <w:kern w:val="0"/>
          <w:szCs w:val="22"/>
        </w:rPr>
        <w:t>to fund the post-emergence business plan.</w:t>
      </w:r>
      <w:r>
        <w:rPr>
          <w:rStyle w:val="FootnoteReference"/>
          <w:snapToGrid/>
          <w:kern w:val="0"/>
          <w:szCs w:val="22"/>
        </w:rPr>
        <w:footnoteReference w:id="13"/>
      </w:r>
      <w:r w:rsidRPr="00EF7821" w:rsidR="0001788D">
        <w:rPr>
          <w:snapToGrid/>
          <w:kern w:val="0"/>
          <w:szCs w:val="22"/>
        </w:rPr>
        <w:t xml:space="preserve">  The Bankruptcy Court approved the plan of </w:t>
      </w:r>
      <w:r w:rsidRPr="00EF7821" w:rsidR="00157328">
        <w:rPr>
          <w:snapToGrid/>
          <w:kern w:val="0"/>
          <w:szCs w:val="22"/>
        </w:rPr>
        <w:t>r</w:t>
      </w:r>
      <w:r w:rsidRPr="00EF7821" w:rsidR="0001788D">
        <w:rPr>
          <w:snapToGrid/>
          <w:kern w:val="0"/>
          <w:szCs w:val="22"/>
        </w:rPr>
        <w:t>eorganization on June 26, 2020.</w:t>
      </w:r>
      <w:r>
        <w:rPr>
          <w:rStyle w:val="FootnoteReference"/>
          <w:snapToGrid/>
          <w:kern w:val="0"/>
          <w:szCs w:val="22"/>
        </w:rPr>
        <w:footnoteReference w:id="14"/>
      </w:r>
    </w:p>
    <w:p w:rsidR="004C686B" w:rsidRPr="00EF7821" w:rsidP="004C686B" w14:paraId="71E4C051" w14:textId="77777777">
      <w:pPr>
        <w:widowControl/>
        <w:autoSpaceDE w:val="0"/>
        <w:autoSpaceDN w:val="0"/>
        <w:adjustRightInd w:val="0"/>
        <w:rPr>
          <w:snapToGrid/>
          <w:kern w:val="0"/>
          <w:szCs w:val="22"/>
        </w:rPr>
      </w:pPr>
    </w:p>
    <w:p w:rsidR="00CF4FEA" w:rsidRPr="00EF7821" w:rsidP="0005049B" w14:paraId="59F47C7F" w14:textId="15E2D726">
      <w:pPr>
        <w:widowControl/>
        <w:autoSpaceDE w:val="0"/>
        <w:autoSpaceDN w:val="0"/>
        <w:adjustRightInd w:val="0"/>
        <w:ind w:firstLine="720"/>
        <w:rPr>
          <w:snapToGrid/>
          <w:kern w:val="0"/>
          <w:szCs w:val="22"/>
        </w:rPr>
      </w:pPr>
      <w:r>
        <w:rPr>
          <w:snapToGrid/>
          <w:kern w:val="0"/>
          <w:szCs w:val="22"/>
        </w:rPr>
        <w:t>According to the Applicants, i</w:t>
      </w:r>
      <w:r w:rsidRPr="00EF7821" w:rsidR="004C686B">
        <w:rPr>
          <w:snapToGrid/>
          <w:kern w:val="0"/>
          <w:szCs w:val="22"/>
        </w:rPr>
        <w:t xml:space="preserve">n “Step One” of the </w:t>
      </w:r>
      <w:r w:rsidRPr="00EF7821" w:rsidR="008F556F">
        <w:rPr>
          <w:snapToGrid/>
          <w:kern w:val="0"/>
          <w:szCs w:val="22"/>
        </w:rPr>
        <w:t>t</w:t>
      </w:r>
      <w:r w:rsidRPr="00EF7821" w:rsidR="004C686B">
        <w:rPr>
          <w:snapToGrid/>
          <w:kern w:val="0"/>
          <w:szCs w:val="22"/>
        </w:rPr>
        <w:t>ransaction, the interests held by the existing stockholders of Holdings</w:t>
      </w:r>
      <w:r w:rsidRPr="00EF7821" w:rsidR="0005049B">
        <w:rPr>
          <w:snapToGrid/>
          <w:kern w:val="0"/>
          <w:szCs w:val="22"/>
        </w:rPr>
        <w:t xml:space="preserve"> </w:t>
      </w:r>
      <w:r w:rsidRPr="00EF7821" w:rsidR="004C686B">
        <w:rPr>
          <w:snapToGrid/>
          <w:kern w:val="0"/>
          <w:szCs w:val="22"/>
        </w:rPr>
        <w:t>will be canceled, and the company will be reorganized</w:t>
      </w:r>
      <w:r>
        <w:rPr>
          <w:snapToGrid/>
          <w:kern w:val="0"/>
          <w:szCs w:val="22"/>
        </w:rPr>
        <w:t xml:space="preserve"> as a Delaware limited liability company</w:t>
      </w:r>
      <w:r w:rsidRPr="00EF7821" w:rsidR="004C686B">
        <w:rPr>
          <w:snapToGrid/>
          <w:kern w:val="0"/>
          <w:szCs w:val="22"/>
        </w:rPr>
        <w:t>.</w:t>
      </w:r>
      <w:r>
        <w:rPr>
          <w:rStyle w:val="FootnoteReference"/>
          <w:snapToGrid/>
          <w:kern w:val="0"/>
          <w:szCs w:val="22"/>
        </w:rPr>
        <w:footnoteReference w:id="15"/>
      </w:r>
      <w:r w:rsidRPr="00EF7821" w:rsidR="008F556F">
        <w:rPr>
          <w:snapToGrid/>
          <w:kern w:val="0"/>
          <w:szCs w:val="22"/>
        </w:rPr>
        <w:t xml:space="preserve">  </w:t>
      </w:r>
      <w:r w:rsidRPr="00EF7821" w:rsidR="004C686B">
        <w:rPr>
          <w:snapToGrid/>
          <w:kern w:val="0"/>
          <w:szCs w:val="22"/>
        </w:rPr>
        <w:t>The creditors who hold the first lien debt</w:t>
      </w:r>
      <w:r w:rsidRPr="00EF7821" w:rsidR="00157328">
        <w:rPr>
          <w:snapToGrid/>
          <w:kern w:val="0"/>
          <w:szCs w:val="22"/>
        </w:rPr>
        <w:t xml:space="preserve"> </w:t>
      </w:r>
      <w:r w:rsidRPr="00EF7821" w:rsidR="004C686B">
        <w:rPr>
          <w:snapToGrid/>
          <w:kern w:val="0"/>
          <w:szCs w:val="22"/>
        </w:rPr>
        <w:t>of Windstream will equitize a portion of their debt claims against Holdings and Windstream and receive repayment or replacement loans for the remaining portion.</w:t>
      </w:r>
      <w:r>
        <w:rPr>
          <w:rStyle w:val="FootnoteReference"/>
          <w:snapToGrid/>
          <w:kern w:val="0"/>
          <w:szCs w:val="22"/>
        </w:rPr>
        <w:footnoteReference w:id="16"/>
      </w:r>
      <w:r w:rsidRPr="00EF7821" w:rsidR="008F556F">
        <w:rPr>
          <w:snapToGrid/>
          <w:kern w:val="0"/>
          <w:szCs w:val="22"/>
        </w:rPr>
        <w:t xml:space="preserve">  </w:t>
      </w:r>
      <w:r>
        <w:rPr>
          <w:snapToGrid/>
          <w:kern w:val="0"/>
          <w:szCs w:val="22"/>
        </w:rPr>
        <w:t xml:space="preserve">The </w:t>
      </w:r>
      <w:r w:rsidRPr="00EF7821" w:rsidR="004C686B">
        <w:rPr>
          <w:snapToGrid/>
          <w:kern w:val="0"/>
          <w:szCs w:val="22"/>
        </w:rPr>
        <w:t>A</w:t>
      </w:r>
      <w:r>
        <w:rPr>
          <w:snapToGrid/>
          <w:kern w:val="0"/>
          <w:szCs w:val="22"/>
        </w:rPr>
        <w:t>pplicants state that a</w:t>
      </w:r>
      <w:r w:rsidRPr="00EF7821" w:rsidR="004C686B">
        <w:rPr>
          <w:snapToGrid/>
          <w:kern w:val="0"/>
          <w:szCs w:val="22"/>
        </w:rPr>
        <w:t xml:space="preserve">s a result of </w:t>
      </w:r>
      <w:r w:rsidR="00BC03A6">
        <w:rPr>
          <w:snapToGrid/>
          <w:kern w:val="0"/>
          <w:szCs w:val="22"/>
        </w:rPr>
        <w:t>converting</w:t>
      </w:r>
      <w:r w:rsidR="000F7F23">
        <w:rPr>
          <w:snapToGrid/>
          <w:kern w:val="0"/>
          <w:szCs w:val="22"/>
        </w:rPr>
        <w:t xml:space="preserve"> their debt to equity </w:t>
      </w:r>
      <w:r w:rsidRPr="00EF7821" w:rsidR="004C686B">
        <w:rPr>
          <w:snapToGrid/>
          <w:kern w:val="0"/>
          <w:szCs w:val="22"/>
        </w:rPr>
        <w:t>and</w:t>
      </w:r>
      <w:r w:rsidRPr="00EF7821" w:rsidR="00157328">
        <w:rPr>
          <w:snapToGrid/>
          <w:kern w:val="0"/>
          <w:szCs w:val="22"/>
        </w:rPr>
        <w:t xml:space="preserve"> </w:t>
      </w:r>
      <w:r w:rsidRPr="00EF7821" w:rsidR="004C686B">
        <w:rPr>
          <w:snapToGrid/>
          <w:kern w:val="0"/>
          <w:szCs w:val="22"/>
        </w:rPr>
        <w:t>exercising subscription rights and equity commitments in connection with the</w:t>
      </w:r>
      <w:r w:rsidRPr="00EF7821" w:rsidR="008F556F">
        <w:rPr>
          <w:snapToGrid/>
          <w:kern w:val="0"/>
          <w:szCs w:val="22"/>
        </w:rPr>
        <w:t xml:space="preserve"> </w:t>
      </w:r>
      <w:r w:rsidRPr="00EF7821" w:rsidR="004C686B">
        <w:rPr>
          <w:snapToGrid/>
          <w:kern w:val="0"/>
          <w:szCs w:val="22"/>
        </w:rPr>
        <w:t xml:space="preserve">reorganization plan, the existing holders of first lien debt of Windstream, </w:t>
      </w:r>
      <w:r w:rsidRPr="00EF7821">
        <w:rPr>
          <w:snapToGrid/>
          <w:kern w:val="0"/>
          <w:szCs w:val="22"/>
        </w:rPr>
        <w:t xml:space="preserve">as a group, </w:t>
      </w:r>
      <w:r w:rsidRPr="00EF7821" w:rsidR="004C686B">
        <w:rPr>
          <w:snapToGrid/>
          <w:kern w:val="0"/>
          <w:szCs w:val="22"/>
        </w:rPr>
        <w:t>will acquire</w:t>
      </w:r>
      <w:r w:rsidRPr="00EF7821" w:rsidR="008F556F">
        <w:rPr>
          <w:snapToGrid/>
          <w:kern w:val="0"/>
          <w:szCs w:val="22"/>
        </w:rPr>
        <w:t xml:space="preserve"> </w:t>
      </w:r>
      <w:r w:rsidRPr="00EF7821" w:rsidR="004C686B">
        <w:rPr>
          <w:snapToGrid/>
          <w:kern w:val="0"/>
          <w:szCs w:val="22"/>
        </w:rPr>
        <w:t>100% of the equity of New Windstream.</w:t>
      </w:r>
      <w:r>
        <w:rPr>
          <w:rStyle w:val="FootnoteReference"/>
          <w:snapToGrid/>
          <w:kern w:val="0"/>
          <w:szCs w:val="22"/>
        </w:rPr>
        <w:footnoteReference w:id="17"/>
      </w:r>
      <w:r w:rsidRPr="00EF7821" w:rsidR="008F556F">
        <w:rPr>
          <w:snapToGrid/>
          <w:kern w:val="0"/>
          <w:szCs w:val="22"/>
        </w:rPr>
        <w:t xml:space="preserve">  </w:t>
      </w:r>
      <w:r w:rsidR="008D1AC0">
        <w:rPr>
          <w:snapToGrid/>
          <w:kern w:val="0"/>
          <w:szCs w:val="22"/>
        </w:rPr>
        <w:t xml:space="preserve">The </w:t>
      </w:r>
      <w:r w:rsidRPr="00EF7821" w:rsidR="004C686B">
        <w:rPr>
          <w:snapToGrid/>
          <w:kern w:val="0"/>
          <w:szCs w:val="22"/>
        </w:rPr>
        <w:t>Applicants do not anticipate that any entity w</w:t>
      </w:r>
      <w:r w:rsidR="00ED59E9">
        <w:rPr>
          <w:snapToGrid/>
          <w:kern w:val="0"/>
          <w:szCs w:val="22"/>
        </w:rPr>
        <w:t>ill</w:t>
      </w:r>
      <w:r w:rsidRPr="00EF7821" w:rsidR="004C686B">
        <w:rPr>
          <w:snapToGrid/>
          <w:kern w:val="0"/>
          <w:szCs w:val="22"/>
        </w:rPr>
        <w:t xml:space="preserve"> obtain</w:t>
      </w:r>
      <w:r w:rsidRPr="00EF7821" w:rsidR="008F556F">
        <w:rPr>
          <w:snapToGrid/>
          <w:kern w:val="0"/>
          <w:szCs w:val="22"/>
        </w:rPr>
        <w:t xml:space="preserve"> </w:t>
      </w:r>
      <w:r w:rsidRPr="00EF7821" w:rsidR="004C686B">
        <w:rPr>
          <w:snapToGrid/>
          <w:kern w:val="0"/>
          <w:szCs w:val="22"/>
        </w:rPr>
        <w:t xml:space="preserve">either </w:t>
      </w:r>
      <w:r w:rsidRPr="00EF7821" w:rsidR="004C686B">
        <w:rPr>
          <w:i/>
          <w:iCs/>
          <w:snapToGrid/>
          <w:kern w:val="0"/>
          <w:szCs w:val="22"/>
        </w:rPr>
        <w:t xml:space="preserve">de jure </w:t>
      </w:r>
      <w:r w:rsidRPr="00EF7821" w:rsidR="004C686B">
        <w:rPr>
          <w:snapToGrid/>
          <w:kern w:val="0"/>
          <w:szCs w:val="22"/>
        </w:rPr>
        <w:t xml:space="preserve">or </w:t>
      </w:r>
      <w:r w:rsidRPr="00EF7821" w:rsidR="004C686B">
        <w:rPr>
          <w:i/>
          <w:iCs/>
          <w:snapToGrid/>
          <w:kern w:val="0"/>
          <w:szCs w:val="22"/>
        </w:rPr>
        <w:t xml:space="preserve">de facto </w:t>
      </w:r>
      <w:r w:rsidRPr="00EF7821" w:rsidR="004C686B">
        <w:rPr>
          <w:snapToGrid/>
          <w:kern w:val="0"/>
          <w:szCs w:val="22"/>
        </w:rPr>
        <w:t>control of New Windstream.</w:t>
      </w:r>
      <w:r>
        <w:rPr>
          <w:rStyle w:val="FootnoteReference"/>
          <w:snapToGrid/>
          <w:kern w:val="0"/>
          <w:szCs w:val="22"/>
        </w:rPr>
        <w:footnoteReference w:id="18"/>
      </w:r>
      <w:r w:rsidRPr="00EF7821" w:rsidR="008F556F">
        <w:rPr>
          <w:snapToGrid/>
          <w:kern w:val="0"/>
          <w:szCs w:val="22"/>
        </w:rPr>
        <w:t xml:space="preserve">  </w:t>
      </w:r>
    </w:p>
    <w:p w:rsidR="00CF4FEA" w:rsidRPr="00EF7821" w:rsidP="004C686B" w14:paraId="5801722F" w14:textId="77777777">
      <w:pPr>
        <w:widowControl/>
        <w:autoSpaceDE w:val="0"/>
        <w:autoSpaceDN w:val="0"/>
        <w:adjustRightInd w:val="0"/>
        <w:rPr>
          <w:snapToGrid/>
          <w:kern w:val="0"/>
          <w:szCs w:val="22"/>
        </w:rPr>
      </w:pPr>
    </w:p>
    <w:p w:rsidR="004C686B" w:rsidRPr="00EF7821" w:rsidP="00424537" w14:paraId="2675C8D6" w14:textId="4C3CB3BB">
      <w:pPr>
        <w:widowControl/>
        <w:autoSpaceDE w:val="0"/>
        <w:autoSpaceDN w:val="0"/>
        <w:adjustRightInd w:val="0"/>
        <w:ind w:firstLine="720"/>
        <w:rPr>
          <w:snapToGrid/>
          <w:kern w:val="0"/>
          <w:szCs w:val="22"/>
        </w:rPr>
      </w:pPr>
      <w:r w:rsidRPr="00EF7821">
        <w:rPr>
          <w:snapToGrid/>
          <w:kern w:val="0"/>
          <w:szCs w:val="22"/>
        </w:rPr>
        <w:t>The Applicants state that the following</w:t>
      </w:r>
      <w:r w:rsidRPr="00EF7821" w:rsidR="008F556F">
        <w:rPr>
          <w:snapToGrid/>
          <w:kern w:val="0"/>
          <w:szCs w:val="22"/>
        </w:rPr>
        <w:t xml:space="preserve"> </w:t>
      </w:r>
      <w:r w:rsidRPr="00EF7821">
        <w:rPr>
          <w:snapToGrid/>
          <w:kern w:val="0"/>
          <w:szCs w:val="22"/>
        </w:rPr>
        <w:t>entities will hold a 10% or greater equity or voting interest in New Windstream after the</w:t>
      </w:r>
      <w:r w:rsidRPr="00EF7821" w:rsidR="008F556F">
        <w:rPr>
          <w:snapToGrid/>
          <w:kern w:val="0"/>
          <w:szCs w:val="22"/>
        </w:rPr>
        <w:t xml:space="preserve"> </w:t>
      </w:r>
      <w:r w:rsidRPr="00EF7821">
        <w:rPr>
          <w:snapToGrid/>
          <w:kern w:val="0"/>
          <w:szCs w:val="22"/>
        </w:rPr>
        <w:t>completion of Step One:</w:t>
      </w:r>
      <w:r w:rsidR="002B1A6F">
        <w:rPr>
          <w:snapToGrid/>
          <w:kern w:val="0"/>
          <w:szCs w:val="22"/>
        </w:rPr>
        <w:t xml:space="preserve"> </w:t>
      </w:r>
      <w:r w:rsidRPr="00EF7821">
        <w:rPr>
          <w:snapToGrid/>
          <w:kern w:val="0"/>
          <w:szCs w:val="22"/>
        </w:rPr>
        <w:t xml:space="preserve"> Nexus Aggregator, L.P. (estimated 49.9% voting and equity interest) and</w:t>
      </w:r>
      <w:r w:rsidRPr="00EF7821" w:rsidR="008F556F">
        <w:rPr>
          <w:snapToGrid/>
          <w:kern w:val="0"/>
          <w:szCs w:val="22"/>
        </w:rPr>
        <w:t xml:space="preserve"> </w:t>
      </w:r>
      <w:r w:rsidRPr="00EF7821">
        <w:rPr>
          <w:snapToGrid/>
          <w:kern w:val="0"/>
          <w:szCs w:val="22"/>
        </w:rPr>
        <w:t xml:space="preserve">Franklin Resources, Inc. (estimated </w:t>
      </w:r>
      <w:r w:rsidRPr="00EF7821" w:rsidR="00B061AC">
        <w:rPr>
          <w:snapToGrid/>
          <w:kern w:val="0"/>
          <w:szCs w:val="22"/>
        </w:rPr>
        <w:t>30.3</w:t>
      </w:r>
      <w:r w:rsidRPr="00EF7821">
        <w:rPr>
          <w:snapToGrid/>
          <w:kern w:val="0"/>
          <w:szCs w:val="22"/>
        </w:rPr>
        <w:t>% voting and equity interest).</w:t>
      </w:r>
      <w:r>
        <w:rPr>
          <w:rStyle w:val="FootnoteReference"/>
          <w:snapToGrid/>
          <w:kern w:val="0"/>
          <w:szCs w:val="22"/>
        </w:rPr>
        <w:footnoteReference w:id="19"/>
      </w:r>
      <w:r w:rsidRPr="00EF7821" w:rsidR="008F556F">
        <w:rPr>
          <w:snapToGrid/>
          <w:kern w:val="0"/>
          <w:szCs w:val="22"/>
        </w:rPr>
        <w:t xml:space="preserve">  </w:t>
      </w:r>
      <w:r w:rsidRPr="00EF7821">
        <w:rPr>
          <w:snapToGrid/>
          <w:kern w:val="0"/>
          <w:szCs w:val="22"/>
        </w:rPr>
        <w:t>Nexus Aggregator, L.P. is</w:t>
      </w:r>
      <w:r w:rsidRPr="00EF7821" w:rsidR="008F556F">
        <w:rPr>
          <w:snapToGrid/>
          <w:kern w:val="0"/>
          <w:szCs w:val="22"/>
        </w:rPr>
        <w:t xml:space="preserve"> </w:t>
      </w:r>
      <w:r w:rsidRPr="00EF7821">
        <w:rPr>
          <w:snapToGrid/>
          <w:kern w:val="0"/>
          <w:szCs w:val="22"/>
        </w:rPr>
        <w:t>an investment fund affiliated with Elliott Management Corporation and its affiliates (collectively</w:t>
      </w:r>
      <w:r w:rsidRPr="00EF7821" w:rsidR="008F556F">
        <w:rPr>
          <w:snapToGrid/>
          <w:kern w:val="0"/>
          <w:szCs w:val="22"/>
        </w:rPr>
        <w:t xml:space="preserve"> </w:t>
      </w:r>
      <w:r w:rsidRPr="00EF7821">
        <w:rPr>
          <w:snapToGrid/>
          <w:kern w:val="0"/>
          <w:szCs w:val="22"/>
        </w:rPr>
        <w:t>Elliott).</w:t>
      </w:r>
      <w:r>
        <w:rPr>
          <w:rStyle w:val="FootnoteReference"/>
          <w:snapToGrid/>
          <w:kern w:val="0"/>
          <w:szCs w:val="22"/>
        </w:rPr>
        <w:footnoteReference w:id="20"/>
      </w:r>
      <w:r w:rsidRPr="00EF7821" w:rsidR="008F556F">
        <w:rPr>
          <w:snapToGrid/>
          <w:kern w:val="0"/>
          <w:szCs w:val="22"/>
        </w:rPr>
        <w:t xml:space="preserve">  </w:t>
      </w:r>
      <w:r w:rsidRPr="00EF7821">
        <w:rPr>
          <w:snapToGrid/>
          <w:kern w:val="0"/>
          <w:szCs w:val="22"/>
        </w:rPr>
        <w:t>Applicants list the nine Elliott entities that will have a 10% or greater direct or indirect</w:t>
      </w:r>
      <w:r w:rsidRPr="00EF7821" w:rsidR="008F556F">
        <w:rPr>
          <w:snapToGrid/>
          <w:kern w:val="0"/>
          <w:szCs w:val="22"/>
        </w:rPr>
        <w:t xml:space="preserve"> </w:t>
      </w:r>
      <w:r w:rsidR="004B5170">
        <w:rPr>
          <w:snapToGrid/>
          <w:kern w:val="0"/>
          <w:szCs w:val="22"/>
        </w:rPr>
        <w:t xml:space="preserve">equity and </w:t>
      </w:r>
      <w:r w:rsidRPr="00EF7821">
        <w:rPr>
          <w:snapToGrid/>
          <w:kern w:val="0"/>
          <w:szCs w:val="22"/>
        </w:rPr>
        <w:t>voting interest in New Windstream following consummation of Step One.</w:t>
      </w:r>
      <w:r>
        <w:rPr>
          <w:rStyle w:val="FootnoteReference"/>
          <w:snapToGrid/>
          <w:kern w:val="0"/>
          <w:szCs w:val="22"/>
        </w:rPr>
        <w:footnoteReference w:id="21"/>
      </w:r>
      <w:r w:rsidRPr="00EF7821" w:rsidR="008F556F">
        <w:rPr>
          <w:snapToGrid/>
          <w:kern w:val="0"/>
          <w:szCs w:val="22"/>
        </w:rPr>
        <w:t xml:space="preserve">  </w:t>
      </w:r>
      <w:r w:rsidR="00E70B16">
        <w:rPr>
          <w:snapToGrid/>
          <w:kern w:val="0"/>
          <w:szCs w:val="22"/>
        </w:rPr>
        <w:t>Although</w:t>
      </w:r>
      <w:r w:rsidRPr="00EF7821" w:rsidR="00E70B16">
        <w:rPr>
          <w:snapToGrid/>
          <w:kern w:val="0"/>
          <w:szCs w:val="22"/>
        </w:rPr>
        <w:t xml:space="preserve"> </w:t>
      </w:r>
      <w:r w:rsidRPr="00A70B8A">
        <w:rPr>
          <w:snapToGrid/>
          <w:kern w:val="0"/>
          <w:szCs w:val="22"/>
        </w:rPr>
        <w:t>Elliott does not</w:t>
      </w:r>
      <w:r w:rsidRPr="00A70B8A" w:rsidR="008F556F">
        <w:rPr>
          <w:snapToGrid/>
          <w:kern w:val="0"/>
          <w:szCs w:val="22"/>
        </w:rPr>
        <w:t xml:space="preserve"> </w:t>
      </w:r>
      <w:r w:rsidRPr="00A70B8A">
        <w:rPr>
          <w:snapToGrid/>
          <w:kern w:val="0"/>
          <w:szCs w:val="22"/>
        </w:rPr>
        <w:t xml:space="preserve">provide communications services, it </w:t>
      </w:r>
      <w:r w:rsidRPr="00A70B8A" w:rsidR="00ED59E9">
        <w:rPr>
          <w:snapToGrid/>
          <w:kern w:val="0"/>
          <w:szCs w:val="22"/>
        </w:rPr>
        <w:t xml:space="preserve">has </w:t>
      </w:r>
      <w:r w:rsidRPr="00A70B8A">
        <w:rPr>
          <w:snapToGrid/>
          <w:kern w:val="0"/>
          <w:szCs w:val="22"/>
        </w:rPr>
        <w:t>a</w:t>
      </w:r>
      <w:r w:rsidRPr="00A70B8A" w:rsidR="00FD7898">
        <w:rPr>
          <w:snapToGrid/>
          <w:kern w:val="0"/>
          <w:szCs w:val="22"/>
        </w:rPr>
        <w:t>n</w:t>
      </w:r>
      <w:r w:rsidRPr="00A70B8A">
        <w:rPr>
          <w:snapToGrid/>
          <w:kern w:val="0"/>
          <w:szCs w:val="22"/>
        </w:rPr>
        <w:t xml:space="preserve"> interest in LogMeIn, Inc., which has wholly-owned subsidiaries that</w:t>
      </w:r>
      <w:r w:rsidRPr="00A70B8A" w:rsidR="008F556F">
        <w:rPr>
          <w:snapToGrid/>
          <w:kern w:val="0"/>
          <w:szCs w:val="22"/>
        </w:rPr>
        <w:t xml:space="preserve"> </w:t>
      </w:r>
      <w:r w:rsidRPr="00A70B8A">
        <w:rPr>
          <w:snapToGrid/>
          <w:kern w:val="0"/>
          <w:szCs w:val="22"/>
        </w:rPr>
        <w:t>hold telecommunications authorizations.</w:t>
      </w:r>
      <w:r>
        <w:rPr>
          <w:rStyle w:val="FootnoteReference"/>
          <w:snapToGrid/>
          <w:kern w:val="0"/>
          <w:szCs w:val="22"/>
        </w:rPr>
        <w:footnoteReference w:id="22"/>
      </w:r>
      <w:r w:rsidRPr="00A70B8A" w:rsidR="008F556F">
        <w:rPr>
          <w:snapToGrid/>
          <w:kern w:val="0"/>
          <w:szCs w:val="22"/>
        </w:rPr>
        <w:t xml:space="preserve">  </w:t>
      </w:r>
      <w:r w:rsidRPr="00A70B8A">
        <w:rPr>
          <w:snapToGrid/>
          <w:kern w:val="0"/>
          <w:szCs w:val="22"/>
        </w:rPr>
        <w:t xml:space="preserve">Funds </w:t>
      </w:r>
      <w:r w:rsidRPr="00A70B8A" w:rsidR="00E85170">
        <w:rPr>
          <w:snapToGrid/>
          <w:kern w:val="0"/>
          <w:szCs w:val="22"/>
        </w:rPr>
        <w:t>wholly</w:t>
      </w:r>
      <w:r w:rsidR="004B5170">
        <w:rPr>
          <w:snapToGrid/>
          <w:kern w:val="0"/>
          <w:szCs w:val="22"/>
        </w:rPr>
        <w:t xml:space="preserve"> </w:t>
      </w:r>
      <w:r w:rsidRPr="00A70B8A" w:rsidR="002B1A6F">
        <w:rPr>
          <w:snapToGrid/>
          <w:kern w:val="0"/>
          <w:szCs w:val="22"/>
        </w:rPr>
        <w:t xml:space="preserve">owned by </w:t>
      </w:r>
      <w:r w:rsidRPr="00A70B8A" w:rsidR="00E85170">
        <w:rPr>
          <w:snapToGrid/>
          <w:kern w:val="0"/>
          <w:szCs w:val="22"/>
        </w:rPr>
        <w:t xml:space="preserve">U.S. </w:t>
      </w:r>
      <w:r w:rsidRPr="00A70B8A" w:rsidR="002B1A6F">
        <w:rPr>
          <w:snapToGrid/>
          <w:kern w:val="0"/>
          <w:szCs w:val="22"/>
        </w:rPr>
        <w:t>citizens</w:t>
      </w:r>
      <w:r w:rsidRPr="00A70B8A" w:rsidR="00E85170">
        <w:rPr>
          <w:snapToGrid/>
          <w:kern w:val="0"/>
          <w:szCs w:val="22"/>
        </w:rPr>
        <w:t xml:space="preserve">, Oaktree Capital Group Holdings GP, LLC </w:t>
      </w:r>
      <w:r w:rsidRPr="00A70B8A" w:rsidR="00EE1879">
        <w:rPr>
          <w:snapToGrid/>
          <w:kern w:val="0"/>
          <w:szCs w:val="22"/>
        </w:rPr>
        <w:t xml:space="preserve">(Oaktree) </w:t>
      </w:r>
      <w:r w:rsidRPr="00A70B8A" w:rsidR="00E85170">
        <w:rPr>
          <w:snapToGrid/>
          <w:kern w:val="0"/>
          <w:szCs w:val="22"/>
        </w:rPr>
        <w:t>and Brigade Capital Management, LP.</w:t>
      </w:r>
      <w:r w:rsidRPr="00A70B8A" w:rsidR="00EE1879">
        <w:rPr>
          <w:snapToGrid/>
          <w:kern w:val="0"/>
          <w:szCs w:val="22"/>
        </w:rPr>
        <w:t xml:space="preserve"> (Brigade)</w:t>
      </w:r>
      <w:r w:rsidRPr="00A70B8A" w:rsidR="00E85170">
        <w:rPr>
          <w:snapToGrid/>
          <w:kern w:val="0"/>
          <w:szCs w:val="22"/>
        </w:rPr>
        <w:t xml:space="preserve">, </w:t>
      </w:r>
      <w:r w:rsidR="00F34EA5">
        <w:rPr>
          <w:snapToGrid/>
          <w:kern w:val="0"/>
          <w:szCs w:val="22"/>
        </w:rPr>
        <w:t xml:space="preserve">combined, </w:t>
      </w:r>
      <w:r w:rsidRPr="00A70B8A" w:rsidR="00E85170">
        <w:rPr>
          <w:snapToGrid/>
          <w:kern w:val="0"/>
          <w:szCs w:val="22"/>
        </w:rPr>
        <w:t>w</w:t>
      </w:r>
      <w:r w:rsidRPr="00A70B8A">
        <w:rPr>
          <w:snapToGrid/>
          <w:kern w:val="0"/>
          <w:szCs w:val="22"/>
        </w:rPr>
        <w:t xml:space="preserve">ill hold an estimated </w:t>
      </w:r>
      <w:r w:rsidRPr="00A70B8A" w:rsidR="00E85170">
        <w:rPr>
          <w:snapToGrid/>
          <w:kern w:val="0"/>
          <w:szCs w:val="22"/>
        </w:rPr>
        <w:t>19</w:t>
      </w:r>
      <w:r w:rsidRPr="00A70B8A">
        <w:rPr>
          <w:snapToGrid/>
          <w:kern w:val="0"/>
          <w:szCs w:val="22"/>
        </w:rPr>
        <w:t>.</w:t>
      </w:r>
      <w:r w:rsidRPr="00A70B8A" w:rsidR="00E85170">
        <w:rPr>
          <w:snapToGrid/>
          <w:kern w:val="0"/>
          <w:szCs w:val="22"/>
        </w:rPr>
        <w:t>8</w:t>
      </w:r>
      <w:r w:rsidRPr="00A70B8A">
        <w:rPr>
          <w:snapToGrid/>
          <w:kern w:val="0"/>
          <w:szCs w:val="22"/>
        </w:rPr>
        <w:t>% of the</w:t>
      </w:r>
      <w:r w:rsidRPr="00A70B8A" w:rsidR="008F556F">
        <w:rPr>
          <w:snapToGrid/>
          <w:kern w:val="0"/>
          <w:szCs w:val="22"/>
        </w:rPr>
        <w:t xml:space="preserve"> </w:t>
      </w:r>
      <w:r w:rsidRPr="00A70B8A">
        <w:rPr>
          <w:snapToGrid/>
          <w:kern w:val="0"/>
          <w:szCs w:val="22"/>
        </w:rPr>
        <w:t>equity and voting interests of New Windstream following consummation of Step One of the</w:t>
      </w:r>
      <w:r w:rsidRPr="00A70B8A" w:rsidR="00424537">
        <w:rPr>
          <w:snapToGrid/>
          <w:kern w:val="0"/>
          <w:szCs w:val="22"/>
        </w:rPr>
        <w:t xml:space="preserve"> </w:t>
      </w:r>
      <w:r w:rsidRPr="00A70B8A" w:rsidR="00E85170">
        <w:rPr>
          <w:snapToGrid/>
          <w:kern w:val="0"/>
          <w:szCs w:val="22"/>
        </w:rPr>
        <w:t>t</w:t>
      </w:r>
      <w:r w:rsidRPr="00A70B8A">
        <w:rPr>
          <w:snapToGrid/>
          <w:kern w:val="0"/>
          <w:szCs w:val="22"/>
        </w:rPr>
        <w:t>ransaction</w:t>
      </w:r>
      <w:r w:rsidRPr="00A70B8A" w:rsidR="00E85170">
        <w:rPr>
          <w:snapToGrid/>
          <w:kern w:val="0"/>
          <w:szCs w:val="22"/>
        </w:rPr>
        <w:t>.</w:t>
      </w:r>
      <w:r>
        <w:rPr>
          <w:rStyle w:val="FootnoteReference"/>
          <w:snapToGrid/>
          <w:kern w:val="0"/>
          <w:szCs w:val="22"/>
        </w:rPr>
        <w:footnoteReference w:id="23"/>
      </w:r>
    </w:p>
    <w:p w:rsidR="008F556F" w:rsidRPr="00EF7821" w:rsidP="004C686B" w14:paraId="783FE562" w14:textId="77777777">
      <w:pPr>
        <w:widowControl/>
        <w:autoSpaceDE w:val="0"/>
        <w:autoSpaceDN w:val="0"/>
        <w:adjustRightInd w:val="0"/>
        <w:rPr>
          <w:snapToGrid/>
          <w:kern w:val="0"/>
          <w:szCs w:val="22"/>
        </w:rPr>
      </w:pPr>
    </w:p>
    <w:p w:rsidR="000F3238" w:rsidP="00E9069D" w14:paraId="39E769CE" w14:textId="6397ABB5">
      <w:pPr>
        <w:widowControl/>
        <w:autoSpaceDE w:val="0"/>
        <w:autoSpaceDN w:val="0"/>
        <w:adjustRightInd w:val="0"/>
        <w:ind w:firstLine="720"/>
        <w:rPr>
          <w:snapToGrid/>
          <w:kern w:val="0"/>
          <w:szCs w:val="22"/>
        </w:rPr>
      </w:pPr>
      <w:r>
        <w:rPr>
          <w:snapToGrid/>
          <w:kern w:val="0"/>
          <w:szCs w:val="22"/>
        </w:rPr>
        <w:t xml:space="preserve">The </w:t>
      </w:r>
      <w:r w:rsidRPr="00EF7821" w:rsidR="004C686B">
        <w:rPr>
          <w:snapToGrid/>
          <w:kern w:val="0"/>
          <w:szCs w:val="22"/>
        </w:rPr>
        <w:t>Applicants request that</w:t>
      </w:r>
      <w:r w:rsidRPr="00EF7821" w:rsidR="0005049B">
        <w:rPr>
          <w:snapToGrid/>
          <w:kern w:val="0"/>
          <w:szCs w:val="22"/>
        </w:rPr>
        <w:t xml:space="preserve"> </w:t>
      </w:r>
      <w:r w:rsidRPr="00EF7821" w:rsidR="004C686B">
        <w:rPr>
          <w:snapToGrid/>
          <w:kern w:val="0"/>
          <w:szCs w:val="22"/>
        </w:rPr>
        <w:t>the</w:t>
      </w:r>
      <w:r w:rsidRPr="00EF7821" w:rsidR="0005049B">
        <w:rPr>
          <w:snapToGrid/>
          <w:kern w:val="0"/>
          <w:szCs w:val="22"/>
        </w:rPr>
        <w:t xml:space="preserve"> </w:t>
      </w:r>
      <w:r w:rsidRPr="00EF7821" w:rsidR="004C686B">
        <w:rPr>
          <w:snapToGrid/>
          <w:kern w:val="0"/>
          <w:szCs w:val="22"/>
        </w:rPr>
        <w:t>Commission approve the present transfer of control applications as part of Step One to permit</w:t>
      </w:r>
      <w:r w:rsidRPr="00EF7821" w:rsidR="00157328">
        <w:rPr>
          <w:snapToGrid/>
          <w:kern w:val="0"/>
          <w:szCs w:val="22"/>
        </w:rPr>
        <w:t xml:space="preserve"> </w:t>
      </w:r>
      <w:r w:rsidRPr="00EF7821" w:rsidR="004C686B">
        <w:rPr>
          <w:snapToGrid/>
          <w:kern w:val="0"/>
          <w:szCs w:val="22"/>
        </w:rPr>
        <w:t xml:space="preserve">Windstream to </w:t>
      </w:r>
      <w:r w:rsidR="008F47FB">
        <w:rPr>
          <w:snapToGrid/>
          <w:kern w:val="0"/>
          <w:szCs w:val="22"/>
        </w:rPr>
        <w:t xml:space="preserve">promptly </w:t>
      </w:r>
      <w:r w:rsidRPr="00EF7821" w:rsidR="004C686B">
        <w:rPr>
          <w:snapToGrid/>
          <w:kern w:val="0"/>
          <w:szCs w:val="22"/>
        </w:rPr>
        <w:t>emerge from bankruptcy.</w:t>
      </w:r>
      <w:r>
        <w:rPr>
          <w:rStyle w:val="FootnoteReference"/>
          <w:snapToGrid/>
          <w:kern w:val="0"/>
          <w:szCs w:val="22"/>
        </w:rPr>
        <w:footnoteReference w:id="24"/>
      </w:r>
      <w:r w:rsidRPr="00EF7821" w:rsidR="004C686B">
        <w:rPr>
          <w:snapToGrid/>
          <w:kern w:val="0"/>
          <w:szCs w:val="22"/>
        </w:rPr>
        <w:t xml:space="preserve"> </w:t>
      </w:r>
      <w:r w:rsidR="0011177D">
        <w:rPr>
          <w:snapToGrid/>
          <w:kern w:val="0"/>
          <w:szCs w:val="22"/>
        </w:rPr>
        <w:t xml:space="preserve"> </w:t>
      </w:r>
      <w:r w:rsidRPr="00EF7821" w:rsidR="004C686B">
        <w:rPr>
          <w:snapToGrid/>
          <w:kern w:val="0"/>
          <w:szCs w:val="22"/>
        </w:rPr>
        <w:t>Applicants assert that they will emerge with aggregate</w:t>
      </w:r>
      <w:r w:rsidRPr="00EF7821" w:rsidR="00157328">
        <w:rPr>
          <w:snapToGrid/>
          <w:kern w:val="0"/>
          <w:szCs w:val="22"/>
        </w:rPr>
        <w:t xml:space="preserve"> </w:t>
      </w:r>
      <w:r w:rsidRPr="00EF7821" w:rsidR="004C686B">
        <w:rPr>
          <w:snapToGrid/>
          <w:kern w:val="0"/>
          <w:szCs w:val="22"/>
        </w:rPr>
        <w:t>foreign ownership below the 25% statutory benchmark set forth in section 310(b)(4) of the Act and</w:t>
      </w:r>
      <w:r w:rsidRPr="00EF7821" w:rsidR="00157328">
        <w:rPr>
          <w:snapToGrid/>
          <w:kern w:val="0"/>
          <w:szCs w:val="22"/>
        </w:rPr>
        <w:t xml:space="preserve"> </w:t>
      </w:r>
      <w:r w:rsidRPr="00EF7821" w:rsidR="004C686B">
        <w:rPr>
          <w:snapToGrid/>
          <w:kern w:val="0"/>
          <w:szCs w:val="22"/>
        </w:rPr>
        <w:t>with no foreign investor holding 10% or more of New Windstream’s stock.</w:t>
      </w:r>
      <w:r>
        <w:rPr>
          <w:rStyle w:val="FootnoteReference"/>
          <w:snapToGrid/>
          <w:kern w:val="0"/>
          <w:szCs w:val="22"/>
        </w:rPr>
        <w:footnoteReference w:id="25"/>
      </w:r>
      <w:r w:rsidRPr="00EF7821" w:rsidR="00157328">
        <w:rPr>
          <w:snapToGrid/>
          <w:kern w:val="0"/>
          <w:szCs w:val="22"/>
        </w:rPr>
        <w:t xml:space="preserve">  </w:t>
      </w:r>
      <w:r w:rsidRPr="00EF7821" w:rsidR="004C686B">
        <w:rPr>
          <w:snapToGrid/>
          <w:kern w:val="0"/>
          <w:szCs w:val="22"/>
        </w:rPr>
        <w:t>According to</w:t>
      </w:r>
      <w:r w:rsidRPr="00EF7821" w:rsidR="00157328">
        <w:rPr>
          <w:snapToGrid/>
          <w:kern w:val="0"/>
          <w:szCs w:val="22"/>
        </w:rPr>
        <w:t xml:space="preserve"> </w:t>
      </w:r>
      <w:r>
        <w:rPr>
          <w:snapToGrid/>
          <w:kern w:val="0"/>
          <w:szCs w:val="22"/>
        </w:rPr>
        <w:t xml:space="preserve">the </w:t>
      </w:r>
      <w:r w:rsidRPr="00EF7821" w:rsidR="004C686B">
        <w:rPr>
          <w:snapToGrid/>
          <w:kern w:val="0"/>
          <w:szCs w:val="22"/>
        </w:rPr>
        <w:t xml:space="preserve">Applicants, </w:t>
      </w:r>
      <w:r w:rsidRPr="00EF7821" w:rsidR="00157328">
        <w:rPr>
          <w:snapToGrid/>
          <w:kern w:val="0"/>
          <w:szCs w:val="22"/>
        </w:rPr>
        <w:t xml:space="preserve">upon closing of Step One, </w:t>
      </w:r>
      <w:r w:rsidRPr="00EF7821" w:rsidR="004C686B">
        <w:rPr>
          <w:snapToGrid/>
          <w:kern w:val="0"/>
          <w:szCs w:val="22"/>
        </w:rPr>
        <w:t>certain foreign</w:t>
      </w:r>
      <w:r w:rsidRPr="00EF7821" w:rsidR="00157328">
        <w:rPr>
          <w:snapToGrid/>
          <w:kern w:val="0"/>
          <w:szCs w:val="22"/>
        </w:rPr>
        <w:t xml:space="preserve"> </w:t>
      </w:r>
      <w:r w:rsidR="004B5170">
        <w:rPr>
          <w:snapToGrid/>
          <w:kern w:val="0"/>
          <w:szCs w:val="22"/>
        </w:rPr>
        <w:t>entities</w:t>
      </w:r>
      <w:r w:rsidRPr="00EF7821" w:rsidR="004C686B">
        <w:rPr>
          <w:snapToGrid/>
          <w:kern w:val="0"/>
          <w:szCs w:val="22"/>
        </w:rPr>
        <w:t xml:space="preserve"> w</w:t>
      </w:r>
      <w:r w:rsidR="008F47FB">
        <w:rPr>
          <w:snapToGrid/>
          <w:kern w:val="0"/>
          <w:szCs w:val="22"/>
        </w:rPr>
        <w:t xml:space="preserve">ill </w:t>
      </w:r>
      <w:r w:rsidRPr="00EF7821" w:rsidR="004C686B">
        <w:rPr>
          <w:snapToGrid/>
          <w:kern w:val="0"/>
          <w:szCs w:val="22"/>
        </w:rPr>
        <w:t xml:space="preserve">hold </w:t>
      </w:r>
      <w:r w:rsidRPr="00EF7821" w:rsidR="00157328">
        <w:rPr>
          <w:snapToGrid/>
          <w:kern w:val="0"/>
          <w:szCs w:val="22"/>
        </w:rPr>
        <w:t>S</w:t>
      </w:r>
      <w:r w:rsidRPr="00EF7821" w:rsidR="004C686B">
        <w:rPr>
          <w:snapToGrid/>
          <w:kern w:val="0"/>
          <w:szCs w:val="22"/>
        </w:rPr>
        <w:t xml:space="preserve">pecial </w:t>
      </w:r>
      <w:r w:rsidRPr="00EF7821" w:rsidR="00157328">
        <w:rPr>
          <w:snapToGrid/>
          <w:kern w:val="0"/>
          <w:szCs w:val="22"/>
        </w:rPr>
        <w:t>W</w:t>
      </w:r>
      <w:r w:rsidRPr="00EF7821" w:rsidR="004C686B">
        <w:rPr>
          <w:snapToGrid/>
          <w:kern w:val="0"/>
          <w:szCs w:val="22"/>
        </w:rPr>
        <w:t>arrants entitling them to obtain indirect equity interests</w:t>
      </w:r>
      <w:r w:rsidRPr="00EF7821" w:rsidR="00157328">
        <w:rPr>
          <w:snapToGrid/>
          <w:kern w:val="0"/>
          <w:szCs w:val="22"/>
        </w:rPr>
        <w:t xml:space="preserve"> </w:t>
      </w:r>
      <w:r w:rsidRPr="00EF7821" w:rsidR="004C686B">
        <w:rPr>
          <w:snapToGrid/>
          <w:kern w:val="0"/>
          <w:szCs w:val="22"/>
        </w:rPr>
        <w:t xml:space="preserve">in </w:t>
      </w:r>
      <w:r w:rsidR="008F47FB">
        <w:rPr>
          <w:snapToGrid/>
          <w:kern w:val="0"/>
          <w:szCs w:val="22"/>
        </w:rPr>
        <w:t xml:space="preserve">New </w:t>
      </w:r>
      <w:r w:rsidRPr="00EF7821" w:rsidR="004C686B">
        <w:rPr>
          <w:snapToGrid/>
          <w:kern w:val="0"/>
          <w:szCs w:val="22"/>
        </w:rPr>
        <w:t>Windstream, but the</w:t>
      </w:r>
      <w:r w:rsidR="004B5170">
        <w:rPr>
          <w:snapToGrid/>
          <w:kern w:val="0"/>
          <w:szCs w:val="22"/>
        </w:rPr>
        <w:t xml:space="preserve"> foreign special </w:t>
      </w:r>
      <w:r w:rsidR="004B5170">
        <w:rPr>
          <w:snapToGrid/>
          <w:kern w:val="0"/>
          <w:szCs w:val="22"/>
        </w:rPr>
        <w:t>warrant holders</w:t>
      </w:r>
      <w:r w:rsidRPr="00EF7821" w:rsidR="004C686B">
        <w:rPr>
          <w:snapToGrid/>
          <w:kern w:val="0"/>
          <w:szCs w:val="22"/>
        </w:rPr>
        <w:t xml:space="preserve"> c</w:t>
      </w:r>
      <w:r w:rsidR="00B106E1">
        <w:rPr>
          <w:snapToGrid/>
          <w:kern w:val="0"/>
          <w:szCs w:val="22"/>
        </w:rPr>
        <w:t>an</w:t>
      </w:r>
      <w:r w:rsidRPr="00EF7821" w:rsidR="004C686B">
        <w:rPr>
          <w:snapToGrid/>
          <w:kern w:val="0"/>
          <w:szCs w:val="22"/>
        </w:rPr>
        <w:t>not exercise such Special Warrants until the Commission approves a</w:t>
      </w:r>
      <w:r w:rsidRPr="00EF7821" w:rsidR="00157328">
        <w:rPr>
          <w:snapToGrid/>
          <w:kern w:val="0"/>
          <w:szCs w:val="22"/>
        </w:rPr>
        <w:t xml:space="preserve"> </w:t>
      </w:r>
      <w:r w:rsidRPr="00EF7821" w:rsidR="004C686B">
        <w:rPr>
          <w:snapToGrid/>
          <w:kern w:val="0"/>
          <w:szCs w:val="22"/>
        </w:rPr>
        <w:t xml:space="preserve">higher level of foreign investment </w:t>
      </w:r>
      <w:r w:rsidR="0063342E">
        <w:rPr>
          <w:snapToGrid/>
          <w:kern w:val="0"/>
          <w:szCs w:val="22"/>
        </w:rPr>
        <w:t>and any r</w:t>
      </w:r>
      <w:r w:rsidR="00255D1A">
        <w:rPr>
          <w:snapToGrid/>
          <w:kern w:val="0"/>
          <w:szCs w:val="22"/>
        </w:rPr>
        <w:t>equired</w:t>
      </w:r>
      <w:r w:rsidR="0063342E">
        <w:rPr>
          <w:snapToGrid/>
          <w:kern w:val="0"/>
          <w:szCs w:val="22"/>
        </w:rPr>
        <w:t xml:space="preserve"> requests for specific approval </w:t>
      </w:r>
      <w:r w:rsidRPr="00EF7821" w:rsidR="004C686B">
        <w:rPr>
          <w:snapToGrid/>
          <w:kern w:val="0"/>
          <w:szCs w:val="22"/>
        </w:rPr>
        <w:t xml:space="preserve">in </w:t>
      </w:r>
      <w:r w:rsidR="00B106E1">
        <w:rPr>
          <w:snapToGrid/>
          <w:kern w:val="0"/>
          <w:szCs w:val="22"/>
        </w:rPr>
        <w:t xml:space="preserve">New Windstream in </w:t>
      </w:r>
      <w:r w:rsidRPr="00EF7821" w:rsidR="004C686B">
        <w:rPr>
          <w:snapToGrid/>
          <w:kern w:val="0"/>
          <w:szCs w:val="22"/>
        </w:rPr>
        <w:t xml:space="preserve">“Step Two” of the </w:t>
      </w:r>
      <w:r w:rsidR="008F47FB">
        <w:rPr>
          <w:snapToGrid/>
          <w:kern w:val="0"/>
          <w:szCs w:val="22"/>
        </w:rPr>
        <w:t>t</w:t>
      </w:r>
      <w:r w:rsidRPr="00EF7821" w:rsidR="004C686B">
        <w:rPr>
          <w:snapToGrid/>
          <w:kern w:val="0"/>
          <w:szCs w:val="22"/>
        </w:rPr>
        <w:t>ransaction.</w:t>
      </w:r>
      <w:r>
        <w:rPr>
          <w:rStyle w:val="FootnoteReference"/>
          <w:snapToGrid/>
          <w:kern w:val="0"/>
          <w:szCs w:val="22"/>
        </w:rPr>
        <w:footnoteReference w:id="26"/>
      </w:r>
      <w:r w:rsidR="00DE6F2C">
        <w:rPr>
          <w:snapToGrid/>
          <w:kern w:val="0"/>
          <w:szCs w:val="22"/>
        </w:rPr>
        <w:t xml:space="preserve">  </w:t>
      </w:r>
      <w:r w:rsidR="00D954DF">
        <w:rPr>
          <w:snapToGrid/>
          <w:kern w:val="0"/>
          <w:szCs w:val="22"/>
        </w:rPr>
        <w:t>Applicants note that some investors will own Special Warrants in Windstream Holdings LLC</w:t>
      </w:r>
      <w:r w:rsidR="006C7F2C">
        <w:rPr>
          <w:snapToGrid/>
          <w:kern w:val="0"/>
          <w:szCs w:val="22"/>
        </w:rPr>
        <w:t xml:space="preserve"> </w:t>
      </w:r>
      <w:r w:rsidRPr="00D954DF" w:rsidR="00D954DF">
        <w:rPr>
          <w:snapToGrid/>
          <w:kern w:val="0"/>
          <w:szCs w:val="22"/>
        </w:rPr>
        <w:t>and some investors, including foreign affiliates of Elliott and Brigade, will own warrants in their own U.S. affiliates</w:t>
      </w:r>
      <w:r w:rsidR="00D954DF">
        <w:rPr>
          <w:snapToGrid/>
          <w:kern w:val="0"/>
          <w:szCs w:val="22"/>
        </w:rPr>
        <w:t>.</w:t>
      </w:r>
      <w:r>
        <w:rPr>
          <w:rStyle w:val="FootnoteReference"/>
          <w:snapToGrid/>
          <w:kern w:val="0"/>
          <w:szCs w:val="22"/>
        </w:rPr>
        <w:footnoteReference w:id="27"/>
      </w:r>
      <w:r w:rsidR="00E144C9">
        <w:rPr>
          <w:snapToGrid/>
          <w:kern w:val="0"/>
          <w:szCs w:val="22"/>
        </w:rPr>
        <w:t xml:space="preserve">  </w:t>
      </w:r>
      <w:r w:rsidR="00190EF0">
        <w:rPr>
          <w:snapToGrid/>
          <w:kern w:val="0"/>
          <w:szCs w:val="22"/>
        </w:rPr>
        <w:t>E</w:t>
      </w:r>
      <w:r w:rsidR="00533ED8">
        <w:rPr>
          <w:snapToGrid/>
          <w:kern w:val="0"/>
          <w:szCs w:val="22"/>
        </w:rPr>
        <w:t xml:space="preserve">ach of the Special Warrant agreements state, with respect to distributions, that if a Declaratory Ruling has not been received within 18 months, </w:t>
      </w:r>
      <w:r w:rsidR="00190EF0">
        <w:rPr>
          <w:snapToGrid/>
          <w:kern w:val="0"/>
          <w:szCs w:val="22"/>
        </w:rPr>
        <w:t>distributions could be issued if permitted under the Commu</w:t>
      </w:r>
      <w:r w:rsidR="0007649F">
        <w:rPr>
          <w:snapToGrid/>
          <w:kern w:val="0"/>
          <w:szCs w:val="22"/>
        </w:rPr>
        <w:t>nic</w:t>
      </w:r>
      <w:r w:rsidR="00190EF0">
        <w:rPr>
          <w:snapToGrid/>
          <w:kern w:val="0"/>
          <w:szCs w:val="22"/>
        </w:rPr>
        <w:t>ations Act and Commission rules.</w:t>
      </w:r>
      <w:r>
        <w:rPr>
          <w:rStyle w:val="FootnoteReference"/>
          <w:snapToGrid/>
          <w:kern w:val="0"/>
          <w:szCs w:val="22"/>
        </w:rPr>
        <w:footnoteReference w:id="28"/>
      </w:r>
      <w:r w:rsidR="00190EF0">
        <w:rPr>
          <w:snapToGrid/>
          <w:kern w:val="0"/>
          <w:szCs w:val="22"/>
        </w:rPr>
        <w:t xml:space="preserve"> </w:t>
      </w:r>
      <w:r w:rsidR="00D04FC9">
        <w:rPr>
          <w:snapToGrid/>
          <w:kern w:val="0"/>
          <w:szCs w:val="22"/>
        </w:rPr>
        <w:t xml:space="preserve"> </w:t>
      </w:r>
      <w:r w:rsidRPr="00175A87" w:rsidR="00746056">
        <w:rPr>
          <w:snapToGrid/>
          <w:kern w:val="0"/>
          <w:szCs w:val="22"/>
        </w:rPr>
        <w:t xml:space="preserve">The Windstream Holdings LLC Agreement provides for insulation of any foreign interest holder, including a foreign holder of </w:t>
      </w:r>
      <w:r w:rsidRPr="00175A87" w:rsidR="001A4609">
        <w:rPr>
          <w:snapToGrid/>
          <w:kern w:val="0"/>
          <w:szCs w:val="22"/>
        </w:rPr>
        <w:t>S</w:t>
      </w:r>
      <w:r w:rsidRPr="00175A87" w:rsidR="00746056">
        <w:rPr>
          <w:snapToGrid/>
          <w:kern w:val="0"/>
          <w:szCs w:val="22"/>
        </w:rPr>
        <w:t xml:space="preserve">pecial </w:t>
      </w:r>
      <w:r w:rsidRPr="00175A87" w:rsidR="001A4609">
        <w:rPr>
          <w:snapToGrid/>
          <w:kern w:val="0"/>
          <w:szCs w:val="22"/>
        </w:rPr>
        <w:t>W</w:t>
      </w:r>
      <w:r w:rsidRPr="00175A87" w:rsidR="00746056">
        <w:rPr>
          <w:snapToGrid/>
          <w:kern w:val="0"/>
          <w:szCs w:val="22"/>
        </w:rPr>
        <w:t>arrants, that would require specific approval under section 1.5001(i) of the rules.</w:t>
      </w:r>
      <w:r>
        <w:rPr>
          <w:rStyle w:val="FootnoteReference"/>
          <w:snapToGrid/>
          <w:kern w:val="0"/>
          <w:szCs w:val="22"/>
        </w:rPr>
        <w:footnoteReference w:id="29"/>
      </w:r>
    </w:p>
    <w:p w:rsidR="000F3238" w:rsidP="00E9069D" w14:paraId="1CEE0EC4" w14:textId="77777777">
      <w:pPr>
        <w:widowControl/>
        <w:autoSpaceDE w:val="0"/>
        <w:autoSpaceDN w:val="0"/>
        <w:adjustRightInd w:val="0"/>
        <w:ind w:firstLine="720"/>
        <w:rPr>
          <w:snapToGrid/>
          <w:kern w:val="0"/>
          <w:szCs w:val="22"/>
        </w:rPr>
      </w:pPr>
    </w:p>
    <w:p w:rsidR="004C686B" w:rsidP="00E9069D" w14:paraId="08E5D190" w14:textId="57ABBEAC">
      <w:pPr>
        <w:widowControl/>
        <w:autoSpaceDE w:val="0"/>
        <w:autoSpaceDN w:val="0"/>
        <w:adjustRightInd w:val="0"/>
        <w:ind w:firstLine="720"/>
        <w:rPr>
          <w:snapToGrid/>
          <w:kern w:val="0"/>
          <w:szCs w:val="22"/>
        </w:rPr>
      </w:pPr>
      <w:r w:rsidRPr="00EF7821">
        <w:rPr>
          <w:snapToGrid/>
          <w:kern w:val="0"/>
          <w:szCs w:val="22"/>
        </w:rPr>
        <w:t>In Step Two, Applicants</w:t>
      </w:r>
      <w:r w:rsidR="00D843E3">
        <w:rPr>
          <w:snapToGrid/>
          <w:kern w:val="0"/>
          <w:szCs w:val="22"/>
        </w:rPr>
        <w:t>, within 30 days of Windstream’s emergence from bankruptcy, will</w:t>
      </w:r>
      <w:r w:rsidR="008F47FB">
        <w:rPr>
          <w:snapToGrid/>
          <w:kern w:val="0"/>
          <w:szCs w:val="22"/>
        </w:rPr>
        <w:t xml:space="preserve"> </w:t>
      </w:r>
      <w:r w:rsidRPr="00EF7821">
        <w:rPr>
          <w:snapToGrid/>
          <w:kern w:val="0"/>
          <w:szCs w:val="22"/>
        </w:rPr>
        <w:t xml:space="preserve">file a </w:t>
      </w:r>
      <w:r w:rsidRPr="00EF7821" w:rsidR="00EC43FD">
        <w:rPr>
          <w:snapToGrid/>
          <w:kern w:val="0"/>
          <w:szCs w:val="22"/>
        </w:rPr>
        <w:t>p</w:t>
      </w:r>
      <w:r w:rsidRPr="00EF7821">
        <w:rPr>
          <w:snapToGrid/>
          <w:kern w:val="0"/>
          <w:szCs w:val="22"/>
        </w:rPr>
        <w:t xml:space="preserve">etition for </w:t>
      </w:r>
      <w:r w:rsidRPr="00EF7821" w:rsidR="00EC43FD">
        <w:rPr>
          <w:snapToGrid/>
          <w:kern w:val="0"/>
          <w:szCs w:val="22"/>
        </w:rPr>
        <w:t>d</w:t>
      </w:r>
      <w:r w:rsidRPr="00EF7821">
        <w:rPr>
          <w:snapToGrid/>
          <w:kern w:val="0"/>
          <w:szCs w:val="22"/>
        </w:rPr>
        <w:t>eclaratory</w:t>
      </w:r>
      <w:r w:rsidRPr="00EF7821" w:rsidR="00157328">
        <w:rPr>
          <w:snapToGrid/>
          <w:kern w:val="0"/>
          <w:szCs w:val="22"/>
        </w:rPr>
        <w:t xml:space="preserve"> </w:t>
      </w:r>
      <w:r w:rsidRPr="00EF7821" w:rsidR="00EC43FD">
        <w:rPr>
          <w:snapToGrid/>
          <w:kern w:val="0"/>
          <w:szCs w:val="22"/>
        </w:rPr>
        <w:t>r</w:t>
      </w:r>
      <w:r w:rsidRPr="00EF7821">
        <w:rPr>
          <w:snapToGrid/>
          <w:kern w:val="0"/>
          <w:szCs w:val="22"/>
        </w:rPr>
        <w:t xml:space="preserve">uling requesting Commission approval to permit the exercise of the Special Warrants by foreign entities </w:t>
      </w:r>
      <w:r w:rsidR="008F47FB">
        <w:rPr>
          <w:snapToGrid/>
          <w:kern w:val="0"/>
          <w:szCs w:val="22"/>
        </w:rPr>
        <w:t xml:space="preserve">for </w:t>
      </w:r>
      <w:r w:rsidRPr="00EF7821">
        <w:rPr>
          <w:snapToGrid/>
          <w:kern w:val="0"/>
          <w:szCs w:val="22"/>
        </w:rPr>
        <w:t>indirect interests in New Windstream at levels that would require disclosure or specific</w:t>
      </w:r>
      <w:r w:rsidR="008F47FB">
        <w:rPr>
          <w:snapToGrid/>
          <w:kern w:val="0"/>
          <w:szCs w:val="22"/>
        </w:rPr>
        <w:t xml:space="preserve"> </w:t>
      </w:r>
      <w:r w:rsidRPr="00EF7821" w:rsidR="00AB494A">
        <w:rPr>
          <w:snapToGrid/>
          <w:kern w:val="0"/>
          <w:szCs w:val="22"/>
        </w:rPr>
        <w:t xml:space="preserve">Commission </w:t>
      </w:r>
      <w:r w:rsidRPr="00EF7821">
        <w:rPr>
          <w:snapToGrid/>
          <w:kern w:val="0"/>
          <w:szCs w:val="22"/>
        </w:rPr>
        <w:t>approval.</w:t>
      </w:r>
      <w:r>
        <w:rPr>
          <w:rStyle w:val="FootnoteReference"/>
          <w:snapToGrid/>
          <w:kern w:val="0"/>
          <w:szCs w:val="22"/>
        </w:rPr>
        <w:footnoteReference w:id="30"/>
      </w:r>
      <w:r w:rsidRPr="00EF7821" w:rsidR="00AB494A">
        <w:rPr>
          <w:snapToGrid/>
          <w:kern w:val="0"/>
          <w:szCs w:val="22"/>
        </w:rPr>
        <w:t xml:space="preserve">  Applicants state that the petition also will seek advance approval for New Windstream to be up to 100% foreign owned in the aggregate, consistent with the Commission’s rules governing such requests.</w:t>
      </w:r>
      <w:r>
        <w:rPr>
          <w:rStyle w:val="FootnoteReference"/>
          <w:snapToGrid/>
          <w:kern w:val="0"/>
          <w:szCs w:val="22"/>
        </w:rPr>
        <w:footnoteReference w:id="31"/>
      </w:r>
    </w:p>
    <w:p w:rsidR="005E1A13" w:rsidP="00AB494A" w14:paraId="08EE8BFA" w14:textId="427C9F55">
      <w:pPr>
        <w:widowControl/>
        <w:autoSpaceDE w:val="0"/>
        <w:autoSpaceDN w:val="0"/>
        <w:adjustRightInd w:val="0"/>
        <w:rPr>
          <w:snapToGrid/>
          <w:kern w:val="0"/>
          <w:szCs w:val="22"/>
        </w:rPr>
      </w:pPr>
    </w:p>
    <w:p w:rsidR="005E1A13" w:rsidRPr="00EF7821" w:rsidP="005E1A13" w14:paraId="13D19217" w14:textId="3A1018BD">
      <w:pPr>
        <w:widowControl/>
        <w:autoSpaceDE w:val="0"/>
        <w:autoSpaceDN w:val="0"/>
        <w:adjustRightInd w:val="0"/>
        <w:ind w:firstLine="720"/>
        <w:rPr>
          <w:snapToGrid/>
          <w:kern w:val="0"/>
          <w:szCs w:val="22"/>
        </w:rPr>
      </w:pPr>
      <w:r w:rsidRPr="00EF7821">
        <w:rPr>
          <w:snapToGrid/>
          <w:kern w:val="0"/>
          <w:szCs w:val="22"/>
        </w:rPr>
        <w:t xml:space="preserve">The Applicants seek a temporary and limited waiver of sections 1.948, </w:t>
      </w:r>
      <w:r w:rsidRPr="00382B84">
        <w:rPr>
          <w:snapToGrid/>
          <w:kern w:val="0"/>
          <w:szCs w:val="22"/>
        </w:rPr>
        <w:t>1.2112</w:t>
      </w:r>
      <w:r w:rsidRPr="00EF7821">
        <w:rPr>
          <w:snapToGrid/>
          <w:kern w:val="0"/>
          <w:szCs w:val="22"/>
        </w:rPr>
        <w:t>, 1.5000(a)(1),</w:t>
      </w:r>
    </w:p>
    <w:p w:rsidR="005E1A13" w:rsidP="005E1A13" w14:paraId="0E2835AC" w14:textId="29CA1C99">
      <w:pPr>
        <w:widowControl/>
        <w:autoSpaceDE w:val="0"/>
        <w:autoSpaceDN w:val="0"/>
        <w:adjustRightInd w:val="0"/>
        <w:rPr>
          <w:snapToGrid/>
          <w:kern w:val="0"/>
          <w:szCs w:val="22"/>
        </w:rPr>
      </w:pPr>
      <w:r w:rsidRPr="00EF7821">
        <w:rPr>
          <w:snapToGrid/>
          <w:kern w:val="0"/>
          <w:szCs w:val="22"/>
        </w:rPr>
        <w:t xml:space="preserve">63.03, 63.04, 63.18, and 63.24 of the Commission’s rules </w:t>
      </w:r>
      <w:r w:rsidR="00F570B6">
        <w:rPr>
          <w:snapToGrid/>
          <w:kern w:val="0"/>
          <w:szCs w:val="22"/>
        </w:rPr>
        <w:t>“</w:t>
      </w:r>
      <w:r w:rsidRPr="00EF7821">
        <w:rPr>
          <w:snapToGrid/>
          <w:kern w:val="0"/>
          <w:szCs w:val="22"/>
        </w:rPr>
        <w:t>to the extent required to expedite initial</w:t>
      </w:r>
      <w:r w:rsidR="005F42A8">
        <w:rPr>
          <w:snapToGrid/>
          <w:kern w:val="0"/>
          <w:szCs w:val="22"/>
        </w:rPr>
        <w:t xml:space="preserve"> </w:t>
      </w:r>
      <w:r w:rsidRPr="00EF7821">
        <w:rPr>
          <w:snapToGrid/>
          <w:kern w:val="0"/>
          <w:szCs w:val="22"/>
        </w:rPr>
        <w:t xml:space="preserve">review </w:t>
      </w:r>
      <w:r w:rsidR="008F47FB">
        <w:rPr>
          <w:snapToGrid/>
          <w:kern w:val="0"/>
          <w:szCs w:val="22"/>
        </w:rPr>
        <w:t xml:space="preserve">of their applications </w:t>
      </w:r>
      <w:r w:rsidRPr="00EF7821">
        <w:rPr>
          <w:snapToGrid/>
          <w:kern w:val="0"/>
          <w:szCs w:val="22"/>
        </w:rPr>
        <w:t>and permit the two-step approval process</w:t>
      </w:r>
      <w:r w:rsidR="00F570B6">
        <w:rPr>
          <w:snapToGrid/>
          <w:kern w:val="0"/>
          <w:szCs w:val="22"/>
        </w:rPr>
        <w:t>”</w:t>
      </w:r>
      <w:r>
        <w:rPr>
          <w:rStyle w:val="FootnoteReference"/>
          <w:snapToGrid/>
          <w:kern w:val="0"/>
          <w:szCs w:val="22"/>
        </w:rPr>
        <w:footnoteReference w:id="32"/>
      </w:r>
      <w:r w:rsidRPr="00EF7821">
        <w:rPr>
          <w:snapToGrid/>
          <w:kern w:val="0"/>
          <w:szCs w:val="22"/>
        </w:rPr>
        <w:t xml:space="preserve"> proposed in the transfer applications.</w:t>
      </w:r>
      <w:r>
        <w:rPr>
          <w:rStyle w:val="FootnoteReference"/>
          <w:snapToGrid/>
          <w:kern w:val="0"/>
          <w:szCs w:val="22"/>
        </w:rPr>
        <w:footnoteReference w:id="33"/>
      </w:r>
      <w:r w:rsidRPr="00EF7821">
        <w:rPr>
          <w:snapToGrid/>
          <w:kern w:val="0"/>
          <w:szCs w:val="22"/>
        </w:rPr>
        <w:t xml:space="preserve">  Applicants state that similar waivers previously have been granted allowing companies to emerge from bankruptcy using a two-step review and approval process.</w:t>
      </w:r>
      <w:r>
        <w:rPr>
          <w:rStyle w:val="FootnoteReference"/>
          <w:snapToGrid/>
          <w:kern w:val="0"/>
          <w:szCs w:val="22"/>
        </w:rPr>
        <w:footnoteReference w:id="34"/>
      </w:r>
      <w:r w:rsidR="00382B84">
        <w:rPr>
          <w:snapToGrid/>
          <w:kern w:val="0"/>
          <w:szCs w:val="22"/>
        </w:rPr>
        <w:t xml:space="preserve">  </w:t>
      </w:r>
    </w:p>
    <w:p w:rsidR="00382B84" w:rsidP="005E1A13" w14:paraId="5C59BE54" w14:textId="79E780FE">
      <w:pPr>
        <w:widowControl/>
        <w:autoSpaceDE w:val="0"/>
        <w:autoSpaceDN w:val="0"/>
        <w:adjustRightInd w:val="0"/>
        <w:rPr>
          <w:snapToGrid/>
          <w:kern w:val="0"/>
          <w:szCs w:val="22"/>
        </w:rPr>
      </w:pPr>
    </w:p>
    <w:p w:rsidR="00382B84" w:rsidP="00382B84" w14:paraId="75020263" w14:textId="5B4F5F66">
      <w:pPr>
        <w:widowControl/>
        <w:autoSpaceDE w:val="0"/>
        <w:autoSpaceDN w:val="0"/>
        <w:adjustRightInd w:val="0"/>
        <w:ind w:firstLine="720"/>
        <w:rPr>
          <w:snapToGrid/>
          <w:kern w:val="0"/>
          <w:szCs w:val="22"/>
        </w:rPr>
      </w:pPr>
      <w:r w:rsidRPr="00EF7821">
        <w:rPr>
          <w:snapToGrid/>
          <w:kern w:val="0"/>
          <w:szCs w:val="22"/>
        </w:rPr>
        <w:t>According to the Applicants, grant of the applications and waiver request of sections 1.948, 1.2112, 1.5000(a)(1),</w:t>
      </w:r>
      <w:r w:rsidR="0073557D">
        <w:rPr>
          <w:snapToGrid/>
          <w:kern w:val="0"/>
          <w:szCs w:val="22"/>
        </w:rPr>
        <w:t xml:space="preserve"> </w:t>
      </w:r>
      <w:r w:rsidRPr="00EF7821">
        <w:rPr>
          <w:snapToGrid/>
          <w:kern w:val="0"/>
          <w:szCs w:val="22"/>
        </w:rPr>
        <w:t>63.03, 63.04, 63.18, and 63.24 of the Commission’s rules are in the public interest because following consummation of th</w:t>
      </w:r>
      <w:r>
        <w:rPr>
          <w:snapToGrid/>
          <w:kern w:val="0"/>
          <w:szCs w:val="22"/>
        </w:rPr>
        <w:t>e t</w:t>
      </w:r>
      <w:r w:rsidRPr="00EF7821">
        <w:rPr>
          <w:snapToGrid/>
          <w:kern w:val="0"/>
          <w:szCs w:val="22"/>
        </w:rPr>
        <w:t xml:space="preserve">ransaction, Windstream will (1) </w:t>
      </w:r>
      <w:r>
        <w:rPr>
          <w:snapToGrid/>
          <w:kern w:val="0"/>
          <w:szCs w:val="22"/>
        </w:rPr>
        <w:t xml:space="preserve">emerge </w:t>
      </w:r>
      <w:r w:rsidRPr="00EF7821">
        <w:rPr>
          <w:snapToGrid/>
          <w:kern w:val="0"/>
          <w:szCs w:val="22"/>
        </w:rPr>
        <w:t xml:space="preserve">from bankruptcy with substantially less debt and without service disruption to its customers; (2) </w:t>
      </w:r>
      <w:r>
        <w:rPr>
          <w:snapToGrid/>
          <w:kern w:val="0"/>
          <w:szCs w:val="22"/>
        </w:rPr>
        <w:t xml:space="preserve">have </w:t>
      </w:r>
      <w:r w:rsidRPr="00EF7821">
        <w:rPr>
          <w:snapToGrid/>
          <w:kern w:val="0"/>
          <w:szCs w:val="22"/>
        </w:rPr>
        <w:t>improved operational and leasing arrangements with Uniti</w:t>
      </w:r>
      <w:r>
        <w:rPr>
          <w:snapToGrid/>
          <w:kern w:val="0"/>
          <w:szCs w:val="22"/>
        </w:rPr>
        <w:t xml:space="preserve"> Group, Inc.</w:t>
      </w:r>
      <w:r w:rsidRPr="00EF7821">
        <w:rPr>
          <w:snapToGrid/>
          <w:kern w:val="0"/>
          <w:szCs w:val="22"/>
        </w:rPr>
        <w:t>;</w:t>
      </w:r>
      <w:r>
        <w:rPr>
          <w:rStyle w:val="FootnoteReference"/>
          <w:snapToGrid/>
          <w:kern w:val="0"/>
          <w:szCs w:val="22"/>
        </w:rPr>
        <w:footnoteReference w:id="35"/>
      </w:r>
      <w:r w:rsidRPr="00EF7821">
        <w:rPr>
          <w:snapToGrid/>
          <w:kern w:val="0"/>
          <w:szCs w:val="22"/>
        </w:rPr>
        <w:t xml:space="preserve"> (3) </w:t>
      </w:r>
      <w:r>
        <w:rPr>
          <w:snapToGrid/>
          <w:kern w:val="0"/>
          <w:szCs w:val="22"/>
        </w:rPr>
        <w:t xml:space="preserve">allow </w:t>
      </w:r>
      <w:r w:rsidRPr="00EF7821">
        <w:rPr>
          <w:snapToGrid/>
          <w:kern w:val="0"/>
          <w:szCs w:val="22"/>
        </w:rPr>
        <w:t xml:space="preserve">compensation for the company’s creditors; and (4) </w:t>
      </w:r>
      <w:r>
        <w:rPr>
          <w:snapToGrid/>
          <w:kern w:val="0"/>
          <w:szCs w:val="22"/>
        </w:rPr>
        <w:t xml:space="preserve">generate </w:t>
      </w:r>
      <w:r w:rsidRPr="00EF7821">
        <w:rPr>
          <w:snapToGrid/>
          <w:kern w:val="0"/>
          <w:szCs w:val="22"/>
        </w:rPr>
        <w:t>increas</w:t>
      </w:r>
      <w:r>
        <w:rPr>
          <w:snapToGrid/>
          <w:kern w:val="0"/>
          <w:szCs w:val="22"/>
        </w:rPr>
        <w:t>ed</w:t>
      </w:r>
      <w:r w:rsidRPr="00EF7821">
        <w:rPr>
          <w:snapToGrid/>
          <w:kern w:val="0"/>
          <w:szCs w:val="22"/>
        </w:rPr>
        <w:t xml:space="preserve"> competition due to a more stable and stronger capital structure</w:t>
      </w:r>
      <w:r>
        <w:rPr>
          <w:snapToGrid/>
          <w:kern w:val="0"/>
          <w:szCs w:val="22"/>
        </w:rPr>
        <w:t xml:space="preserve">, </w:t>
      </w:r>
      <w:r w:rsidRPr="00EF7821">
        <w:rPr>
          <w:snapToGrid/>
          <w:kern w:val="0"/>
          <w:szCs w:val="22"/>
        </w:rPr>
        <w:t>thus enabling Windstream to</w:t>
      </w:r>
      <w:r w:rsidR="00CF2295">
        <w:rPr>
          <w:snapToGrid/>
          <w:kern w:val="0"/>
          <w:szCs w:val="22"/>
        </w:rPr>
        <w:t xml:space="preserve"> invest in broadband and other service offerings</w:t>
      </w:r>
      <w:r w:rsidRPr="00EF7821">
        <w:rPr>
          <w:snapToGrid/>
          <w:kern w:val="0"/>
          <w:szCs w:val="22"/>
        </w:rPr>
        <w:t>.</w:t>
      </w:r>
      <w:r>
        <w:rPr>
          <w:rStyle w:val="FootnoteReference"/>
          <w:snapToGrid/>
          <w:kern w:val="0"/>
          <w:szCs w:val="22"/>
        </w:rPr>
        <w:footnoteReference w:id="36"/>
      </w:r>
      <w:r>
        <w:rPr>
          <w:snapToGrid/>
          <w:kern w:val="0"/>
          <w:szCs w:val="22"/>
        </w:rPr>
        <w:t xml:space="preserve">  </w:t>
      </w:r>
      <w:r w:rsidRPr="00EF7821">
        <w:rPr>
          <w:snapToGrid/>
          <w:kern w:val="0"/>
          <w:szCs w:val="22"/>
        </w:rPr>
        <w:t>The reorganization plan contemplates that the Applicants will secure $3.25 billion in exit financing and aims to reduce the company’s overall debt by approximately 50%, thus deleveraging the company and placing it on a sound financial footing.</w:t>
      </w:r>
      <w:r>
        <w:rPr>
          <w:rStyle w:val="FootnoteReference"/>
          <w:snapToGrid/>
          <w:kern w:val="0"/>
          <w:szCs w:val="22"/>
        </w:rPr>
        <w:footnoteReference w:id="37"/>
      </w:r>
      <w:r w:rsidRPr="00EF7821">
        <w:rPr>
          <w:snapToGrid/>
          <w:kern w:val="0"/>
          <w:szCs w:val="22"/>
        </w:rPr>
        <w:t xml:space="preserve"> </w:t>
      </w:r>
      <w:r>
        <w:rPr>
          <w:snapToGrid/>
          <w:kern w:val="0"/>
          <w:szCs w:val="22"/>
        </w:rPr>
        <w:t xml:space="preserve"> </w:t>
      </w:r>
      <w:r w:rsidRPr="00EF7821">
        <w:rPr>
          <w:snapToGrid/>
          <w:kern w:val="0"/>
          <w:szCs w:val="22"/>
        </w:rPr>
        <w:t>Applicants state that th</w:t>
      </w:r>
      <w:r>
        <w:rPr>
          <w:snapToGrid/>
          <w:kern w:val="0"/>
          <w:szCs w:val="22"/>
        </w:rPr>
        <w:t>e</w:t>
      </w:r>
      <w:r w:rsidRPr="00EF7821">
        <w:rPr>
          <w:snapToGrid/>
          <w:kern w:val="0"/>
          <w:szCs w:val="22"/>
        </w:rPr>
        <w:t xml:space="preserve"> two-step process w</w:t>
      </w:r>
      <w:r>
        <w:rPr>
          <w:snapToGrid/>
          <w:kern w:val="0"/>
          <w:szCs w:val="22"/>
        </w:rPr>
        <w:t xml:space="preserve">ill </w:t>
      </w:r>
      <w:r w:rsidRPr="00EF7821">
        <w:rPr>
          <w:snapToGrid/>
          <w:kern w:val="0"/>
          <w:szCs w:val="22"/>
        </w:rPr>
        <w:t xml:space="preserve">allow </w:t>
      </w:r>
      <w:r>
        <w:rPr>
          <w:snapToGrid/>
          <w:kern w:val="0"/>
          <w:szCs w:val="22"/>
        </w:rPr>
        <w:t xml:space="preserve">Holdings, </w:t>
      </w:r>
      <w:r w:rsidRPr="00EF7821">
        <w:rPr>
          <w:snapToGrid/>
          <w:kern w:val="0"/>
          <w:szCs w:val="22"/>
        </w:rPr>
        <w:t>Windstream, and their subsidiaries to emerge expeditiously from bankruptcy protection and to avoid the adverse consequences that could result from a delay in implementing the reorganization plan.</w:t>
      </w:r>
      <w:r>
        <w:rPr>
          <w:rStyle w:val="FootnoteReference"/>
          <w:snapToGrid/>
          <w:kern w:val="0"/>
          <w:szCs w:val="22"/>
        </w:rPr>
        <w:footnoteReference w:id="38"/>
      </w:r>
      <w:r w:rsidRPr="00EF7821">
        <w:rPr>
          <w:snapToGrid/>
          <w:kern w:val="0"/>
          <w:szCs w:val="22"/>
        </w:rPr>
        <w:t xml:space="preserve">  According to Applicants, operating as a debtor-in-possession imposes significant financial and operational burdens on Windstream, such as a potential need to incur additional indebtedness to maintain liquidity.</w:t>
      </w:r>
      <w:r>
        <w:rPr>
          <w:rStyle w:val="FootnoteReference"/>
          <w:snapToGrid/>
          <w:kern w:val="0"/>
          <w:szCs w:val="22"/>
        </w:rPr>
        <w:footnoteReference w:id="39"/>
      </w:r>
      <w:r w:rsidRPr="00EF7821">
        <w:rPr>
          <w:snapToGrid/>
          <w:kern w:val="0"/>
          <w:szCs w:val="22"/>
        </w:rPr>
        <w:t xml:space="preserve">  </w:t>
      </w:r>
    </w:p>
    <w:p w:rsidR="00382B84" w:rsidP="005E1A13" w14:paraId="5492C7FA" w14:textId="55AAA0F3">
      <w:pPr>
        <w:widowControl/>
        <w:autoSpaceDE w:val="0"/>
        <w:autoSpaceDN w:val="0"/>
        <w:adjustRightInd w:val="0"/>
        <w:rPr>
          <w:snapToGrid/>
          <w:kern w:val="0"/>
          <w:szCs w:val="22"/>
        </w:rPr>
      </w:pPr>
    </w:p>
    <w:p w:rsidR="00382B84" w:rsidRPr="00EF7821" w:rsidP="00382B84" w14:paraId="0DED5AD4" w14:textId="6096EFB9">
      <w:pPr>
        <w:widowControl/>
        <w:autoSpaceDE w:val="0"/>
        <w:autoSpaceDN w:val="0"/>
        <w:adjustRightInd w:val="0"/>
        <w:ind w:firstLine="720"/>
        <w:rPr>
          <w:snapToGrid/>
          <w:kern w:val="0"/>
          <w:szCs w:val="22"/>
        </w:rPr>
      </w:pPr>
      <w:r>
        <w:rPr>
          <w:snapToGrid/>
          <w:kern w:val="0"/>
          <w:szCs w:val="22"/>
        </w:rPr>
        <w:t>Windstream also requests a waiver of section 1.2105(b)(2)</w:t>
      </w:r>
      <w:r w:rsidR="002978ED">
        <w:rPr>
          <w:snapToGrid/>
          <w:kern w:val="0"/>
          <w:szCs w:val="22"/>
        </w:rPr>
        <w:t xml:space="preserve">, 1.2107(c), </w:t>
      </w:r>
      <w:r w:rsidR="0072446F">
        <w:rPr>
          <w:snapToGrid/>
          <w:kern w:val="0"/>
          <w:szCs w:val="22"/>
        </w:rPr>
        <w:t>or</w:t>
      </w:r>
      <w:r w:rsidR="002978ED">
        <w:rPr>
          <w:snapToGrid/>
          <w:kern w:val="0"/>
          <w:szCs w:val="22"/>
        </w:rPr>
        <w:t xml:space="preserve"> 1.927</w:t>
      </w:r>
      <w:r w:rsidR="008222C3">
        <w:rPr>
          <w:snapToGrid/>
          <w:kern w:val="0"/>
          <w:szCs w:val="22"/>
        </w:rPr>
        <w:t>(h)</w:t>
      </w:r>
      <w:r w:rsidR="0072446F">
        <w:rPr>
          <w:snapToGrid/>
          <w:kern w:val="0"/>
          <w:szCs w:val="22"/>
        </w:rPr>
        <w:t>,</w:t>
      </w:r>
      <w:r>
        <w:rPr>
          <w:snapToGrid/>
          <w:kern w:val="0"/>
          <w:szCs w:val="22"/>
        </w:rPr>
        <w:t xml:space="preserve"> </w:t>
      </w:r>
      <w:r w:rsidR="0072446F">
        <w:rPr>
          <w:snapToGrid/>
          <w:kern w:val="0"/>
          <w:szCs w:val="22"/>
        </w:rPr>
        <w:t xml:space="preserve">which together would </w:t>
      </w:r>
      <w:r>
        <w:rPr>
          <w:snapToGrid/>
          <w:kern w:val="0"/>
          <w:szCs w:val="22"/>
        </w:rPr>
        <w:t>prohib</w:t>
      </w:r>
      <w:r w:rsidR="0072446F">
        <w:rPr>
          <w:snapToGrid/>
          <w:kern w:val="0"/>
          <w:szCs w:val="22"/>
        </w:rPr>
        <w:t>it</w:t>
      </w:r>
      <w:r>
        <w:rPr>
          <w:snapToGrid/>
          <w:kern w:val="0"/>
          <w:szCs w:val="22"/>
        </w:rPr>
        <w:t xml:space="preserve"> </w:t>
      </w:r>
      <w:r w:rsidR="0072446F">
        <w:rPr>
          <w:snapToGrid/>
          <w:kern w:val="0"/>
          <w:szCs w:val="22"/>
        </w:rPr>
        <w:t xml:space="preserve">Windstream </w:t>
      </w:r>
      <w:r w:rsidRPr="00110C6D" w:rsidR="0072446F">
        <w:rPr>
          <w:rFonts w:eastAsia="Calibri"/>
          <w:snapToGrid/>
          <w:kern w:val="0"/>
        </w:rPr>
        <w:t>from engaging in a transaction that amounts to a transfer of control prior ​</w:t>
      </w:r>
      <w:r w:rsidR="008C0496">
        <w:rPr>
          <w:rFonts w:eastAsia="Calibri"/>
          <w:snapToGrid/>
          <w:kern w:val="0"/>
        </w:rPr>
        <w:t xml:space="preserve">to </w:t>
      </w:r>
      <w:r w:rsidRPr="00110C6D" w:rsidR="0072446F">
        <w:rPr>
          <w:rFonts w:eastAsia="Calibri"/>
          <w:snapToGrid/>
          <w:kern w:val="0"/>
        </w:rPr>
        <w:t>filing a long-form license application and/or prior to grant of such licenses to the winning bidder.</w:t>
      </w:r>
      <w:r>
        <w:rPr>
          <w:rStyle w:val="FootnoteReference"/>
          <w:rFonts w:eastAsia="Calibri"/>
          <w:bCs/>
          <w:snapToGrid/>
          <w:kern w:val="0"/>
          <w:szCs w:val="22"/>
        </w:rPr>
        <w:footnoteReference w:id="40"/>
      </w:r>
      <w:r w:rsidRPr="00037E44">
        <w:rPr>
          <w:rFonts w:eastAsia="Calibri"/>
          <w:bCs/>
          <w:snapToGrid/>
          <w:kern w:val="0"/>
          <w:szCs w:val="22"/>
        </w:rPr>
        <w:t xml:space="preserve">  </w:t>
      </w:r>
      <w:r>
        <w:rPr>
          <w:rFonts w:eastAsia="Calibri"/>
          <w:bCs/>
          <w:snapToGrid/>
          <w:kern w:val="0"/>
          <w:szCs w:val="22"/>
        </w:rPr>
        <w:t>Absent</w:t>
      </w:r>
      <w:r w:rsidRPr="00037E44">
        <w:rPr>
          <w:rFonts w:eastAsia="Calibri"/>
          <w:bCs/>
          <w:snapToGrid/>
          <w:kern w:val="0"/>
          <w:szCs w:val="22"/>
        </w:rPr>
        <w:t xml:space="preserve"> the requested waiver, Windstream would be disqualified from</w:t>
      </w:r>
      <w:r>
        <w:rPr>
          <w:rFonts w:eastAsia="Calibri"/>
          <w:bCs/>
          <w:snapToGrid/>
          <w:kern w:val="0"/>
          <w:szCs w:val="22"/>
        </w:rPr>
        <w:t xml:space="preserve"> any further</w:t>
      </w:r>
      <w:r w:rsidRPr="00037E44">
        <w:rPr>
          <w:rFonts w:eastAsia="Calibri"/>
          <w:bCs/>
          <w:snapToGrid/>
          <w:kern w:val="0"/>
          <w:szCs w:val="22"/>
        </w:rPr>
        <w:t xml:space="preserve"> </w:t>
      </w:r>
      <w:r w:rsidRPr="00037E44">
        <w:rPr>
          <w:bCs/>
          <w:szCs w:val="22"/>
        </w:rPr>
        <w:t>participati</w:t>
      </w:r>
      <w:r>
        <w:rPr>
          <w:bCs/>
          <w:szCs w:val="22"/>
        </w:rPr>
        <w:t>on</w:t>
      </w:r>
      <w:r w:rsidRPr="00037E44">
        <w:rPr>
          <w:rFonts w:eastAsia="Calibri"/>
          <w:bCs/>
          <w:snapToGrid/>
          <w:kern w:val="0"/>
          <w:szCs w:val="22"/>
        </w:rPr>
        <w:t xml:space="preserve"> in Auction 105</w:t>
      </w:r>
      <w:r>
        <w:rPr>
          <w:rFonts w:eastAsia="Calibri"/>
          <w:bCs/>
          <w:snapToGrid/>
          <w:kern w:val="0"/>
          <w:szCs w:val="22"/>
        </w:rPr>
        <w:t xml:space="preserve"> </w:t>
      </w:r>
      <w:r w:rsidR="008222C3">
        <w:rPr>
          <w:rFonts w:eastAsia="Calibri"/>
          <w:bCs/>
          <w:snapToGrid/>
          <w:kern w:val="0"/>
          <w:szCs w:val="22"/>
        </w:rPr>
        <w:t xml:space="preserve">or from completing the long-form application process for any licenses for which it may be a winning bidder, </w:t>
      </w:r>
      <w:r>
        <w:rPr>
          <w:rFonts w:eastAsia="Calibri"/>
          <w:bCs/>
          <w:snapToGrid/>
          <w:kern w:val="0"/>
          <w:szCs w:val="22"/>
        </w:rPr>
        <w:t xml:space="preserve">and </w:t>
      </w:r>
      <w:r w:rsidR="008222C3">
        <w:rPr>
          <w:rFonts w:eastAsia="Calibri"/>
          <w:bCs/>
          <w:snapToGrid/>
          <w:kern w:val="0"/>
          <w:szCs w:val="22"/>
        </w:rPr>
        <w:t xml:space="preserve">therefore </w:t>
      </w:r>
      <w:r>
        <w:rPr>
          <w:rFonts w:eastAsia="Calibri"/>
          <w:bCs/>
          <w:snapToGrid/>
          <w:kern w:val="0"/>
          <w:szCs w:val="22"/>
        </w:rPr>
        <w:t>may be subject to default liabilities</w:t>
      </w:r>
      <w:r w:rsidRPr="00037E44">
        <w:rPr>
          <w:rFonts w:eastAsia="Calibri"/>
          <w:bCs/>
          <w:snapToGrid/>
          <w:kern w:val="0"/>
          <w:szCs w:val="22"/>
        </w:rPr>
        <w:t xml:space="preserve">, or would </w:t>
      </w:r>
      <w:r>
        <w:rPr>
          <w:rFonts w:eastAsia="Calibri"/>
          <w:bCs/>
          <w:snapToGrid/>
          <w:kern w:val="0"/>
          <w:szCs w:val="22"/>
        </w:rPr>
        <w:t>need to delay consummation of the approved transaction until the restriction no longer applies</w:t>
      </w:r>
      <w:r w:rsidRPr="00037E44">
        <w:rPr>
          <w:rFonts w:eastAsia="Calibri"/>
          <w:bCs/>
          <w:snapToGrid/>
          <w:kern w:val="0"/>
          <w:szCs w:val="22"/>
        </w:rPr>
        <w:t>.</w:t>
      </w:r>
      <w:r>
        <w:rPr>
          <w:bCs/>
          <w:szCs w:val="22"/>
          <w:vertAlign w:val="superscript"/>
        </w:rPr>
        <w:footnoteReference w:id="41"/>
      </w:r>
      <w:r w:rsidRPr="00037E44">
        <w:rPr>
          <w:rFonts w:eastAsia="Calibri"/>
          <w:bCs/>
          <w:snapToGrid/>
          <w:kern w:val="0"/>
          <w:szCs w:val="22"/>
        </w:rPr>
        <w:t xml:space="preserve">  </w:t>
      </w:r>
    </w:p>
    <w:p w:rsidR="008F556F" w:rsidRPr="00EF7821" w:rsidP="004C686B" w14:paraId="01CC0C73" w14:textId="77777777">
      <w:pPr>
        <w:widowControl/>
        <w:autoSpaceDE w:val="0"/>
        <w:autoSpaceDN w:val="0"/>
        <w:adjustRightInd w:val="0"/>
        <w:rPr>
          <w:snapToGrid/>
          <w:kern w:val="0"/>
          <w:szCs w:val="22"/>
        </w:rPr>
      </w:pPr>
    </w:p>
    <w:bookmarkEnd w:id="2"/>
    <w:p w:rsidR="00205634" w:rsidRPr="00EF7821" w:rsidP="00205634" w14:paraId="25CAB005" w14:textId="1B6E6644">
      <w:pPr>
        <w:widowControl/>
        <w:autoSpaceDE w:val="0"/>
        <w:autoSpaceDN w:val="0"/>
        <w:adjustRightInd w:val="0"/>
        <w:rPr>
          <w:rFonts w:eastAsia="Calibri"/>
          <w:snapToGrid/>
          <w:kern w:val="0"/>
          <w:szCs w:val="22"/>
          <w:u w:val="single"/>
        </w:rPr>
      </w:pPr>
      <w:r w:rsidRPr="00EF7821">
        <w:rPr>
          <w:rFonts w:eastAsia="Calibri"/>
          <w:snapToGrid/>
          <w:kern w:val="0"/>
          <w:szCs w:val="22"/>
          <w:u w:val="single"/>
        </w:rPr>
        <w:t>Grant of the Waiver Request</w:t>
      </w:r>
      <w:r w:rsidR="00382B84">
        <w:rPr>
          <w:rFonts w:eastAsia="Calibri"/>
          <w:snapToGrid/>
          <w:kern w:val="0"/>
          <w:szCs w:val="22"/>
          <w:u w:val="single"/>
        </w:rPr>
        <w:t>s</w:t>
      </w:r>
    </w:p>
    <w:p w:rsidR="00205634" w:rsidRPr="00EF7821" w:rsidP="004C44BF" w14:paraId="6BCF6636" w14:textId="77777777">
      <w:pPr>
        <w:widowControl/>
        <w:autoSpaceDE w:val="0"/>
        <w:autoSpaceDN w:val="0"/>
        <w:adjustRightInd w:val="0"/>
        <w:rPr>
          <w:rFonts w:eastAsia="Calibri"/>
          <w:snapToGrid/>
          <w:kern w:val="0"/>
          <w:szCs w:val="22"/>
        </w:rPr>
      </w:pPr>
    </w:p>
    <w:p w:rsidR="00470A81" w:rsidRPr="00EF7821" w:rsidP="004C44BF" w14:paraId="0E9120E1" w14:textId="027255FE">
      <w:pPr>
        <w:widowControl/>
        <w:autoSpaceDE w:val="0"/>
        <w:autoSpaceDN w:val="0"/>
        <w:adjustRightInd w:val="0"/>
        <w:ind w:firstLine="720"/>
        <w:rPr>
          <w:rFonts w:eastAsia="Calibri"/>
          <w:snapToGrid/>
          <w:kern w:val="0"/>
          <w:szCs w:val="22"/>
        </w:rPr>
      </w:pPr>
      <w:r w:rsidRPr="00EF7821">
        <w:rPr>
          <w:rFonts w:eastAsia="Calibri"/>
          <w:snapToGrid/>
          <w:kern w:val="0"/>
          <w:szCs w:val="22"/>
        </w:rPr>
        <w:t>The Commission</w:t>
      </w:r>
      <w:r w:rsidR="00E70B16">
        <w:rPr>
          <w:rFonts w:eastAsia="Calibri"/>
          <w:snapToGrid/>
          <w:kern w:val="0"/>
          <w:szCs w:val="22"/>
        </w:rPr>
        <w:t>’</w:t>
      </w:r>
      <w:r w:rsidRPr="00EF7821">
        <w:rPr>
          <w:rFonts w:eastAsia="Calibri"/>
          <w:snapToGrid/>
          <w:kern w:val="0"/>
          <w:szCs w:val="22"/>
        </w:rPr>
        <w:t>s rules may be waived for good cause shown</w:t>
      </w:r>
      <w:r w:rsidRPr="00EF7821">
        <w:rPr>
          <w:rFonts w:eastAsia="Calibri"/>
          <w:kern w:val="0"/>
          <w:szCs w:val="22"/>
        </w:rPr>
        <w:t>.</w:t>
      </w:r>
      <w:bookmarkStart w:id="6" w:name="FN[FN8]"/>
      <w:bookmarkEnd w:id="6"/>
      <w:r>
        <w:rPr>
          <w:rFonts w:eastAsia="Calibri"/>
          <w:kern w:val="0"/>
          <w:szCs w:val="22"/>
          <w:vertAlign w:val="superscript"/>
        </w:rPr>
        <w:footnoteReference w:id="42"/>
      </w:r>
      <w:r w:rsidRPr="00EF7821">
        <w:rPr>
          <w:rFonts w:eastAsia="Calibri"/>
          <w:snapToGrid/>
          <w:kern w:val="0"/>
          <w:szCs w:val="22"/>
        </w:rPr>
        <w:t xml:space="preserve">  Waiver of the Commission’s rules is appropriate only if special circumstances warrant a deviation from the rule and such deviation will serve the public interest.</w:t>
      </w:r>
      <w:bookmarkStart w:id="7" w:name="FN[FN10]"/>
      <w:bookmarkEnd w:id="7"/>
      <w:r>
        <w:rPr>
          <w:rFonts w:eastAsia="Calibri"/>
          <w:snapToGrid/>
          <w:kern w:val="0"/>
          <w:szCs w:val="22"/>
          <w:vertAlign w:val="superscript"/>
        </w:rPr>
        <w:footnoteReference w:id="43"/>
      </w:r>
      <w:r w:rsidRPr="00EF7821">
        <w:rPr>
          <w:rFonts w:eastAsia="Calibri"/>
          <w:snapToGrid/>
          <w:kern w:val="0"/>
          <w:szCs w:val="22"/>
        </w:rPr>
        <w:t xml:space="preserve">  The Commission may exercise its discretion to waive a rule where the particular facts make strict compliance inconsistent with the public interest.</w:t>
      </w:r>
      <w:r>
        <w:rPr>
          <w:rFonts w:eastAsia="Calibri"/>
          <w:snapToGrid/>
          <w:kern w:val="0"/>
          <w:szCs w:val="22"/>
          <w:vertAlign w:val="superscript"/>
        </w:rPr>
        <w:footnoteReference w:id="44"/>
      </w:r>
      <w:r w:rsidRPr="00EF7821">
        <w:rPr>
          <w:rFonts w:eastAsia="Calibri"/>
          <w:snapToGrid/>
          <w:kern w:val="0"/>
          <w:szCs w:val="22"/>
        </w:rPr>
        <w:t xml:space="preserve">  It may also take into account considerations of hardship, equity, or more </w:t>
      </w:r>
      <w:bookmarkStart w:id="8" w:name="sp_1511_11220"/>
      <w:bookmarkStart w:id="9" w:name="SDU_11220"/>
      <w:bookmarkStart w:id="10" w:name="citeas((Cite_as:_22_F.C.C.R._11218,_*112"/>
      <w:bookmarkEnd w:id="8"/>
      <w:bookmarkEnd w:id="9"/>
      <w:bookmarkEnd w:id="10"/>
      <w:r w:rsidRPr="00EF7821">
        <w:rPr>
          <w:rFonts w:eastAsia="Calibri"/>
          <w:snapToGrid/>
          <w:kern w:val="0"/>
          <w:szCs w:val="22"/>
        </w:rPr>
        <w:t>effective implementation of overall policy on an individual basis.</w:t>
      </w:r>
      <w:r>
        <w:rPr>
          <w:rFonts w:eastAsia="Calibri"/>
          <w:snapToGrid/>
          <w:kern w:val="0"/>
          <w:szCs w:val="22"/>
          <w:vertAlign w:val="superscript"/>
        </w:rPr>
        <w:footnoteReference w:id="45"/>
      </w:r>
    </w:p>
    <w:p w:rsidR="0084567A" w:rsidRPr="00EF7821" w:rsidP="0084567A" w14:paraId="70A70392" w14:textId="77777777">
      <w:pPr>
        <w:widowControl/>
        <w:autoSpaceDE w:val="0"/>
        <w:autoSpaceDN w:val="0"/>
        <w:adjustRightInd w:val="0"/>
        <w:ind w:firstLine="720"/>
        <w:rPr>
          <w:rFonts w:eastAsia="Calibri"/>
          <w:snapToGrid/>
          <w:kern w:val="0"/>
          <w:szCs w:val="22"/>
        </w:rPr>
      </w:pPr>
    </w:p>
    <w:p w:rsidR="00470A81" w:rsidP="009E79EE" w14:paraId="0C2076FF" w14:textId="2318C8E9">
      <w:pPr>
        <w:widowControl/>
        <w:autoSpaceDE w:val="0"/>
        <w:autoSpaceDN w:val="0"/>
        <w:adjustRightInd w:val="0"/>
        <w:ind w:firstLine="720"/>
        <w:rPr>
          <w:rFonts w:eastAsia="Calibri"/>
          <w:snapToGrid/>
          <w:kern w:val="0"/>
          <w:szCs w:val="22"/>
        </w:rPr>
      </w:pPr>
      <w:r w:rsidRPr="00EF7821">
        <w:rPr>
          <w:rFonts w:eastAsia="Calibri"/>
          <w:snapToGrid/>
          <w:kern w:val="0"/>
          <w:szCs w:val="22"/>
        </w:rPr>
        <w:t>We grant the Applicants’</w:t>
      </w:r>
      <w:r w:rsidRPr="00EF7821" w:rsidR="00F04D3A">
        <w:rPr>
          <w:rFonts w:eastAsia="Calibri"/>
          <w:snapToGrid/>
          <w:kern w:val="0"/>
          <w:szCs w:val="22"/>
        </w:rPr>
        <w:t xml:space="preserve"> request </w:t>
      </w:r>
      <w:r w:rsidRPr="00EF7821">
        <w:rPr>
          <w:rFonts w:eastAsia="Calibri"/>
          <w:snapToGrid/>
          <w:kern w:val="0"/>
          <w:szCs w:val="22"/>
        </w:rPr>
        <w:t>to waive section</w:t>
      </w:r>
      <w:r w:rsidRPr="00EF7821" w:rsidR="00BA14DC">
        <w:rPr>
          <w:rFonts w:eastAsia="Calibri"/>
          <w:snapToGrid/>
          <w:kern w:val="0"/>
          <w:szCs w:val="22"/>
        </w:rPr>
        <w:t>s</w:t>
      </w:r>
      <w:r w:rsidRPr="00EF7821">
        <w:rPr>
          <w:rFonts w:eastAsia="Calibri"/>
          <w:snapToGrid/>
          <w:kern w:val="0"/>
          <w:szCs w:val="22"/>
        </w:rPr>
        <w:t xml:space="preserve"> </w:t>
      </w:r>
      <w:r w:rsidRPr="00EF7821" w:rsidR="000C05C7">
        <w:rPr>
          <w:snapToGrid/>
          <w:kern w:val="0"/>
          <w:szCs w:val="22"/>
        </w:rPr>
        <w:t xml:space="preserve">1.948, </w:t>
      </w:r>
      <w:r w:rsidRPr="00EF7821">
        <w:rPr>
          <w:rFonts w:eastAsia="Calibri"/>
          <w:snapToGrid/>
          <w:kern w:val="0"/>
          <w:szCs w:val="22"/>
        </w:rPr>
        <w:t>1.5000(a)(1)</w:t>
      </w:r>
      <w:r w:rsidRPr="00EF7821" w:rsidR="00BA14DC">
        <w:rPr>
          <w:rFonts w:eastAsia="Calibri"/>
          <w:snapToGrid/>
          <w:kern w:val="0"/>
          <w:szCs w:val="22"/>
        </w:rPr>
        <w:t>,</w:t>
      </w:r>
      <w:r w:rsidRPr="00EF7821">
        <w:rPr>
          <w:rFonts w:eastAsia="Calibri"/>
          <w:snapToGrid/>
          <w:kern w:val="0"/>
          <w:szCs w:val="22"/>
        </w:rPr>
        <w:t xml:space="preserve"> </w:t>
      </w:r>
      <w:r w:rsidRPr="00EF7821">
        <w:rPr>
          <w:snapToGrid/>
          <w:kern w:val="0"/>
          <w:szCs w:val="22"/>
        </w:rPr>
        <w:t>63.03, 63.04, 63.18, and 63.24</w:t>
      </w:r>
      <w:r w:rsidRPr="00EF7821" w:rsidR="006078BD">
        <w:rPr>
          <w:snapToGrid/>
          <w:kern w:val="0"/>
          <w:szCs w:val="22"/>
        </w:rPr>
        <w:t xml:space="preserve"> of the Commission’s rules</w:t>
      </w:r>
      <w:r w:rsidRPr="00EF7821">
        <w:rPr>
          <w:rFonts w:eastAsia="Calibri"/>
          <w:snapToGrid/>
          <w:kern w:val="0"/>
          <w:szCs w:val="22"/>
        </w:rPr>
        <w:t xml:space="preserve"> in the circumstances of th</w:t>
      </w:r>
      <w:r w:rsidR="009E79EE">
        <w:rPr>
          <w:rFonts w:eastAsia="Calibri"/>
          <w:snapToGrid/>
          <w:kern w:val="0"/>
          <w:szCs w:val="22"/>
        </w:rPr>
        <w:t>is</w:t>
      </w:r>
      <w:r w:rsidRPr="00EF7821">
        <w:rPr>
          <w:rFonts w:eastAsia="Calibri"/>
          <w:snapToGrid/>
          <w:kern w:val="0"/>
          <w:szCs w:val="22"/>
        </w:rPr>
        <w:t xml:space="preserve"> transaction</w:t>
      </w:r>
      <w:r w:rsidR="0092013A">
        <w:rPr>
          <w:rFonts w:eastAsia="Calibri"/>
          <w:snapToGrid/>
          <w:kern w:val="0"/>
          <w:szCs w:val="22"/>
        </w:rPr>
        <w:t xml:space="preserve"> with </w:t>
      </w:r>
      <w:r w:rsidR="007834C0">
        <w:rPr>
          <w:rFonts w:eastAsia="Calibri"/>
          <w:snapToGrid/>
          <w:kern w:val="0"/>
          <w:szCs w:val="22"/>
        </w:rPr>
        <w:t xml:space="preserve">the </w:t>
      </w:r>
      <w:r w:rsidR="0092013A">
        <w:rPr>
          <w:rFonts w:eastAsia="Calibri"/>
          <w:snapToGrid/>
          <w:kern w:val="0"/>
          <w:szCs w:val="22"/>
        </w:rPr>
        <w:t>conditions</w:t>
      </w:r>
      <w:r w:rsidR="007834C0">
        <w:rPr>
          <w:rFonts w:eastAsia="Calibri"/>
          <w:snapToGrid/>
          <w:kern w:val="0"/>
          <w:szCs w:val="22"/>
        </w:rPr>
        <w:t xml:space="preserve"> </w:t>
      </w:r>
      <w:r w:rsidR="00182BC8">
        <w:rPr>
          <w:rFonts w:eastAsia="Calibri"/>
          <w:snapToGrid/>
          <w:kern w:val="0"/>
          <w:szCs w:val="22"/>
        </w:rPr>
        <w:t>specified</w:t>
      </w:r>
      <w:r w:rsidR="007834C0">
        <w:rPr>
          <w:rFonts w:eastAsia="Calibri"/>
          <w:snapToGrid/>
          <w:kern w:val="0"/>
          <w:szCs w:val="22"/>
        </w:rPr>
        <w:t xml:space="preserve"> below</w:t>
      </w:r>
      <w:r w:rsidRPr="00EF7821" w:rsidR="006F6EAD">
        <w:rPr>
          <w:rFonts w:eastAsia="Calibri"/>
          <w:snapToGrid/>
          <w:kern w:val="0"/>
          <w:szCs w:val="22"/>
        </w:rPr>
        <w:t>.</w:t>
      </w:r>
      <w:r>
        <w:rPr>
          <w:rStyle w:val="FootnoteReference"/>
          <w:rFonts w:eastAsia="Calibri"/>
          <w:snapToGrid/>
          <w:kern w:val="0"/>
          <w:szCs w:val="22"/>
        </w:rPr>
        <w:footnoteReference w:id="46"/>
      </w:r>
      <w:r w:rsidRPr="00EF7821" w:rsidR="006F6EAD">
        <w:rPr>
          <w:rFonts w:eastAsia="Calibri"/>
          <w:snapToGrid/>
          <w:kern w:val="0"/>
          <w:szCs w:val="22"/>
        </w:rPr>
        <w:t xml:space="preserve">  We find that the </w:t>
      </w:r>
      <w:r w:rsidRPr="00EF7821" w:rsidR="009028FD">
        <w:rPr>
          <w:rFonts w:eastAsia="Calibri"/>
          <w:snapToGrid/>
          <w:kern w:val="0"/>
          <w:szCs w:val="22"/>
        </w:rPr>
        <w:t xml:space="preserve">request to waive </w:t>
      </w:r>
      <w:r w:rsidRPr="00EF7821" w:rsidR="007344C5">
        <w:rPr>
          <w:rFonts w:eastAsia="Calibri"/>
          <w:snapToGrid/>
          <w:kern w:val="0"/>
          <w:szCs w:val="22"/>
        </w:rPr>
        <w:t xml:space="preserve">these rules is </w:t>
      </w:r>
      <w:r w:rsidRPr="00EF7821">
        <w:rPr>
          <w:rFonts w:eastAsia="Calibri"/>
          <w:snapToGrid/>
          <w:kern w:val="0"/>
          <w:szCs w:val="22"/>
        </w:rPr>
        <w:t>well supported</w:t>
      </w:r>
      <w:r w:rsidRPr="00EF7821">
        <w:rPr>
          <w:rFonts w:eastAsia="Calibri"/>
          <w:snapToGrid/>
          <w:kern w:val="0"/>
          <w:szCs w:val="22"/>
        </w:rPr>
        <w:t xml:space="preserve"> and consistent with existing policy and practice.</w:t>
      </w:r>
      <w:r>
        <w:rPr>
          <w:rStyle w:val="FootnoteReference"/>
          <w:rFonts w:eastAsia="Calibri"/>
          <w:snapToGrid/>
          <w:kern w:val="0"/>
          <w:szCs w:val="22"/>
        </w:rPr>
        <w:footnoteReference w:id="47"/>
      </w:r>
      <w:r w:rsidRPr="00EF7821">
        <w:rPr>
          <w:rFonts w:eastAsia="Calibri"/>
          <w:snapToGrid/>
          <w:kern w:val="0"/>
          <w:szCs w:val="22"/>
        </w:rPr>
        <w:t xml:space="preserve">  Grant of the </w:t>
      </w:r>
      <w:r w:rsidR="00AC69AE">
        <w:rPr>
          <w:rFonts w:eastAsia="Calibri"/>
          <w:snapToGrid/>
          <w:kern w:val="0"/>
          <w:szCs w:val="22"/>
        </w:rPr>
        <w:t>w</w:t>
      </w:r>
      <w:r w:rsidRPr="00EF7821">
        <w:rPr>
          <w:rFonts w:eastAsia="Calibri"/>
          <w:snapToGrid/>
          <w:kern w:val="0"/>
          <w:szCs w:val="22"/>
        </w:rPr>
        <w:t xml:space="preserve">aiver </w:t>
      </w:r>
      <w:r w:rsidR="00AC69AE">
        <w:rPr>
          <w:rFonts w:eastAsia="Calibri"/>
          <w:snapToGrid/>
          <w:kern w:val="0"/>
          <w:szCs w:val="22"/>
        </w:rPr>
        <w:t>r</w:t>
      </w:r>
      <w:r w:rsidRPr="00EF7821">
        <w:rPr>
          <w:rFonts w:eastAsia="Calibri"/>
          <w:snapToGrid/>
          <w:kern w:val="0"/>
          <w:szCs w:val="22"/>
        </w:rPr>
        <w:t>equest</w:t>
      </w:r>
      <w:r w:rsidR="0092013A">
        <w:rPr>
          <w:rFonts w:eastAsia="Calibri"/>
          <w:snapToGrid/>
          <w:kern w:val="0"/>
          <w:szCs w:val="22"/>
        </w:rPr>
        <w:t>, with the associated conditions</w:t>
      </w:r>
      <w:r w:rsidR="007834C0">
        <w:rPr>
          <w:rFonts w:eastAsia="Calibri"/>
          <w:snapToGrid/>
          <w:kern w:val="0"/>
          <w:szCs w:val="22"/>
        </w:rPr>
        <w:t xml:space="preserve"> </w:t>
      </w:r>
      <w:r w:rsidR="00182BC8">
        <w:rPr>
          <w:rFonts w:eastAsia="Calibri"/>
          <w:snapToGrid/>
          <w:kern w:val="0"/>
          <w:szCs w:val="22"/>
        </w:rPr>
        <w:t>specified</w:t>
      </w:r>
      <w:r w:rsidR="007834C0">
        <w:rPr>
          <w:rFonts w:eastAsia="Calibri"/>
          <w:snapToGrid/>
          <w:kern w:val="0"/>
          <w:szCs w:val="22"/>
        </w:rPr>
        <w:t xml:space="preserve"> below</w:t>
      </w:r>
      <w:r w:rsidR="0092013A">
        <w:rPr>
          <w:rFonts w:eastAsia="Calibri"/>
          <w:snapToGrid/>
          <w:kern w:val="0"/>
          <w:szCs w:val="22"/>
        </w:rPr>
        <w:t>,</w:t>
      </w:r>
      <w:r w:rsidRPr="00EF7821" w:rsidR="00785EE9">
        <w:rPr>
          <w:rFonts w:eastAsia="Calibri"/>
          <w:snapToGrid/>
          <w:kern w:val="0"/>
          <w:szCs w:val="22"/>
        </w:rPr>
        <w:t xml:space="preserve"> </w:t>
      </w:r>
      <w:r w:rsidRPr="00EF7821">
        <w:rPr>
          <w:rFonts w:eastAsia="Calibri"/>
          <w:snapToGrid/>
          <w:kern w:val="0"/>
          <w:szCs w:val="22"/>
        </w:rPr>
        <w:t>w</w:t>
      </w:r>
      <w:r w:rsidR="00AC69AE">
        <w:rPr>
          <w:rFonts w:eastAsia="Calibri"/>
          <w:snapToGrid/>
          <w:kern w:val="0"/>
          <w:szCs w:val="22"/>
        </w:rPr>
        <w:t xml:space="preserve">ill </w:t>
      </w:r>
      <w:r w:rsidRPr="00EF7821">
        <w:rPr>
          <w:rFonts w:eastAsia="Calibri"/>
          <w:snapToGrid/>
          <w:kern w:val="0"/>
          <w:szCs w:val="22"/>
        </w:rPr>
        <w:t xml:space="preserve">facilitate </w:t>
      </w:r>
      <w:r w:rsidR="00AC69AE">
        <w:rPr>
          <w:rFonts w:eastAsia="Calibri"/>
          <w:snapToGrid/>
          <w:kern w:val="0"/>
          <w:szCs w:val="22"/>
        </w:rPr>
        <w:t>Windstream</w:t>
      </w:r>
      <w:r w:rsidRPr="00EF7821">
        <w:rPr>
          <w:rFonts w:eastAsia="Calibri"/>
          <w:snapToGrid/>
          <w:kern w:val="0"/>
          <w:szCs w:val="22"/>
        </w:rPr>
        <w:t>’</w:t>
      </w:r>
      <w:r w:rsidR="00AC69AE">
        <w:rPr>
          <w:rFonts w:eastAsia="Calibri"/>
          <w:snapToGrid/>
          <w:kern w:val="0"/>
          <w:szCs w:val="22"/>
        </w:rPr>
        <w:t>s</w:t>
      </w:r>
      <w:r w:rsidRPr="00EF7821">
        <w:rPr>
          <w:rFonts w:eastAsia="Calibri"/>
          <w:snapToGrid/>
          <w:kern w:val="0"/>
          <w:szCs w:val="22"/>
        </w:rPr>
        <w:t xml:space="preserve"> prompt emergence from the bankruptcy process consistent with the Commission’s longstanding practice to accommodate federal bankruptcy law when doing so will not unduly interfere with the Commission’s public interest obligations under the Act.</w:t>
      </w:r>
      <w:r>
        <w:rPr>
          <w:rStyle w:val="FootnoteReference"/>
          <w:rFonts w:eastAsia="Calibri"/>
          <w:snapToGrid/>
          <w:kern w:val="0"/>
          <w:szCs w:val="22"/>
        </w:rPr>
        <w:footnoteReference w:id="48"/>
      </w:r>
      <w:r w:rsidRPr="00EF7821">
        <w:rPr>
          <w:rFonts w:eastAsia="Calibri"/>
          <w:snapToGrid/>
          <w:kern w:val="0"/>
          <w:szCs w:val="22"/>
        </w:rPr>
        <w:t xml:space="preserve">  We agree with the Applicants that facilitating successful and timely emergence from bankruptcy advances the public interest by providing economic and social benefits, especially including the compensation of innocent creditors.</w:t>
      </w:r>
      <w:r>
        <w:rPr>
          <w:rFonts w:eastAsia="Calibri"/>
          <w:snapToGrid/>
          <w:kern w:val="0"/>
          <w:szCs w:val="22"/>
          <w:vertAlign w:val="superscript"/>
        </w:rPr>
        <w:footnoteReference w:id="49"/>
      </w:r>
      <w:r w:rsidRPr="00EF7821">
        <w:rPr>
          <w:rFonts w:eastAsia="Calibri"/>
          <w:snapToGrid/>
          <w:kern w:val="0"/>
          <w:szCs w:val="22"/>
        </w:rPr>
        <w:t xml:space="preserve">  </w:t>
      </w:r>
      <w:bookmarkStart w:id="11" w:name="_Hlk29215345"/>
      <w:r w:rsidRPr="00EF7821">
        <w:rPr>
          <w:rFonts w:eastAsia="Calibri"/>
          <w:snapToGrid/>
          <w:kern w:val="0"/>
          <w:szCs w:val="22"/>
        </w:rPr>
        <w:t>Moreover, waiver of section 1.5000(a)</w:t>
      </w:r>
      <w:r w:rsidRPr="00EF7821" w:rsidR="0036014D">
        <w:rPr>
          <w:rFonts w:eastAsia="Calibri"/>
          <w:snapToGrid/>
          <w:kern w:val="0"/>
          <w:szCs w:val="22"/>
        </w:rPr>
        <w:t>(1)</w:t>
      </w:r>
      <w:r w:rsidRPr="00EF7821">
        <w:rPr>
          <w:rFonts w:eastAsia="Calibri"/>
          <w:snapToGrid/>
          <w:kern w:val="0"/>
          <w:szCs w:val="22"/>
        </w:rPr>
        <w:t xml:space="preserve"> effectively provides interim section 310(b)(4) authority only, in order to enable </w:t>
      </w:r>
      <w:r w:rsidR="00AC69AE">
        <w:rPr>
          <w:rFonts w:eastAsia="Calibri"/>
          <w:snapToGrid/>
          <w:kern w:val="0"/>
          <w:szCs w:val="22"/>
        </w:rPr>
        <w:t xml:space="preserve">Windstream’s </w:t>
      </w:r>
      <w:r w:rsidRPr="00EF7821">
        <w:rPr>
          <w:rFonts w:eastAsia="Calibri"/>
          <w:snapToGrid/>
          <w:kern w:val="0"/>
          <w:szCs w:val="22"/>
        </w:rPr>
        <w:t>prompt emergence from bankruptcy while preserving the Commission’s ability to review and rule on its proposed foreign ownership upon emergence from bankruptcy.</w:t>
      </w:r>
      <w:r>
        <w:rPr>
          <w:rFonts w:eastAsia="Calibri"/>
          <w:snapToGrid/>
          <w:kern w:val="0"/>
          <w:szCs w:val="22"/>
          <w:vertAlign w:val="superscript"/>
        </w:rPr>
        <w:footnoteReference w:id="50"/>
      </w:r>
      <w:r w:rsidRPr="00EF7821" w:rsidR="004C44BF">
        <w:rPr>
          <w:rFonts w:eastAsia="Calibri"/>
          <w:snapToGrid/>
          <w:kern w:val="0"/>
          <w:szCs w:val="22"/>
        </w:rPr>
        <w:t xml:space="preserve">  </w:t>
      </w:r>
      <w:r w:rsidRPr="00EF7821">
        <w:rPr>
          <w:rFonts w:eastAsia="Calibri"/>
          <w:snapToGrid/>
          <w:kern w:val="0"/>
          <w:szCs w:val="22"/>
        </w:rPr>
        <w:t xml:space="preserve">Accordingly, in consideration of the specific circumstances before us, we grant the </w:t>
      </w:r>
      <w:r w:rsidRPr="00EF7821" w:rsidR="006F6EAD">
        <w:rPr>
          <w:rFonts w:eastAsia="Calibri"/>
          <w:snapToGrid/>
          <w:kern w:val="0"/>
          <w:szCs w:val="22"/>
        </w:rPr>
        <w:t>r</w:t>
      </w:r>
      <w:r w:rsidRPr="00EF7821">
        <w:rPr>
          <w:rFonts w:eastAsia="Calibri"/>
          <w:snapToGrid/>
          <w:kern w:val="0"/>
          <w:szCs w:val="22"/>
        </w:rPr>
        <w:t>equest</w:t>
      </w:r>
      <w:r w:rsidRPr="00EF7821" w:rsidR="006F6EAD">
        <w:rPr>
          <w:rFonts w:eastAsia="Calibri"/>
          <w:snapToGrid/>
          <w:kern w:val="0"/>
          <w:szCs w:val="22"/>
        </w:rPr>
        <w:t xml:space="preserve"> to waive section</w:t>
      </w:r>
      <w:r w:rsidRPr="00EF7821" w:rsidR="009028FD">
        <w:rPr>
          <w:rFonts w:eastAsia="Calibri"/>
          <w:snapToGrid/>
          <w:kern w:val="0"/>
          <w:szCs w:val="22"/>
        </w:rPr>
        <w:t>s</w:t>
      </w:r>
      <w:r w:rsidRPr="00EF7821" w:rsidR="006F6EAD">
        <w:rPr>
          <w:rFonts w:eastAsia="Calibri"/>
          <w:snapToGrid/>
          <w:kern w:val="0"/>
          <w:szCs w:val="22"/>
        </w:rPr>
        <w:t xml:space="preserve"> </w:t>
      </w:r>
      <w:r w:rsidRPr="00EF7821" w:rsidR="00AC69AE">
        <w:rPr>
          <w:snapToGrid/>
          <w:kern w:val="0"/>
          <w:szCs w:val="22"/>
        </w:rPr>
        <w:t xml:space="preserve">1.948, </w:t>
      </w:r>
      <w:r w:rsidRPr="00EF7821" w:rsidR="006F6EAD">
        <w:rPr>
          <w:rFonts w:eastAsia="Calibri"/>
          <w:snapToGrid/>
          <w:kern w:val="0"/>
          <w:szCs w:val="22"/>
        </w:rPr>
        <w:t>1.5000(a)(1)</w:t>
      </w:r>
      <w:r w:rsidRPr="00EF7821" w:rsidR="009028FD">
        <w:rPr>
          <w:rFonts w:eastAsia="Calibri"/>
          <w:snapToGrid/>
          <w:kern w:val="0"/>
          <w:szCs w:val="22"/>
        </w:rPr>
        <w:t xml:space="preserve">, </w:t>
      </w:r>
      <w:r w:rsidRPr="00EF7821" w:rsidR="006F6EAD">
        <w:rPr>
          <w:snapToGrid/>
          <w:kern w:val="0"/>
          <w:szCs w:val="22"/>
        </w:rPr>
        <w:t>63.03, 63.04, 63.18, and 63.24 of the Commission’s rules</w:t>
      </w:r>
      <w:r w:rsidRPr="00EF7821">
        <w:rPr>
          <w:rFonts w:eastAsia="Calibri"/>
          <w:snapToGrid/>
          <w:kern w:val="0"/>
          <w:szCs w:val="22"/>
        </w:rPr>
        <w:t>.</w:t>
      </w:r>
      <w:bookmarkEnd w:id="11"/>
    </w:p>
    <w:p w:rsidR="00382B84" w:rsidP="009E79EE" w14:paraId="05A0B797" w14:textId="2E90C005">
      <w:pPr>
        <w:widowControl/>
        <w:autoSpaceDE w:val="0"/>
        <w:autoSpaceDN w:val="0"/>
        <w:adjustRightInd w:val="0"/>
        <w:ind w:firstLine="720"/>
        <w:rPr>
          <w:rFonts w:eastAsia="Calibri"/>
          <w:snapToGrid/>
          <w:kern w:val="0"/>
          <w:szCs w:val="22"/>
        </w:rPr>
      </w:pPr>
    </w:p>
    <w:p w:rsidR="007E7B91" w:rsidP="008222C3" w14:paraId="76A640F3" w14:textId="226C2AE1">
      <w:pPr>
        <w:widowControl/>
        <w:autoSpaceDE w:val="0"/>
        <w:autoSpaceDN w:val="0"/>
        <w:adjustRightInd w:val="0"/>
        <w:ind w:firstLine="720"/>
        <w:rPr>
          <w:rFonts w:eastAsia="Calibri"/>
          <w:snapToGrid/>
          <w:kern w:val="0"/>
        </w:rPr>
      </w:pPr>
      <w:bookmarkStart w:id="13" w:name="_Hlk49523494"/>
      <w:bookmarkStart w:id="14" w:name="_Hlk49523571"/>
      <w:r w:rsidRPr="008222C3">
        <w:rPr>
          <w:rFonts w:eastAsia="Calibri"/>
          <w:snapToGrid/>
          <w:kern w:val="0"/>
        </w:rPr>
        <w:t>OEA and WTB also grant a waiver of sections 1.2105(c)(2), 1.2107(c), or 1.927</w:t>
      </w:r>
      <w:r w:rsidR="00ED08F3">
        <w:rPr>
          <w:rFonts w:eastAsia="Calibri"/>
          <w:snapToGrid/>
          <w:kern w:val="0"/>
        </w:rPr>
        <w:t>(h)</w:t>
      </w:r>
      <w:r>
        <w:rPr>
          <w:rFonts w:eastAsia="Calibri"/>
          <w:snapToGrid/>
          <w:kern w:val="0"/>
          <w:vertAlign w:val="superscript"/>
        </w:rPr>
        <w:footnoteReference w:id="51"/>
      </w:r>
      <w:r w:rsidRPr="008222C3">
        <w:rPr>
          <w:rFonts w:eastAsia="Calibri"/>
          <w:snapToGrid/>
          <w:kern w:val="0"/>
        </w:rPr>
        <w:t xml:space="preserve"> as needed to facilitate the </w:t>
      </w:r>
      <w:r w:rsidR="007803F2">
        <w:rPr>
          <w:rFonts w:eastAsia="Calibri"/>
          <w:snapToGrid/>
          <w:kern w:val="0"/>
        </w:rPr>
        <w:t xml:space="preserve">participation of New Windstream in the </w:t>
      </w:r>
      <w:r w:rsidRPr="008222C3">
        <w:rPr>
          <w:rFonts w:eastAsia="Calibri"/>
          <w:snapToGrid/>
          <w:kern w:val="0"/>
        </w:rPr>
        <w:t xml:space="preserve">post-auction application process for any Priority </w:t>
      </w:r>
      <w:r w:rsidRPr="008222C3">
        <w:rPr>
          <w:rFonts w:eastAsia="Calibri"/>
          <w:snapToGrid/>
          <w:kern w:val="0"/>
        </w:rPr>
        <w:t>Access Licenses won by Windstream</w:t>
      </w:r>
      <w:r w:rsidRPr="008222C3">
        <w:rPr>
          <w:rFonts w:eastAsia="Calibri"/>
          <w:snapToGrid/>
          <w:kern w:val="0"/>
        </w:rPr>
        <w:t xml:space="preserve"> </w:t>
      </w:r>
      <w:r w:rsidRPr="008222C3">
        <w:rPr>
          <w:rFonts w:eastAsia="Calibri"/>
          <w:snapToGrid/>
          <w:kern w:val="0"/>
        </w:rPr>
        <w:t xml:space="preserve">in Auction 105, </w:t>
      </w:r>
      <w:r w:rsidR="00683626">
        <w:rPr>
          <w:rFonts w:eastAsia="Calibri"/>
          <w:snapToGrid/>
          <w:kern w:val="0"/>
        </w:rPr>
        <w:t xml:space="preserve">conditioned </w:t>
      </w:r>
      <w:r w:rsidRPr="008222C3">
        <w:rPr>
          <w:rFonts w:eastAsia="Calibri"/>
          <w:snapToGrid/>
          <w:kern w:val="0"/>
        </w:rPr>
        <w:t xml:space="preserve">upon </w:t>
      </w:r>
      <w:r w:rsidR="00573EB2">
        <w:rPr>
          <w:rFonts w:eastAsia="Calibri"/>
          <w:snapToGrid/>
          <w:kern w:val="0"/>
        </w:rPr>
        <w:t xml:space="preserve">consummation of the transaction and </w:t>
      </w:r>
      <w:r w:rsidRPr="008222C3">
        <w:rPr>
          <w:rFonts w:eastAsia="Calibri"/>
          <w:snapToGrid/>
          <w:kern w:val="0"/>
        </w:rPr>
        <w:t xml:space="preserve">New Windstream’s </w:t>
      </w:r>
      <w:r w:rsidR="00683626">
        <w:rPr>
          <w:rFonts w:eastAsia="Calibri"/>
          <w:snapToGrid/>
          <w:kern w:val="0"/>
        </w:rPr>
        <w:t>meeting</w:t>
      </w:r>
      <w:r w:rsidRPr="008222C3">
        <w:rPr>
          <w:rFonts w:eastAsia="Calibri"/>
          <w:snapToGrid/>
          <w:kern w:val="0"/>
        </w:rPr>
        <w:t xml:space="preserve"> all of Windstream’s auction-related obligations and all qualifications to hold any licenses.  </w:t>
      </w:r>
      <w:bookmarkEnd w:id="13"/>
      <w:r w:rsidRPr="008222C3">
        <w:rPr>
          <w:rFonts w:eastAsia="Calibri"/>
          <w:snapToGrid/>
          <w:kern w:val="0"/>
        </w:rPr>
        <w:t xml:space="preserve">Specifically, we grant this waiver to allow Windstream to complete Step One without violating whichever of these rules applies at time of consummation and would otherwise prohibit an auction applicant, including any winning bidder, </w:t>
      </w:r>
      <w:bookmarkStart w:id="15" w:name="_Hlk49420855"/>
      <w:bookmarkEnd w:id="14"/>
      <w:r w:rsidRPr="008222C3">
        <w:rPr>
          <w:rFonts w:eastAsia="Calibri"/>
          <w:snapToGrid/>
          <w:kern w:val="0"/>
        </w:rPr>
        <w:t>from engaging in a transaction that amounts to a transfer of control prior ​</w:t>
      </w:r>
      <w:r w:rsidR="00A06460">
        <w:rPr>
          <w:rFonts w:eastAsia="Calibri"/>
          <w:snapToGrid/>
          <w:kern w:val="0"/>
        </w:rPr>
        <w:t xml:space="preserve">to </w:t>
      </w:r>
      <w:r w:rsidRPr="008222C3">
        <w:rPr>
          <w:rFonts w:eastAsia="Calibri"/>
          <w:snapToGrid/>
          <w:kern w:val="0"/>
        </w:rPr>
        <w:t>filing a long-form license application and/or prior to grant of such licenses to the winning bidder.</w:t>
      </w:r>
      <w:r>
        <w:rPr>
          <w:rStyle w:val="FootnoteReference"/>
          <w:rFonts w:eastAsia="Calibri"/>
          <w:snapToGrid/>
          <w:kern w:val="0"/>
        </w:rPr>
        <w:footnoteReference w:id="52"/>
      </w:r>
      <w:r w:rsidRPr="008222C3">
        <w:rPr>
          <w:rFonts w:eastAsia="Calibri"/>
          <w:snapToGrid/>
          <w:kern w:val="0"/>
        </w:rPr>
        <w:t xml:space="preserve">  </w:t>
      </w:r>
      <w:bookmarkEnd w:id="15"/>
      <w:r>
        <w:rPr>
          <w:rFonts w:eastAsia="Calibri"/>
          <w:snapToGrid/>
          <w:kern w:val="0"/>
        </w:rPr>
        <w:t>OEA and WTB</w:t>
      </w:r>
      <w:r w:rsidRPr="008222C3">
        <w:rPr>
          <w:rFonts w:eastAsia="Calibri"/>
          <w:snapToGrid/>
          <w:kern w:val="0"/>
        </w:rPr>
        <w:t xml:space="preserve"> conclude that this waiver is appropriate in the particular</w:t>
      </w:r>
      <w:r w:rsidRPr="008222C3">
        <w:t xml:space="preserve"> circumstances of a court-approved bankruptcy proceeding which had commenced long prior to the deadline for filing an application to participate in Auction 105</w:t>
      </w:r>
      <w:r w:rsidRPr="008222C3">
        <w:rPr>
          <w:szCs w:val="22"/>
        </w:rPr>
        <w:t xml:space="preserve">.  </w:t>
      </w:r>
      <w:r w:rsidRPr="008222C3">
        <w:t xml:space="preserve">OEA, along with </w:t>
      </w:r>
      <w:r w:rsidR="00596832">
        <w:t>WTB</w:t>
      </w:r>
      <w:r w:rsidRPr="008222C3">
        <w:t>, previously concluded that Windstream had adequately disclosed its ownership structure and determined that Windstream was eligible to bid in Auction 105.</w:t>
      </w:r>
      <w:r>
        <w:rPr>
          <w:vertAlign w:val="superscript"/>
        </w:rPr>
        <w:footnoteReference w:id="53"/>
      </w:r>
      <w:r w:rsidRPr="008222C3">
        <w:rPr>
          <w:szCs w:val="22"/>
        </w:rPr>
        <w:t xml:space="preserve">  </w:t>
      </w:r>
      <w:r w:rsidRPr="008222C3">
        <w:rPr>
          <w:rFonts w:eastAsia="Calibri"/>
          <w:snapToGrid/>
          <w:kern w:val="0"/>
        </w:rPr>
        <w:t xml:space="preserve">Windstream also disclosed in an attachment to its auction application that it had filed for bankruptcy, citing the Bankruptcy Court docket number for the pending proceeding.  We conclude that waiver of the applicable rule will help achieve the public interest benefit of facilitating Windstream’s prompt emergence from the bankruptcy process, </w:t>
      </w:r>
      <w:r w:rsidRPr="008222C3">
        <w:t>and promoting Windstream’s ability to acquire spectrum to support its ongoing viability and assure that it has the tools to take advantage of technology advances that may improve the services it provides to the public</w:t>
      </w:r>
      <w:r w:rsidRPr="008222C3">
        <w:rPr>
          <w:rFonts w:eastAsia="Calibri"/>
          <w:snapToGrid/>
          <w:kern w:val="0"/>
        </w:rPr>
        <w:t xml:space="preserve">.  </w:t>
      </w:r>
    </w:p>
    <w:p w:rsidR="007E7B91" w:rsidP="008222C3" w14:paraId="7407CB80" w14:textId="77777777">
      <w:pPr>
        <w:widowControl/>
        <w:autoSpaceDE w:val="0"/>
        <w:autoSpaceDN w:val="0"/>
        <w:adjustRightInd w:val="0"/>
        <w:ind w:firstLine="720"/>
        <w:rPr>
          <w:rFonts w:eastAsia="Calibri"/>
          <w:snapToGrid/>
          <w:kern w:val="0"/>
        </w:rPr>
      </w:pPr>
    </w:p>
    <w:p w:rsidR="008222C3" w:rsidRPr="008222C3" w:rsidP="008222C3" w14:paraId="3F89B636" w14:textId="15E13200">
      <w:pPr>
        <w:widowControl/>
        <w:autoSpaceDE w:val="0"/>
        <w:autoSpaceDN w:val="0"/>
        <w:adjustRightInd w:val="0"/>
        <w:ind w:firstLine="720"/>
        <w:rPr>
          <w:rFonts w:eastAsia="Calibri"/>
          <w:snapToGrid/>
          <w:kern w:val="0"/>
        </w:rPr>
      </w:pPr>
      <w:bookmarkStart w:id="16" w:name="_Hlk49425260"/>
      <w:r w:rsidRPr="008222C3">
        <w:rPr>
          <w:rFonts w:eastAsia="Calibri"/>
          <w:snapToGrid/>
          <w:kern w:val="0"/>
        </w:rPr>
        <w:t>Waiver of th</w:t>
      </w:r>
      <w:r w:rsidR="007E7B91">
        <w:rPr>
          <w:rFonts w:eastAsia="Calibri"/>
          <w:snapToGrid/>
          <w:kern w:val="0"/>
        </w:rPr>
        <w:t xml:space="preserve">ese </w:t>
      </w:r>
      <w:r w:rsidRPr="008222C3">
        <w:rPr>
          <w:rFonts w:eastAsia="Calibri"/>
          <w:snapToGrid/>
          <w:kern w:val="0"/>
        </w:rPr>
        <w:t>rule</w:t>
      </w:r>
      <w:r w:rsidR="007E7B91">
        <w:rPr>
          <w:rFonts w:eastAsia="Calibri"/>
          <w:snapToGrid/>
          <w:kern w:val="0"/>
        </w:rPr>
        <w:t>s</w:t>
      </w:r>
      <w:r w:rsidRPr="008222C3">
        <w:rPr>
          <w:rFonts w:eastAsia="Calibri"/>
          <w:snapToGrid/>
          <w:kern w:val="0"/>
        </w:rPr>
        <w:t xml:space="preserve"> will also help to ensure that Windstream does not default on its obligations, which would undermine a spectrum management objective of the auctions process by leaving licenses won at auction unassigned.  Moreover, in light of the pending bankruptcy proceeding, </w:t>
      </w:r>
      <w:r w:rsidR="007E7B91">
        <w:t>OEA and WTB</w:t>
      </w:r>
      <w:r w:rsidRPr="008222C3">
        <w:t xml:space="preserve"> find that waiver will not undermine the purposes of the rule</w:t>
      </w:r>
      <w:r w:rsidR="007E7B91">
        <w:t>s</w:t>
      </w:r>
      <w:r w:rsidRPr="008222C3">
        <w:t xml:space="preserve"> prohibiting major modifications and there is a stronger public interest benefit in granting the waivers than in applying the rule.  As the Commission has noted, the prohibition on major modifications during the auction and post-auction licensing process promotes transparency, which serves a number of related objectives, including, but not limited to, assuring that:  an auction applicant’s ownership structure, including its real parties-in-interest</w:t>
      </w:r>
      <w:r w:rsidR="00CB56AF">
        <w:t>,</w:t>
      </w:r>
      <w:r w:rsidRPr="008222C3">
        <w:t xml:space="preserve"> are fully disclosed and can be assessed prior to the auction, and that other applicants have consistent and transparent information about the identity of other applicants, which enhances auction competition by leveling the informational playing field.</w:t>
      </w:r>
      <w:r>
        <w:rPr>
          <w:vertAlign w:val="superscript"/>
        </w:rPr>
        <w:footnoteReference w:id="54"/>
      </w:r>
      <w:r w:rsidRPr="008222C3">
        <w:rPr>
          <w:szCs w:val="22"/>
        </w:rPr>
        <w:t xml:space="preserve">  </w:t>
      </w:r>
      <w:r w:rsidRPr="008222C3">
        <w:t>Section 1.2107(c)’s requirement that the long-form</w:t>
      </w:r>
      <w:r w:rsidR="00CB56AF">
        <w:t xml:space="preserve"> license application</w:t>
      </w:r>
      <w:r w:rsidRPr="008222C3">
        <w:t xml:space="preserve"> is submitted by the same entity that is the winning bidder and section 1.927</w:t>
      </w:r>
      <w:r>
        <w:t>(h)</w:t>
      </w:r>
      <w:r w:rsidRPr="008222C3">
        <w:t>’s prohibition on transfers of control of a long-form</w:t>
      </w:r>
      <w:r w:rsidR="007E7B91">
        <w:t xml:space="preserve"> </w:t>
      </w:r>
      <w:r w:rsidRPr="008222C3">
        <w:t>applicant also safeguard against speculative bidding by those that might seek to “shop” winning bids to undisclosed third parties.</w:t>
      </w:r>
      <w:r>
        <w:rPr>
          <w:rFonts w:eastAsia="Calibri"/>
          <w:snapToGrid/>
          <w:kern w:val="0"/>
          <w:vertAlign w:val="superscript"/>
        </w:rPr>
        <w:footnoteReference w:id="55"/>
      </w:r>
      <w:r w:rsidRPr="008222C3">
        <w:rPr>
          <w:szCs w:val="22"/>
        </w:rPr>
        <w:t xml:space="preserve">  </w:t>
      </w:r>
      <w:r w:rsidRPr="008222C3">
        <w:t xml:space="preserve">Granting the requested waiver in these circumstances will not undermine the objectives of these rules because petitioners disclosed their pending bankruptcy proceeding and, through the filings in that proceeding, the potential future real parties-in-interest.  In this instance, the alternative of postponing consummation until the major modification restriction no longer applies is not a reasonable alternative because the financial repercussion of such delay might jeopardize Windstream’s ability to continue </w:t>
      </w:r>
      <w:r w:rsidR="00596832">
        <w:t xml:space="preserve">to </w:t>
      </w:r>
      <w:r w:rsidRPr="008222C3">
        <w:t xml:space="preserve">provide uninterrupted services to its existing wireline consumers across the country.  Thus, </w:t>
      </w:r>
      <w:r w:rsidR="00E2509B">
        <w:t>OEA and WTB</w:t>
      </w:r>
      <w:r w:rsidRPr="008222C3">
        <w:t xml:space="preserve"> conclude that the particular purposes of these rules, ensuring that the applicant for the licenses is the same entity that was the winning bidder, does not require strict application of the major change prohibition in these special circumstances, and that deviation from the general rule is warranted.</w:t>
      </w:r>
    </w:p>
    <w:bookmarkEnd w:id="16"/>
    <w:p w:rsidR="00382B84" w:rsidP="009E79EE" w14:paraId="02235790" w14:textId="77777777">
      <w:pPr>
        <w:widowControl/>
        <w:autoSpaceDE w:val="0"/>
        <w:autoSpaceDN w:val="0"/>
        <w:adjustRightInd w:val="0"/>
        <w:ind w:firstLine="720"/>
        <w:rPr>
          <w:rFonts w:eastAsia="Calibri"/>
          <w:snapToGrid/>
          <w:kern w:val="0"/>
          <w:szCs w:val="22"/>
        </w:rPr>
      </w:pPr>
    </w:p>
    <w:p w:rsidR="00470A81" w:rsidRPr="00EF7821" w:rsidP="00470A81" w14:paraId="11E11278" w14:textId="4B8DE56E">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u w:val="single"/>
        </w:rPr>
      </w:pPr>
      <w:r w:rsidRPr="00EF7821">
        <w:rPr>
          <w:snapToGrid/>
          <w:kern w:val="0"/>
          <w:szCs w:val="22"/>
          <w:u w:val="single"/>
        </w:rPr>
        <w:t>Grant of Applications</w:t>
      </w:r>
      <w:r w:rsidRPr="00EF7821" w:rsidR="007344C5">
        <w:rPr>
          <w:snapToGrid/>
          <w:kern w:val="0"/>
          <w:szCs w:val="22"/>
          <w:u w:val="single"/>
        </w:rPr>
        <w:t xml:space="preserve">, </w:t>
      </w:r>
      <w:r w:rsidRPr="00EF7821">
        <w:rPr>
          <w:snapToGrid/>
          <w:kern w:val="0"/>
          <w:szCs w:val="22"/>
          <w:u w:val="single"/>
        </w:rPr>
        <w:t>Subject to Condition</w:t>
      </w:r>
      <w:r w:rsidRPr="00EF7821" w:rsidR="00DD78C4">
        <w:rPr>
          <w:snapToGrid/>
          <w:kern w:val="0"/>
          <w:szCs w:val="22"/>
          <w:u w:val="single"/>
        </w:rPr>
        <w:t>s</w:t>
      </w:r>
    </w:p>
    <w:p w:rsidR="00470A81" w:rsidRPr="00EF7821" w:rsidP="00470A81" w14:paraId="028E40DE"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F7821">
        <w:rPr>
          <w:snapToGrid/>
          <w:kern w:val="0"/>
          <w:szCs w:val="22"/>
        </w:rPr>
        <w:tab/>
      </w:r>
    </w:p>
    <w:p w:rsidR="00E713CD" w:rsidRPr="00382B84" w:rsidP="00382B84" w14:paraId="6E32D71A" w14:textId="16E60393">
      <w:pPr>
        <w:widowControl/>
        <w:autoSpaceDE w:val="0"/>
        <w:autoSpaceDN w:val="0"/>
        <w:adjustRightInd w:val="0"/>
        <w:ind w:firstLine="720"/>
        <w:rPr>
          <w:snapToGrid/>
          <w:kern w:val="0"/>
          <w:szCs w:val="22"/>
        </w:rPr>
      </w:pPr>
      <w:bookmarkStart w:id="17" w:name="_Hlk49354920"/>
      <w:r w:rsidRPr="00EF7821">
        <w:rPr>
          <w:color w:val="000000"/>
          <w:szCs w:val="22"/>
        </w:rPr>
        <w:t xml:space="preserve">We find, upon consideration of the record, that the proposed </w:t>
      </w:r>
      <w:r w:rsidRPr="00EF7821">
        <w:rPr>
          <w:szCs w:val="22"/>
        </w:rPr>
        <w:t xml:space="preserve">transfers </w:t>
      </w:r>
      <w:r w:rsidRPr="00EF7821" w:rsidR="006F6EAD">
        <w:rPr>
          <w:szCs w:val="22"/>
        </w:rPr>
        <w:t xml:space="preserve">of control </w:t>
      </w:r>
      <w:r w:rsidR="00182BC8">
        <w:rPr>
          <w:szCs w:val="22"/>
        </w:rPr>
        <w:t xml:space="preserve">and assignments </w:t>
      </w:r>
      <w:r w:rsidRPr="00EF7821" w:rsidR="006F6EAD">
        <w:rPr>
          <w:szCs w:val="22"/>
        </w:rPr>
        <w:t>under section</w:t>
      </w:r>
      <w:r w:rsidR="00511FA0">
        <w:rPr>
          <w:szCs w:val="22"/>
        </w:rPr>
        <w:t>s</w:t>
      </w:r>
      <w:r w:rsidRPr="00EF7821" w:rsidR="006F6EAD">
        <w:rPr>
          <w:szCs w:val="22"/>
        </w:rPr>
        <w:t xml:space="preserve"> 214 </w:t>
      </w:r>
      <w:r w:rsidR="00511FA0">
        <w:rPr>
          <w:szCs w:val="22"/>
        </w:rPr>
        <w:t xml:space="preserve">and 310(d) </w:t>
      </w:r>
      <w:r w:rsidRPr="00EF7821" w:rsidR="006F6EAD">
        <w:rPr>
          <w:szCs w:val="22"/>
        </w:rPr>
        <w:t xml:space="preserve">of the Act </w:t>
      </w:r>
      <w:r w:rsidRPr="00EF7821">
        <w:rPr>
          <w:szCs w:val="22"/>
        </w:rPr>
        <w:t xml:space="preserve">will serve the public interest, convenience, and necessity, and </w:t>
      </w:r>
      <w:r w:rsidR="00CF2295">
        <w:rPr>
          <w:szCs w:val="22"/>
        </w:rPr>
        <w:t xml:space="preserve">we </w:t>
      </w:r>
      <w:r w:rsidRPr="00EF7821">
        <w:rPr>
          <w:szCs w:val="22"/>
        </w:rPr>
        <w:t xml:space="preserve">therefore grant the </w:t>
      </w:r>
      <w:r w:rsidRPr="00EF7821" w:rsidR="00BA14DC">
        <w:rPr>
          <w:szCs w:val="22"/>
        </w:rPr>
        <w:t>a</w:t>
      </w:r>
      <w:r w:rsidRPr="00EF7821">
        <w:rPr>
          <w:szCs w:val="22"/>
        </w:rPr>
        <w:t xml:space="preserve">pplications </w:t>
      </w:r>
      <w:r w:rsidRPr="00EF7821" w:rsidR="00894143">
        <w:rPr>
          <w:szCs w:val="22"/>
        </w:rPr>
        <w:t xml:space="preserve">and </w:t>
      </w:r>
      <w:r w:rsidR="00CF2295">
        <w:rPr>
          <w:szCs w:val="22"/>
        </w:rPr>
        <w:t xml:space="preserve">the </w:t>
      </w:r>
      <w:r w:rsidRPr="00EF7821" w:rsidR="00955279">
        <w:rPr>
          <w:szCs w:val="22"/>
        </w:rPr>
        <w:t>request for waiver</w:t>
      </w:r>
      <w:r w:rsidR="00382B84">
        <w:rPr>
          <w:szCs w:val="22"/>
        </w:rPr>
        <w:t xml:space="preserve"> </w:t>
      </w:r>
      <w:r w:rsidRPr="00EF7821" w:rsidR="00382B84">
        <w:rPr>
          <w:snapToGrid/>
          <w:kern w:val="0"/>
          <w:szCs w:val="22"/>
        </w:rPr>
        <w:t>of sections 1.948, 1.5000(a)(1),</w:t>
      </w:r>
      <w:r w:rsidR="00382B84">
        <w:rPr>
          <w:snapToGrid/>
          <w:kern w:val="0"/>
          <w:szCs w:val="22"/>
        </w:rPr>
        <w:t xml:space="preserve"> </w:t>
      </w:r>
      <w:r w:rsidRPr="00EF7821" w:rsidR="00382B84">
        <w:rPr>
          <w:snapToGrid/>
          <w:kern w:val="0"/>
          <w:szCs w:val="22"/>
        </w:rPr>
        <w:t>63.03, 63.04, 63.18, and 63.24 of the Commission’s rules</w:t>
      </w:r>
      <w:r w:rsidRPr="00EF7821" w:rsidR="009F2D4C">
        <w:rPr>
          <w:szCs w:val="22"/>
        </w:rPr>
        <w:t>,</w:t>
      </w:r>
      <w:r w:rsidRPr="00EF7821" w:rsidR="00955279">
        <w:rPr>
          <w:szCs w:val="22"/>
        </w:rPr>
        <w:t xml:space="preserve"> </w:t>
      </w:r>
      <w:r w:rsidRPr="00EF7821">
        <w:rPr>
          <w:szCs w:val="22"/>
          <w:shd w:val="clear" w:color="auto" w:fill="FFFFFF"/>
        </w:rPr>
        <w:t xml:space="preserve">conditioned upon the filing, </w:t>
      </w:r>
      <w:bookmarkStart w:id="18" w:name="_Hlk29215467"/>
      <w:r w:rsidRPr="00EF7821">
        <w:rPr>
          <w:szCs w:val="22"/>
          <w:shd w:val="clear" w:color="auto" w:fill="FFFFFF"/>
        </w:rPr>
        <w:t xml:space="preserve">no later than 30 days after closing the transaction authorized by </w:t>
      </w:r>
      <w:r w:rsidR="00511FA0">
        <w:rPr>
          <w:szCs w:val="22"/>
          <w:shd w:val="clear" w:color="auto" w:fill="FFFFFF"/>
        </w:rPr>
        <w:t xml:space="preserve">this </w:t>
      </w:r>
      <w:r w:rsidRPr="00EF7821">
        <w:rPr>
          <w:szCs w:val="22"/>
          <w:shd w:val="clear" w:color="auto" w:fill="FFFFFF"/>
        </w:rPr>
        <w:t xml:space="preserve">grant, of </w:t>
      </w:r>
      <w:r w:rsidR="00CF2295">
        <w:rPr>
          <w:szCs w:val="22"/>
          <w:shd w:val="clear" w:color="auto" w:fill="FFFFFF"/>
        </w:rPr>
        <w:t xml:space="preserve">(1) </w:t>
      </w:r>
      <w:r w:rsidRPr="00EF7821">
        <w:rPr>
          <w:szCs w:val="22"/>
          <w:shd w:val="clear" w:color="auto" w:fill="FFFFFF"/>
        </w:rPr>
        <w:t>a petition for declaratory ruling to exceed the aggregate foreign ownership benchmark set forth in section 310(b)(4) of the Act</w:t>
      </w:r>
      <w:r w:rsidR="00735571">
        <w:rPr>
          <w:szCs w:val="22"/>
          <w:shd w:val="clear" w:color="auto" w:fill="FFFFFF"/>
        </w:rPr>
        <w:t>,</w:t>
      </w:r>
      <w:r w:rsidRPr="00EF7821">
        <w:rPr>
          <w:szCs w:val="22"/>
          <w:shd w:val="clear" w:color="auto" w:fill="FFFFFF"/>
        </w:rPr>
        <w:t xml:space="preserve"> </w:t>
      </w:r>
      <w:r w:rsidR="00CF2295">
        <w:rPr>
          <w:szCs w:val="22"/>
          <w:shd w:val="clear" w:color="auto" w:fill="FFFFFF"/>
        </w:rPr>
        <w:t xml:space="preserve">(2) </w:t>
      </w:r>
      <w:r w:rsidR="00182BC8">
        <w:rPr>
          <w:szCs w:val="22"/>
          <w:shd w:val="clear" w:color="auto" w:fill="FFFFFF"/>
        </w:rPr>
        <w:t xml:space="preserve">a supplement providing the information required by </w:t>
      </w:r>
      <w:r w:rsidRPr="00EF7821" w:rsidR="00182BC8">
        <w:rPr>
          <w:rFonts w:eastAsia="Calibri"/>
          <w:snapToGrid/>
          <w:kern w:val="0"/>
          <w:szCs w:val="22"/>
        </w:rPr>
        <w:t xml:space="preserve">sections </w:t>
      </w:r>
      <w:r w:rsidRPr="00EF7821" w:rsidR="00182BC8">
        <w:rPr>
          <w:snapToGrid/>
          <w:kern w:val="0"/>
          <w:szCs w:val="22"/>
        </w:rPr>
        <w:t>1.948, 63.03, 63.04, 63.18, and 63.24 of the Commission’s rules</w:t>
      </w:r>
      <w:bookmarkEnd w:id="18"/>
      <w:r w:rsidR="00735571">
        <w:rPr>
          <w:snapToGrid/>
          <w:kern w:val="0"/>
          <w:szCs w:val="22"/>
        </w:rPr>
        <w:t>, and</w:t>
      </w:r>
      <w:r w:rsidRPr="006F68A7" w:rsidR="00735571">
        <w:rPr>
          <w:shd w:val="clear" w:color="auto" w:fill="FFFFFF"/>
        </w:rPr>
        <w:t xml:space="preserve"> </w:t>
      </w:r>
      <w:r w:rsidR="00CF2295">
        <w:rPr>
          <w:shd w:val="clear" w:color="auto" w:fill="FFFFFF"/>
        </w:rPr>
        <w:t xml:space="preserve">(3) </w:t>
      </w:r>
      <w:r w:rsidR="00382B84">
        <w:rPr>
          <w:shd w:val="clear" w:color="auto" w:fill="FFFFFF"/>
        </w:rPr>
        <w:t xml:space="preserve">any </w:t>
      </w:r>
      <w:r w:rsidRPr="006F68A7" w:rsidR="00735571">
        <w:rPr>
          <w:shd w:val="clear" w:color="auto" w:fill="FFFFFF"/>
        </w:rPr>
        <w:t>necessary transfer applications</w:t>
      </w:r>
      <w:r w:rsidRPr="00EF7821">
        <w:rPr>
          <w:szCs w:val="22"/>
          <w:shd w:val="clear" w:color="auto" w:fill="FFFFFF"/>
        </w:rPr>
        <w:t>.</w:t>
      </w:r>
      <w:r w:rsidRPr="00EF7821">
        <w:rPr>
          <w:szCs w:val="22"/>
        </w:rPr>
        <w:t xml:space="preserve"> </w:t>
      </w:r>
      <w:r w:rsidR="001028AC">
        <w:rPr>
          <w:szCs w:val="22"/>
        </w:rPr>
        <w:t xml:space="preserve"> </w:t>
      </w:r>
    </w:p>
    <w:bookmarkEnd w:id="17"/>
    <w:p w:rsidR="00E713CD" w:rsidP="00470A81" w14:paraId="6A4E6DA7" w14:textId="77777777">
      <w:pPr>
        <w:widowControl/>
        <w:ind w:firstLine="720"/>
        <w:rPr>
          <w:szCs w:val="22"/>
        </w:rPr>
      </w:pPr>
    </w:p>
    <w:p w:rsidR="00470A81" w:rsidRPr="00EF7821" w:rsidP="00470A81" w14:paraId="265B2BC3" w14:textId="43AD8C59">
      <w:pPr>
        <w:widowControl/>
        <w:ind w:firstLine="720"/>
        <w:rPr>
          <w:szCs w:val="22"/>
        </w:rPr>
      </w:pPr>
      <w:r>
        <w:rPr>
          <w:szCs w:val="22"/>
        </w:rPr>
        <w:t>Because all three of the Special Warrant Agreements submitted in this proceeding include provisions for potential distributions prior to issuance of a declaratory ruling,</w:t>
      </w:r>
      <w:r>
        <w:rPr>
          <w:rStyle w:val="FootnoteReference"/>
          <w:szCs w:val="22"/>
        </w:rPr>
        <w:footnoteReference w:id="56"/>
      </w:r>
      <w:r>
        <w:rPr>
          <w:szCs w:val="22"/>
        </w:rPr>
        <w:t xml:space="preserve"> we </w:t>
      </w:r>
      <w:r w:rsidR="0073557D">
        <w:rPr>
          <w:szCs w:val="22"/>
        </w:rPr>
        <w:t xml:space="preserve">also </w:t>
      </w:r>
      <w:r>
        <w:rPr>
          <w:szCs w:val="22"/>
        </w:rPr>
        <w:t xml:space="preserve">condition our grant of the applications and waiver </w:t>
      </w:r>
      <w:r w:rsidRPr="00EF7821" w:rsidR="00382B84">
        <w:rPr>
          <w:snapToGrid/>
          <w:kern w:val="0"/>
          <w:szCs w:val="22"/>
        </w:rPr>
        <w:t>of sections 1.948, 1.5000(a)(1),</w:t>
      </w:r>
      <w:r w:rsidR="00382B84">
        <w:rPr>
          <w:snapToGrid/>
          <w:kern w:val="0"/>
          <w:szCs w:val="22"/>
        </w:rPr>
        <w:t xml:space="preserve"> </w:t>
      </w:r>
      <w:r w:rsidRPr="00EF7821" w:rsidR="00382B84">
        <w:rPr>
          <w:snapToGrid/>
          <w:kern w:val="0"/>
          <w:szCs w:val="22"/>
        </w:rPr>
        <w:t>63.03, 63.04, 63.18, and 63.24 of the Commission’s rules</w:t>
      </w:r>
      <w:r w:rsidRPr="00374BD7" w:rsidR="00382B84">
        <w:rPr>
          <w:szCs w:val="22"/>
        </w:rPr>
        <w:t xml:space="preserve"> </w:t>
      </w:r>
      <w:r w:rsidRPr="00374BD7" w:rsidR="00374BD7">
        <w:rPr>
          <w:szCs w:val="22"/>
        </w:rPr>
        <w:t xml:space="preserve">to require prior </w:t>
      </w:r>
      <w:r>
        <w:rPr>
          <w:szCs w:val="22"/>
        </w:rPr>
        <w:t xml:space="preserve">Commission </w:t>
      </w:r>
      <w:r w:rsidRPr="00374BD7" w:rsidR="00374BD7">
        <w:rPr>
          <w:szCs w:val="22"/>
        </w:rPr>
        <w:t>approval of any distribution</w:t>
      </w:r>
      <w:r w:rsidR="008945C2">
        <w:rPr>
          <w:szCs w:val="22"/>
        </w:rPr>
        <w:t xml:space="preserve"> in any form</w:t>
      </w:r>
      <w:r w:rsidRPr="00374BD7" w:rsidR="00374BD7">
        <w:rPr>
          <w:szCs w:val="22"/>
        </w:rPr>
        <w:t xml:space="preserve"> </w:t>
      </w:r>
      <w:r w:rsidR="00303881">
        <w:rPr>
          <w:szCs w:val="22"/>
        </w:rPr>
        <w:t xml:space="preserve">that might include Special Warrant holders </w:t>
      </w:r>
      <w:r w:rsidRPr="00374BD7" w:rsidR="00374BD7">
        <w:rPr>
          <w:szCs w:val="22"/>
        </w:rPr>
        <w:t>in our sole and absolute discretion</w:t>
      </w:r>
      <w:r>
        <w:rPr>
          <w:szCs w:val="22"/>
        </w:rPr>
        <w:t xml:space="preserve">.  </w:t>
      </w:r>
      <w:r w:rsidRPr="007834C0" w:rsidR="007834C0">
        <w:rPr>
          <w:szCs w:val="22"/>
        </w:rPr>
        <w:t>Given the assumptions underlying th</w:t>
      </w:r>
      <w:r w:rsidR="00382B84">
        <w:rPr>
          <w:szCs w:val="22"/>
        </w:rPr>
        <w:t>is</w:t>
      </w:r>
      <w:r w:rsidRPr="007834C0" w:rsidR="007834C0">
        <w:rPr>
          <w:szCs w:val="22"/>
        </w:rPr>
        <w:t xml:space="preserve"> </w:t>
      </w:r>
      <w:r w:rsidR="007834C0">
        <w:rPr>
          <w:szCs w:val="22"/>
        </w:rPr>
        <w:t xml:space="preserve">Waiver Request and </w:t>
      </w:r>
      <w:r w:rsidR="00C63365">
        <w:rPr>
          <w:szCs w:val="22"/>
        </w:rPr>
        <w:t>a</w:t>
      </w:r>
      <w:r w:rsidR="007834C0">
        <w:rPr>
          <w:szCs w:val="22"/>
        </w:rPr>
        <w:t xml:space="preserve">pplications, </w:t>
      </w:r>
      <w:r w:rsidRPr="007834C0" w:rsidR="007834C0">
        <w:rPr>
          <w:szCs w:val="22"/>
        </w:rPr>
        <w:t>we clarify that, for purposes of calculating whether an individual or entity is a disclosable interest holder or requires specific approval</w:t>
      </w:r>
      <w:r w:rsidR="007834C0">
        <w:rPr>
          <w:szCs w:val="22"/>
        </w:rPr>
        <w:t xml:space="preserve"> </w:t>
      </w:r>
      <w:r w:rsidR="00091444">
        <w:rPr>
          <w:szCs w:val="22"/>
        </w:rPr>
        <w:t>in the context</w:t>
      </w:r>
      <w:r w:rsidR="007834C0">
        <w:rPr>
          <w:szCs w:val="22"/>
        </w:rPr>
        <w:t xml:space="preserve"> of filing the petition for declaratory ruling</w:t>
      </w:r>
      <w:r w:rsidR="008F3E9B">
        <w:rPr>
          <w:szCs w:val="22"/>
        </w:rPr>
        <w:t xml:space="preserve"> and supplements</w:t>
      </w:r>
      <w:r w:rsidRPr="007834C0" w:rsidR="007834C0">
        <w:rPr>
          <w:szCs w:val="22"/>
        </w:rPr>
        <w:t xml:space="preserve">, </w:t>
      </w:r>
      <w:r w:rsidR="007834C0">
        <w:rPr>
          <w:szCs w:val="22"/>
        </w:rPr>
        <w:t xml:space="preserve">Windstream </w:t>
      </w:r>
      <w:r w:rsidRPr="007834C0" w:rsidR="007834C0">
        <w:rPr>
          <w:szCs w:val="22"/>
        </w:rPr>
        <w:t xml:space="preserve">should include any outstanding special warrants in its calculation of the individual’s or entity’s </w:t>
      </w:r>
      <w:r w:rsidRPr="006E3CE2" w:rsidR="007834C0">
        <w:rPr>
          <w:i/>
          <w:iCs/>
          <w:szCs w:val="22"/>
        </w:rPr>
        <w:t>pro rata</w:t>
      </w:r>
      <w:r w:rsidRPr="007834C0" w:rsidR="007834C0">
        <w:rPr>
          <w:szCs w:val="22"/>
        </w:rPr>
        <w:t xml:space="preserve"> equity interest (i.e., on a fully diluted basis).  Special warrants are considered on a case-by-case, temporary and limited basis in the context of a bankruptcy proceeding until the filing of a petition for declaratory ruling concerning foreign ownership upon closing of the transaction.</w:t>
      </w:r>
      <w:r>
        <w:rPr>
          <w:rStyle w:val="FootnoteReference"/>
          <w:szCs w:val="22"/>
        </w:rPr>
        <w:footnoteReference w:id="57"/>
      </w:r>
      <w:r w:rsidRPr="007834C0" w:rsidR="007834C0">
        <w:rPr>
          <w:szCs w:val="22"/>
        </w:rPr>
        <w:t xml:space="preserve">  </w:t>
      </w:r>
      <w:r>
        <w:rPr>
          <w:szCs w:val="22"/>
        </w:rPr>
        <w:t>Furthermore, b</w:t>
      </w:r>
      <w:r>
        <w:rPr>
          <w:snapToGrid/>
          <w:kern w:val="0"/>
          <w:szCs w:val="22"/>
        </w:rPr>
        <w:t>ecause Windstream Holdings will be emerging from bankruptcy as a</w:t>
      </w:r>
      <w:r w:rsidR="00C3250D">
        <w:rPr>
          <w:snapToGrid/>
          <w:kern w:val="0"/>
          <w:szCs w:val="22"/>
        </w:rPr>
        <w:t xml:space="preserve"> limited liability company</w:t>
      </w:r>
      <w:r w:rsidR="00845AC0">
        <w:rPr>
          <w:snapToGrid/>
          <w:kern w:val="0"/>
          <w:szCs w:val="22"/>
        </w:rPr>
        <w:t>,</w:t>
      </w:r>
      <w:r>
        <w:rPr>
          <w:rStyle w:val="FootnoteReference"/>
          <w:snapToGrid/>
          <w:kern w:val="0"/>
          <w:szCs w:val="22"/>
        </w:rPr>
        <w:footnoteReference w:id="58"/>
      </w:r>
      <w:r w:rsidR="00374BD7">
        <w:rPr>
          <w:szCs w:val="22"/>
        </w:rPr>
        <w:t xml:space="preserve"> </w:t>
      </w:r>
      <w:r>
        <w:rPr>
          <w:szCs w:val="22"/>
        </w:rPr>
        <w:t>we note that</w:t>
      </w:r>
      <w:r w:rsidR="00845AC0">
        <w:rPr>
          <w:szCs w:val="22"/>
        </w:rPr>
        <w:t xml:space="preserve"> section 1.5002(b)(2)(iii) will apply</w:t>
      </w:r>
      <w:r w:rsidR="00182BC8">
        <w:rPr>
          <w:szCs w:val="22"/>
        </w:rPr>
        <w:t xml:space="preserve"> for purposes of calculating the equity and voting interests </w:t>
      </w:r>
      <w:r w:rsidR="00C3250D">
        <w:rPr>
          <w:szCs w:val="22"/>
        </w:rPr>
        <w:t>held in Windstream Holdings LLC</w:t>
      </w:r>
      <w:r w:rsidR="00845AC0">
        <w:rPr>
          <w:szCs w:val="22"/>
        </w:rPr>
        <w:t>.</w:t>
      </w:r>
      <w:r>
        <w:rPr>
          <w:rStyle w:val="FootnoteReference"/>
          <w:szCs w:val="22"/>
        </w:rPr>
        <w:footnoteReference w:id="59"/>
      </w:r>
    </w:p>
    <w:p w:rsidR="00470A81" w:rsidRPr="00EF7821" w:rsidP="00470A81" w14:paraId="12AAAAA4" w14:textId="77777777">
      <w:pPr>
        <w:widowControl/>
        <w:ind w:firstLine="720"/>
        <w:rPr>
          <w:color w:val="212121"/>
          <w:szCs w:val="22"/>
        </w:rPr>
      </w:pPr>
    </w:p>
    <w:p w:rsidR="00470A81" w:rsidRPr="00EF7821" w:rsidP="00470A81" w14:paraId="3861150B" w14:textId="378BC849">
      <w:pPr>
        <w:pStyle w:val="ParaNum"/>
        <w:numPr>
          <w:ilvl w:val="0"/>
          <w:numId w:val="0"/>
        </w:numPr>
        <w:spacing w:after="0"/>
        <w:ind w:firstLine="720"/>
        <w:rPr>
          <w:szCs w:val="22"/>
        </w:rPr>
      </w:pPr>
      <w:r w:rsidRPr="00EF7821">
        <w:rPr>
          <w:szCs w:val="22"/>
        </w:rPr>
        <w:t xml:space="preserve">Therefore, pursuant to sections </w:t>
      </w:r>
      <w:r w:rsidRPr="00EF7821" w:rsidR="006F6EAD">
        <w:rPr>
          <w:szCs w:val="22"/>
        </w:rPr>
        <w:t xml:space="preserve">4(i) and (j), </w:t>
      </w:r>
      <w:r w:rsidRPr="00EF7821">
        <w:rPr>
          <w:szCs w:val="22"/>
        </w:rPr>
        <w:t>214(a), 214(c)</w:t>
      </w:r>
      <w:r w:rsidR="00511FA0">
        <w:rPr>
          <w:szCs w:val="22"/>
        </w:rPr>
        <w:t>, and 310(d)</w:t>
      </w:r>
      <w:r w:rsidRPr="00EF7821">
        <w:rPr>
          <w:szCs w:val="22"/>
        </w:rPr>
        <w:t xml:space="preserve"> of the </w:t>
      </w:r>
      <w:r w:rsidR="00511FA0">
        <w:rPr>
          <w:szCs w:val="22"/>
        </w:rPr>
        <w:t>Act</w:t>
      </w:r>
      <w:r w:rsidRPr="00EF7821">
        <w:rPr>
          <w:szCs w:val="22"/>
        </w:rPr>
        <w:t xml:space="preserve">, 47 U.S.C. §§ </w:t>
      </w:r>
      <w:r w:rsidRPr="00EF7821" w:rsidR="00317639">
        <w:rPr>
          <w:szCs w:val="22"/>
        </w:rPr>
        <w:t xml:space="preserve">4(i), 4(j), </w:t>
      </w:r>
      <w:r w:rsidRPr="00EF7821">
        <w:rPr>
          <w:szCs w:val="22"/>
        </w:rPr>
        <w:t xml:space="preserve">214(a), 214(c), </w:t>
      </w:r>
      <w:r w:rsidR="00511FA0">
        <w:rPr>
          <w:szCs w:val="22"/>
        </w:rPr>
        <w:t xml:space="preserve">310(d), </w:t>
      </w:r>
      <w:r w:rsidRPr="00EF7821">
        <w:rPr>
          <w:szCs w:val="22"/>
        </w:rPr>
        <w:t xml:space="preserve">and sections </w:t>
      </w:r>
      <w:r w:rsidRPr="00EF7821" w:rsidR="009A43DF">
        <w:rPr>
          <w:szCs w:val="22"/>
        </w:rPr>
        <w:t xml:space="preserve">1.3, </w:t>
      </w:r>
      <w:r w:rsidR="00511FA0">
        <w:rPr>
          <w:szCs w:val="22"/>
        </w:rPr>
        <w:t xml:space="preserve">1.948, 1.5000(a)(1), </w:t>
      </w:r>
      <w:r w:rsidRPr="00EF7821" w:rsidR="00D85231">
        <w:rPr>
          <w:szCs w:val="22"/>
        </w:rPr>
        <w:t xml:space="preserve">63.03, </w:t>
      </w:r>
      <w:r w:rsidRPr="00EF7821">
        <w:rPr>
          <w:szCs w:val="22"/>
        </w:rPr>
        <w:t xml:space="preserve">63.04, 63.18, and 63.24 of the Commission’s rules, 47 C.F.R. §§ </w:t>
      </w:r>
      <w:r w:rsidRPr="00EF7821" w:rsidR="009A43DF">
        <w:rPr>
          <w:szCs w:val="22"/>
        </w:rPr>
        <w:t xml:space="preserve">1.3, </w:t>
      </w:r>
      <w:r w:rsidR="00511FA0">
        <w:rPr>
          <w:szCs w:val="22"/>
        </w:rPr>
        <w:t xml:space="preserve">1.948, 1.5000(a)(1), </w:t>
      </w:r>
      <w:r w:rsidRPr="00EF7821" w:rsidR="00D85231">
        <w:rPr>
          <w:szCs w:val="22"/>
        </w:rPr>
        <w:t xml:space="preserve">63.03, </w:t>
      </w:r>
      <w:r w:rsidRPr="00EF7821">
        <w:rPr>
          <w:szCs w:val="22"/>
        </w:rPr>
        <w:t xml:space="preserve">63.04, 63.18, 63.24, and pursuant to the authority delegated under sections </w:t>
      </w:r>
      <w:r w:rsidR="00382B84">
        <w:rPr>
          <w:szCs w:val="22"/>
        </w:rPr>
        <w:t xml:space="preserve">0.21(m), </w:t>
      </w:r>
      <w:r w:rsidRPr="00EF7821">
        <w:rPr>
          <w:szCs w:val="22"/>
        </w:rPr>
        <w:t xml:space="preserve">0.51, 0.91, </w:t>
      </w:r>
      <w:r w:rsidR="00DD1A3C">
        <w:rPr>
          <w:szCs w:val="22"/>
        </w:rPr>
        <w:t xml:space="preserve">0.131, </w:t>
      </w:r>
      <w:r w:rsidRPr="00EF7821">
        <w:rPr>
          <w:szCs w:val="22"/>
        </w:rPr>
        <w:t>0.261, 0.291,</w:t>
      </w:r>
      <w:r w:rsidR="00DD1A3C">
        <w:rPr>
          <w:szCs w:val="22"/>
        </w:rPr>
        <w:t xml:space="preserve"> and 0.331</w:t>
      </w:r>
      <w:r w:rsidRPr="00EF7821">
        <w:rPr>
          <w:szCs w:val="22"/>
        </w:rPr>
        <w:t xml:space="preserve"> of the Commission’s rules, 47 CFR §§ </w:t>
      </w:r>
      <w:r w:rsidR="00382B84">
        <w:rPr>
          <w:szCs w:val="22"/>
        </w:rPr>
        <w:t xml:space="preserve">0.21(m), </w:t>
      </w:r>
      <w:r w:rsidRPr="00EF7821">
        <w:rPr>
          <w:szCs w:val="22"/>
        </w:rPr>
        <w:t xml:space="preserve">0.51, 0.91, </w:t>
      </w:r>
      <w:r w:rsidR="00DD1A3C">
        <w:rPr>
          <w:szCs w:val="22"/>
        </w:rPr>
        <w:t xml:space="preserve">0.131, </w:t>
      </w:r>
      <w:r w:rsidRPr="00EF7821">
        <w:rPr>
          <w:szCs w:val="22"/>
        </w:rPr>
        <w:t>0.261, 0.291,</w:t>
      </w:r>
      <w:r w:rsidR="00DD1A3C">
        <w:rPr>
          <w:szCs w:val="22"/>
        </w:rPr>
        <w:t xml:space="preserve"> and 0.331,</w:t>
      </w:r>
      <w:r w:rsidRPr="00EF7821">
        <w:rPr>
          <w:szCs w:val="22"/>
        </w:rPr>
        <w:t xml:space="preserve"> we grant the </w:t>
      </w:r>
      <w:r w:rsidRPr="00EF7821" w:rsidR="00BA14DC">
        <w:rPr>
          <w:szCs w:val="22"/>
        </w:rPr>
        <w:t>a</w:t>
      </w:r>
      <w:r w:rsidRPr="00EF7821">
        <w:rPr>
          <w:szCs w:val="22"/>
        </w:rPr>
        <w:t xml:space="preserve">pplications </w:t>
      </w:r>
      <w:r w:rsidRPr="00EF7821" w:rsidR="009A43DF">
        <w:rPr>
          <w:szCs w:val="22"/>
        </w:rPr>
        <w:t xml:space="preserve">and </w:t>
      </w:r>
      <w:r w:rsidRPr="00EF7821" w:rsidR="00955279">
        <w:rPr>
          <w:szCs w:val="22"/>
        </w:rPr>
        <w:t>request</w:t>
      </w:r>
      <w:r w:rsidR="00382B84">
        <w:rPr>
          <w:szCs w:val="22"/>
        </w:rPr>
        <w:t>s</w:t>
      </w:r>
      <w:r w:rsidRPr="00EF7821" w:rsidR="00955279">
        <w:rPr>
          <w:szCs w:val="22"/>
        </w:rPr>
        <w:t xml:space="preserve"> for w</w:t>
      </w:r>
      <w:r w:rsidRPr="00EF7821" w:rsidR="009A43DF">
        <w:rPr>
          <w:szCs w:val="22"/>
        </w:rPr>
        <w:t xml:space="preserve">aiver </w:t>
      </w:r>
      <w:r w:rsidRPr="00EF7821">
        <w:rPr>
          <w:szCs w:val="22"/>
        </w:rPr>
        <w:t>listed in Attachment A to this Public Notice</w:t>
      </w:r>
      <w:r w:rsidRPr="00EF7821" w:rsidR="00C01CD4">
        <w:rPr>
          <w:szCs w:val="22"/>
        </w:rPr>
        <w:t xml:space="preserve"> subject to the conditions herein</w:t>
      </w:r>
      <w:r w:rsidRPr="00EF7821">
        <w:rPr>
          <w:szCs w:val="22"/>
        </w:rPr>
        <w:t xml:space="preserve">. </w:t>
      </w:r>
    </w:p>
    <w:p w:rsidR="00470A81" w:rsidRPr="00EF7821" w:rsidP="00470A81" w14:paraId="7F711B10" w14:textId="77777777">
      <w:pPr>
        <w:widowControl/>
        <w:ind w:firstLine="720"/>
        <w:rPr>
          <w:color w:val="212121"/>
          <w:szCs w:val="22"/>
        </w:rPr>
      </w:pPr>
    </w:p>
    <w:p w:rsidR="00470A81" w:rsidRPr="00EF7821" w:rsidP="00470A81" w14:paraId="31282D60" w14:textId="77777777">
      <w:pPr>
        <w:widowControl/>
        <w:ind w:firstLine="720"/>
        <w:rPr>
          <w:color w:val="000000"/>
          <w:szCs w:val="22"/>
        </w:rPr>
      </w:pPr>
      <w:r w:rsidRPr="00EF7821">
        <w:rPr>
          <w:color w:val="000000"/>
          <w:szCs w:val="22"/>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470A81" w:rsidRPr="00EF7821" w:rsidP="00470A81" w14:paraId="6D617964" w14:textId="77777777">
      <w:pPr>
        <w:widowControl/>
        <w:ind w:firstLine="720"/>
        <w:rPr>
          <w:color w:val="000000"/>
          <w:szCs w:val="22"/>
        </w:rPr>
      </w:pPr>
    </w:p>
    <w:p w:rsidR="005D472D" w:rsidRPr="00EF7821" w:rsidP="00175A87" w14:paraId="5308DB44" w14:textId="1D075039">
      <w:pPr>
        <w:widowControl/>
        <w:spacing w:after="240"/>
        <w:ind w:firstLine="720"/>
        <w:rPr>
          <w:szCs w:val="22"/>
        </w:rPr>
      </w:pPr>
      <w:r w:rsidRPr="00EF7821">
        <w:rPr>
          <w:szCs w:val="22"/>
        </w:rPr>
        <w:t xml:space="preserve">For further information, please contact </w:t>
      </w:r>
      <w:r w:rsidRPr="00EF7821" w:rsidR="004C686B">
        <w:rPr>
          <w:szCs w:val="22"/>
        </w:rPr>
        <w:t>Mike Ray</w:t>
      </w:r>
      <w:r w:rsidRPr="00EF7821">
        <w:rPr>
          <w:szCs w:val="22"/>
        </w:rPr>
        <w:t>, Wireline Competition Bureau, (202) 418-0</w:t>
      </w:r>
      <w:r w:rsidRPr="00EF7821" w:rsidR="00E07C39">
        <w:rPr>
          <w:szCs w:val="22"/>
        </w:rPr>
        <w:t>3</w:t>
      </w:r>
      <w:r w:rsidRPr="00EF7821" w:rsidR="004C686B">
        <w:rPr>
          <w:szCs w:val="22"/>
        </w:rPr>
        <w:t>57</w:t>
      </w:r>
      <w:r w:rsidRPr="00EF7821" w:rsidR="006A6777">
        <w:rPr>
          <w:szCs w:val="22"/>
        </w:rPr>
        <w:t>,</w:t>
      </w:r>
      <w:r w:rsidRPr="00EF7821">
        <w:rPr>
          <w:szCs w:val="22"/>
        </w:rPr>
        <w:t xml:space="preserve"> </w:t>
      </w:r>
      <w:r w:rsidRPr="00EF7821" w:rsidR="00077582">
        <w:rPr>
          <w:szCs w:val="22"/>
        </w:rPr>
        <w:t>Kimberly Cook</w:t>
      </w:r>
      <w:r w:rsidRPr="00EF7821">
        <w:rPr>
          <w:szCs w:val="22"/>
        </w:rPr>
        <w:t>, International Bureau, (202) 418-7</w:t>
      </w:r>
      <w:r w:rsidRPr="00EF7821" w:rsidR="007F7D51">
        <w:rPr>
          <w:szCs w:val="22"/>
        </w:rPr>
        <w:t>532</w:t>
      </w:r>
      <w:r w:rsidRPr="00EF7821" w:rsidR="004C686B">
        <w:rPr>
          <w:szCs w:val="22"/>
        </w:rPr>
        <w:t>, or Linda Ray, Wireless Telecommunications Bureau, (202) 418-</w:t>
      </w:r>
      <w:r w:rsidR="00511FA0">
        <w:rPr>
          <w:szCs w:val="22"/>
        </w:rPr>
        <w:t>0257</w:t>
      </w:r>
      <w:r w:rsidR="00382B84">
        <w:rPr>
          <w:szCs w:val="22"/>
        </w:rPr>
        <w:t>; William Huber, Office of Economics and Analytics, (202) 418-2109</w:t>
      </w:r>
      <w:r w:rsidRPr="00EF7821">
        <w:rPr>
          <w:szCs w:val="22"/>
        </w:rPr>
        <w:t>.</w:t>
      </w:r>
      <w:r w:rsidRPr="00EF7821">
        <w:rPr>
          <w:szCs w:val="22"/>
        </w:rPr>
        <w:br w:type="page"/>
      </w:r>
    </w:p>
    <w:p w:rsidR="00470A81" w:rsidRPr="00EF7821" w:rsidP="00784B5B" w14:paraId="5132B387" w14:textId="5A2BE001">
      <w:pPr>
        <w:widowControl/>
        <w:spacing w:after="240"/>
        <w:jc w:val="center"/>
        <w:rPr>
          <w:b/>
          <w:snapToGrid/>
          <w:color w:val="000000"/>
          <w:kern w:val="0"/>
          <w:szCs w:val="22"/>
          <w:u w:val="single"/>
        </w:rPr>
      </w:pPr>
      <w:r w:rsidRPr="00EF7821">
        <w:rPr>
          <w:b/>
          <w:color w:val="000000"/>
          <w:szCs w:val="22"/>
          <w:u w:val="single"/>
        </w:rPr>
        <w:t>ATTACHMENT A</w:t>
      </w:r>
    </w:p>
    <w:p w:rsidR="005D472D" w:rsidRPr="00EF7821" w:rsidP="005D472D" w14:paraId="603D66B8" w14:textId="77777777">
      <w:pPr>
        <w:widowControl/>
        <w:autoSpaceDE w:val="0"/>
        <w:autoSpaceDN w:val="0"/>
        <w:adjustRightInd w:val="0"/>
        <w:rPr>
          <w:b/>
          <w:bCs/>
          <w:snapToGrid/>
          <w:kern w:val="0"/>
          <w:szCs w:val="22"/>
        </w:rPr>
      </w:pPr>
      <w:r w:rsidRPr="00EF7821">
        <w:rPr>
          <w:b/>
          <w:bCs/>
          <w:snapToGrid/>
          <w:kern w:val="0"/>
          <w:szCs w:val="22"/>
        </w:rPr>
        <w:t>SECTION 214 AUTHORIZATIONS</w:t>
      </w:r>
    </w:p>
    <w:p w:rsidR="006215D4" w:rsidRPr="00EF7821" w:rsidP="005D472D" w14:paraId="5A6CC864" w14:textId="77777777">
      <w:pPr>
        <w:widowControl/>
        <w:autoSpaceDE w:val="0"/>
        <w:autoSpaceDN w:val="0"/>
        <w:adjustRightInd w:val="0"/>
        <w:rPr>
          <w:b/>
          <w:bCs/>
          <w:snapToGrid/>
          <w:kern w:val="0"/>
          <w:szCs w:val="22"/>
        </w:rPr>
      </w:pPr>
    </w:p>
    <w:p w:rsidR="005D472D" w:rsidRPr="00EF7821" w:rsidP="005D472D" w14:paraId="2E9A9150" w14:textId="3197CBE9">
      <w:pPr>
        <w:widowControl/>
        <w:autoSpaceDE w:val="0"/>
        <w:autoSpaceDN w:val="0"/>
        <w:adjustRightInd w:val="0"/>
        <w:rPr>
          <w:b/>
          <w:bCs/>
          <w:snapToGrid/>
          <w:kern w:val="0"/>
          <w:szCs w:val="22"/>
        </w:rPr>
      </w:pPr>
      <w:r w:rsidRPr="00EF7821">
        <w:rPr>
          <w:b/>
          <w:bCs/>
          <w:snapToGrid/>
          <w:kern w:val="0"/>
          <w:szCs w:val="22"/>
        </w:rPr>
        <w:t>A.</w:t>
      </w:r>
      <w:r w:rsidRPr="00EF7821" w:rsidR="006215D4">
        <w:rPr>
          <w:b/>
          <w:bCs/>
          <w:snapToGrid/>
          <w:kern w:val="0"/>
          <w:szCs w:val="22"/>
        </w:rPr>
        <w:tab/>
      </w:r>
      <w:r w:rsidRPr="00EF7821">
        <w:rPr>
          <w:b/>
          <w:bCs/>
          <w:snapToGrid/>
          <w:kern w:val="0"/>
          <w:szCs w:val="22"/>
        </w:rPr>
        <w:t>International</w:t>
      </w:r>
    </w:p>
    <w:p w:rsidR="006215D4" w:rsidRPr="00EF7821" w:rsidP="005D472D" w14:paraId="20ED5C4A" w14:textId="77777777">
      <w:pPr>
        <w:widowControl/>
        <w:autoSpaceDE w:val="0"/>
        <w:autoSpaceDN w:val="0"/>
        <w:adjustRightInd w:val="0"/>
        <w:rPr>
          <w:b/>
          <w:bCs/>
          <w:snapToGrid/>
          <w:kern w:val="0"/>
          <w:szCs w:val="22"/>
        </w:rPr>
      </w:pPr>
    </w:p>
    <w:p w:rsidR="005D472D" w:rsidRPr="00EF7821" w:rsidP="005D472D" w14:paraId="7AC57630" w14:textId="09F14441">
      <w:pPr>
        <w:widowControl/>
        <w:autoSpaceDE w:val="0"/>
        <w:autoSpaceDN w:val="0"/>
        <w:adjustRightInd w:val="0"/>
        <w:rPr>
          <w:b/>
          <w:bCs/>
          <w:snapToGrid/>
          <w:kern w:val="0"/>
          <w:szCs w:val="22"/>
        </w:rPr>
      </w:pPr>
      <w:r w:rsidRPr="00EF7821">
        <w:rPr>
          <w:b/>
          <w:bCs/>
          <w:snapToGrid/>
          <w:kern w:val="0"/>
          <w:szCs w:val="22"/>
        </w:rPr>
        <w:t xml:space="preserve">File Number </w:t>
      </w:r>
      <w:r w:rsidRPr="00EF7821" w:rsidR="006215D4">
        <w:rPr>
          <w:b/>
          <w:bCs/>
          <w:snapToGrid/>
          <w:kern w:val="0"/>
          <w:szCs w:val="22"/>
        </w:rPr>
        <w:tab/>
      </w:r>
      <w:r w:rsidRPr="00EF7821" w:rsidR="006215D4">
        <w:rPr>
          <w:b/>
          <w:bCs/>
          <w:snapToGrid/>
          <w:kern w:val="0"/>
          <w:szCs w:val="22"/>
        </w:rPr>
        <w:tab/>
      </w:r>
      <w:r w:rsidRPr="00EF7821" w:rsidR="006215D4">
        <w:rPr>
          <w:b/>
          <w:bCs/>
          <w:snapToGrid/>
          <w:kern w:val="0"/>
          <w:szCs w:val="22"/>
        </w:rPr>
        <w:tab/>
      </w:r>
      <w:r w:rsidRPr="00EF7821">
        <w:rPr>
          <w:b/>
          <w:bCs/>
          <w:snapToGrid/>
          <w:kern w:val="0"/>
          <w:szCs w:val="22"/>
        </w:rPr>
        <w:t xml:space="preserve">Authorization Holder </w:t>
      </w:r>
      <w:r w:rsidRPr="00EF7821" w:rsidR="006215D4">
        <w:rPr>
          <w:b/>
          <w:bCs/>
          <w:snapToGrid/>
          <w:kern w:val="0"/>
          <w:szCs w:val="22"/>
        </w:rPr>
        <w:tab/>
      </w:r>
      <w:r w:rsidRPr="00EF7821" w:rsidR="006215D4">
        <w:rPr>
          <w:b/>
          <w:bCs/>
          <w:snapToGrid/>
          <w:kern w:val="0"/>
          <w:szCs w:val="22"/>
        </w:rPr>
        <w:tab/>
      </w:r>
      <w:r w:rsidRPr="00EF7821" w:rsidR="006215D4">
        <w:rPr>
          <w:b/>
          <w:bCs/>
          <w:snapToGrid/>
          <w:kern w:val="0"/>
          <w:szCs w:val="22"/>
        </w:rPr>
        <w:tab/>
      </w:r>
      <w:r w:rsidRPr="00EF7821">
        <w:rPr>
          <w:b/>
          <w:bCs/>
          <w:snapToGrid/>
          <w:kern w:val="0"/>
          <w:szCs w:val="22"/>
        </w:rPr>
        <w:t>Authorization Number</w:t>
      </w:r>
    </w:p>
    <w:p w:rsidR="009C773A" w:rsidP="006215D4" w14:paraId="3F412B44" w14:textId="77777777">
      <w:pPr>
        <w:widowControl/>
        <w:autoSpaceDE w:val="0"/>
        <w:autoSpaceDN w:val="0"/>
        <w:adjustRightInd w:val="0"/>
        <w:rPr>
          <w:snapToGrid/>
          <w:kern w:val="0"/>
          <w:szCs w:val="22"/>
        </w:rPr>
      </w:pPr>
    </w:p>
    <w:p w:rsidR="006215D4" w:rsidRPr="00EF7821" w:rsidP="006215D4" w14:paraId="3798669B" w14:textId="0FAAF668">
      <w:pPr>
        <w:widowControl/>
        <w:autoSpaceDE w:val="0"/>
        <w:autoSpaceDN w:val="0"/>
        <w:adjustRightInd w:val="0"/>
        <w:rPr>
          <w:snapToGrid/>
          <w:kern w:val="0"/>
          <w:szCs w:val="22"/>
        </w:rPr>
      </w:pPr>
      <w:r w:rsidRPr="00EF7821">
        <w:rPr>
          <w:snapToGrid/>
          <w:kern w:val="0"/>
          <w:szCs w:val="22"/>
        </w:rPr>
        <w:t>ITC-</w:t>
      </w:r>
      <w:r w:rsidR="006C36A9">
        <w:rPr>
          <w:snapToGrid/>
          <w:kern w:val="0"/>
          <w:szCs w:val="22"/>
        </w:rPr>
        <w:t>ASG</w:t>
      </w:r>
      <w:r w:rsidRPr="00EF7821">
        <w:rPr>
          <w:snapToGrid/>
          <w:kern w:val="0"/>
          <w:szCs w:val="22"/>
        </w:rPr>
        <w:t>-20200522-00081</w:t>
      </w:r>
      <w:r w:rsidRPr="00EF7821">
        <w:rPr>
          <w:snapToGrid/>
          <w:kern w:val="0"/>
          <w:szCs w:val="22"/>
        </w:rPr>
        <w:t xml:space="preserve"> </w:t>
      </w:r>
      <w:r w:rsidRPr="00EF7821">
        <w:rPr>
          <w:snapToGrid/>
          <w:kern w:val="0"/>
          <w:szCs w:val="22"/>
        </w:rPr>
        <w:tab/>
        <w:t xml:space="preserve">Windstream Services LLC, </w:t>
      </w:r>
      <w:r w:rsidRPr="00EF7821">
        <w:rPr>
          <w:snapToGrid/>
          <w:kern w:val="0"/>
          <w:szCs w:val="22"/>
        </w:rPr>
        <w:tab/>
      </w:r>
      <w:r w:rsidRPr="00EF7821">
        <w:rPr>
          <w:snapToGrid/>
          <w:kern w:val="0"/>
          <w:szCs w:val="22"/>
        </w:rPr>
        <w:tab/>
        <w:t>ITC-214-19980925-00658</w:t>
      </w:r>
    </w:p>
    <w:p w:rsidR="006215D4" w:rsidRPr="00EF7821" w:rsidP="006215D4" w14:paraId="786D3805" w14:textId="0F478C6E">
      <w:pPr>
        <w:widowControl/>
        <w:autoSpaceDE w:val="0"/>
        <w:autoSpaceDN w:val="0"/>
        <w:adjustRightInd w:val="0"/>
        <w:ind w:left="2160" w:firstLine="720"/>
        <w:rPr>
          <w:snapToGrid/>
          <w:kern w:val="0"/>
          <w:szCs w:val="22"/>
        </w:rPr>
      </w:pPr>
      <w:r w:rsidRPr="00EF7821">
        <w:rPr>
          <w:snapToGrid/>
          <w:kern w:val="0"/>
          <w:szCs w:val="22"/>
        </w:rPr>
        <w:t>Debtor-in-Possession</w:t>
      </w:r>
      <w:r>
        <w:rPr>
          <w:rStyle w:val="FootnoteReference"/>
          <w:snapToGrid/>
          <w:kern w:val="0"/>
          <w:szCs w:val="22"/>
        </w:rPr>
        <w:footnoteReference w:id="60"/>
      </w:r>
      <w:r w:rsidRPr="00EF7821">
        <w:rPr>
          <w:snapToGrid/>
          <w:kern w:val="0"/>
          <w:szCs w:val="22"/>
        </w:rPr>
        <w:t xml:space="preserve"> </w:t>
      </w:r>
    </w:p>
    <w:p w:rsidR="006215D4" w:rsidRPr="00EF7821" w:rsidP="006215D4" w14:paraId="55C8F7BE" w14:textId="110B0357">
      <w:pPr>
        <w:widowControl/>
        <w:autoSpaceDE w:val="0"/>
        <w:autoSpaceDN w:val="0"/>
        <w:adjustRightInd w:val="0"/>
        <w:rPr>
          <w:snapToGrid/>
          <w:kern w:val="0"/>
          <w:szCs w:val="22"/>
        </w:rPr>
      </w:pPr>
    </w:p>
    <w:p w:rsidR="005D472D" w:rsidRPr="00EF7821" w:rsidP="005D472D" w14:paraId="7289EE55" w14:textId="2CBB9C8B">
      <w:pPr>
        <w:widowControl/>
        <w:autoSpaceDE w:val="0"/>
        <w:autoSpaceDN w:val="0"/>
        <w:adjustRightInd w:val="0"/>
        <w:rPr>
          <w:snapToGrid/>
          <w:kern w:val="0"/>
          <w:szCs w:val="22"/>
        </w:rPr>
      </w:pPr>
      <w:r w:rsidRPr="00EF7821">
        <w:rPr>
          <w:snapToGrid/>
          <w:kern w:val="0"/>
          <w:szCs w:val="22"/>
        </w:rPr>
        <w:t>ITC-</w:t>
      </w:r>
      <w:r w:rsidR="006C36A9">
        <w:rPr>
          <w:snapToGrid/>
          <w:kern w:val="0"/>
          <w:szCs w:val="22"/>
        </w:rPr>
        <w:t>ASG</w:t>
      </w:r>
      <w:r w:rsidRPr="00EF7821">
        <w:rPr>
          <w:snapToGrid/>
          <w:kern w:val="0"/>
          <w:szCs w:val="22"/>
        </w:rPr>
        <w:t>-20200522-00082</w:t>
      </w:r>
      <w:r w:rsidRPr="00EF7821" w:rsidR="006215D4">
        <w:rPr>
          <w:snapToGrid/>
          <w:kern w:val="0"/>
          <w:szCs w:val="22"/>
        </w:rPr>
        <w:tab/>
      </w:r>
      <w:r w:rsidRPr="00EF7821">
        <w:rPr>
          <w:snapToGrid/>
          <w:kern w:val="0"/>
          <w:szCs w:val="22"/>
        </w:rPr>
        <w:t>American Telephone Company</w:t>
      </w:r>
      <w:r w:rsidRPr="00EF7821" w:rsidR="006215D4">
        <w:rPr>
          <w:snapToGrid/>
          <w:kern w:val="0"/>
          <w:szCs w:val="22"/>
        </w:rPr>
        <w:tab/>
      </w:r>
      <w:r w:rsidRPr="00EF7821" w:rsidR="006215D4">
        <w:rPr>
          <w:snapToGrid/>
          <w:kern w:val="0"/>
          <w:szCs w:val="22"/>
        </w:rPr>
        <w:tab/>
      </w:r>
      <w:r w:rsidRPr="00EF7821">
        <w:rPr>
          <w:snapToGrid/>
          <w:kern w:val="0"/>
          <w:szCs w:val="22"/>
        </w:rPr>
        <w:t>ITC-214-20061201-00539</w:t>
      </w:r>
    </w:p>
    <w:p w:rsidR="006215D4" w:rsidRPr="00EF7821" w:rsidP="006215D4" w14:paraId="74CAE80D" w14:textId="77777777">
      <w:pPr>
        <w:widowControl/>
        <w:autoSpaceDE w:val="0"/>
        <w:autoSpaceDN w:val="0"/>
        <w:adjustRightInd w:val="0"/>
        <w:ind w:left="2160" w:firstLine="720"/>
        <w:rPr>
          <w:snapToGrid/>
          <w:kern w:val="0"/>
          <w:szCs w:val="22"/>
        </w:rPr>
      </w:pPr>
      <w:r w:rsidRPr="00EF7821">
        <w:rPr>
          <w:snapToGrid/>
          <w:kern w:val="0"/>
          <w:szCs w:val="22"/>
        </w:rPr>
        <w:t>(Debtor-in-Possession)</w:t>
      </w:r>
    </w:p>
    <w:p w:rsidR="006215D4" w:rsidRPr="00EF7821" w:rsidP="005D472D" w14:paraId="786F5DC4" w14:textId="77777777">
      <w:pPr>
        <w:widowControl/>
        <w:autoSpaceDE w:val="0"/>
        <w:autoSpaceDN w:val="0"/>
        <w:adjustRightInd w:val="0"/>
        <w:rPr>
          <w:snapToGrid/>
          <w:kern w:val="0"/>
          <w:szCs w:val="22"/>
        </w:rPr>
      </w:pPr>
    </w:p>
    <w:p w:rsidR="005D472D" w:rsidRPr="00EF7821" w:rsidP="005D472D" w14:paraId="38ADCF21" w14:textId="34715325">
      <w:pPr>
        <w:widowControl/>
        <w:autoSpaceDE w:val="0"/>
        <w:autoSpaceDN w:val="0"/>
        <w:adjustRightInd w:val="0"/>
        <w:rPr>
          <w:snapToGrid/>
          <w:kern w:val="0"/>
          <w:szCs w:val="22"/>
        </w:rPr>
      </w:pPr>
      <w:r w:rsidRPr="00EF7821">
        <w:rPr>
          <w:snapToGrid/>
          <w:kern w:val="0"/>
          <w:szCs w:val="22"/>
        </w:rPr>
        <w:t>ITC-</w:t>
      </w:r>
      <w:r w:rsidR="006C36A9">
        <w:rPr>
          <w:snapToGrid/>
          <w:kern w:val="0"/>
          <w:szCs w:val="22"/>
        </w:rPr>
        <w:t>ASG</w:t>
      </w:r>
      <w:r w:rsidRPr="00EF7821">
        <w:rPr>
          <w:snapToGrid/>
          <w:kern w:val="0"/>
          <w:szCs w:val="22"/>
        </w:rPr>
        <w:t>-20200522-00083</w:t>
      </w:r>
      <w:r w:rsidRPr="00EF7821" w:rsidR="006215D4">
        <w:rPr>
          <w:snapToGrid/>
          <w:kern w:val="0"/>
          <w:szCs w:val="22"/>
        </w:rPr>
        <w:tab/>
      </w:r>
      <w:r w:rsidRPr="00EF7821">
        <w:rPr>
          <w:snapToGrid/>
          <w:kern w:val="0"/>
          <w:szCs w:val="22"/>
        </w:rPr>
        <w:t xml:space="preserve">MassCom Inc., Debtor-in-Possession </w:t>
      </w:r>
      <w:r w:rsidRPr="00EF7821" w:rsidR="006215D4">
        <w:rPr>
          <w:snapToGrid/>
          <w:kern w:val="0"/>
          <w:szCs w:val="22"/>
        </w:rPr>
        <w:tab/>
      </w:r>
      <w:r w:rsidRPr="00EF7821">
        <w:rPr>
          <w:snapToGrid/>
          <w:kern w:val="0"/>
          <w:szCs w:val="22"/>
        </w:rPr>
        <w:t>ITC-214-20080220-00084</w:t>
      </w:r>
    </w:p>
    <w:p w:rsidR="006215D4" w:rsidRPr="00EF7821" w:rsidP="005D472D" w14:paraId="728144C3" w14:textId="77777777">
      <w:pPr>
        <w:widowControl/>
        <w:autoSpaceDE w:val="0"/>
        <w:autoSpaceDN w:val="0"/>
        <w:adjustRightInd w:val="0"/>
        <w:rPr>
          <w:b/>
          <w:bCs/>
          <w:snapToGrid/>
          <w:kern w:val="0"/>
          <w:szCs w:val="22"/>
        </w:rPr>
      </w:pPr>
    </w:p>
    <w:p w:rsidR="005D472D" w:rsidRPr="00EF7821" w:rsidP="005D472D" w14:paraId="7EEFEE0A" w14:textId="0260DD76">
      <w:pPr>
        <w:widowControl/>
        <w:autoSpaceDE w:val="0"/>
        <w:autoSpaceDN w:val="0"/>
        <w:adjustRightInd w:val="0"/>
        <w:rPr>
          <w:b/>
          <w:bCs/>
          <w:snapToGrid/>
          <w:kern w:val="0"/>
          <w:szCs w:val="22"/>
        </w:rPr>
      </w:pPr>
      <w:r w:rsidRPr="00EF7821">
        <w:rPr>
          <w:b/>
          <w:bCs/>
          <w:snapToGrid/>
          <w:kern w:val="0"/>
          <w:szCs w:val="22"/>
        </w:rPr>
        <w:t>B.</w:t>
      </w:r>
      <w:r w:rsidRPr="00EF7821" w:rsidR="006215D4">
        <w:rPr>
          <w:b/>
          <w:bCs/>
          <w:snapToGrid/>
          <w:kern w:val="0"/>
          <w:szCs w:val="22"/>
        </w:rPr>
        <w:tab/>
      </w:r>
      <w:r w:rsidRPr="00EF7821">
        <w:rPr>
          <w:b/>
          <w:bCs/>
          <w:snapToGrid/>
          <w:kern w:val="0"/>
          <w:szCs w:val="22"/>
        </w:rPr>
        <w:t>Domestic</w:t>
      </w:r>
    </w:p>
    <w:p w:rsidR="006215D4" w:rsidRPr="00EF7821" w:rsidP="005D472D" w14:paraId="591C9D8E" w14:textId="77777777">
      <w:pPr>
        <w:widowControl/>
        <w:autoSpaceDE w:val="0"/>
        <w:autoSpaceDN w:val="0"/>
        <w:adjustRightInd w:val="0"/>
        <w:rPr>
          <w:b/>
          <w:bCs/>
          <w:snapToGrid/>
          <w:kern w:val="0"/>
          <w:szCs w:val="22"/>
        </w:rPr>
      </w:pPr>
    </w:p>
    <w:p w:rsidR="005D472D" w:rsidRPr="00EF7821" w:rsidP="006215D4" w14:paraId="65EE680F" w14:textId="6088DF83">
      <w:pPr>
        <w:widowControl/>
        <w:autoSpaceDE w:val="0"/>
        <w:autoSpaceDN w:val="0"/>
        <w:adjustRightInd w:val="0"/>
        <w:rPr>
          <w:snapToGrid/>
          <w:kern w:val="0"/>
          <w:szCs w:val="22"/>
        </w:rPr>
      </w:pPr>
      <w:r>
        <w:rPr>
          <w:snapToGrid/>
          <w:kern w:val="0"/>
          <w:szCs w:val="22"/>
        </w:rPr>
        <w:t>The Wireline Competition Bureau grants the application to transfer control of domestic section 214 authority in connection with the proposed transaction—WC Docket No. 20-151</w:t>
      </w:r>
      <w:r w:rsidRPr="00EF7821">
        <w:rPr>
          <w:snapToGrid/>
          <w:kern w:val="0"/>
          <w:szCs w:val="22"/>
        </w:rPr>
        <w:t>.</w:t>
      </w:r>
      <w:r>
        <w:rPr>
          <w:rStyle w:val="FootnoteReference"/>
          <w:snapToGrid/>
          <w:kern w:val="0"/>
          <w:szCs w:val="22"/>
        </w:rPr>
        <w:footnoteReference w:id="61"/>
      </w:r>
      <w:r w:rsidRPr="00EF7821">
        <w:rPr>
          <w:snapToGrid/>
          <w:kern w:val="0"/>
          <w:szCs w:val="22"/>
        </w:rPr>
        <w:t xml:space="preserve"> </w:t>
      </w:r>
    </w:p>
    <w:p w:rsidR="006215D4" w:rsidRPr="00EF7821" w:rsidP="006215D4" w14:paraId="021529D6" w14:textId="77777777">
      <w:pPr>
        <w:widowControl/>
        <w:autoSpaceDE w:val="0"/>
        <w:autoSpaceDN w:val="0"/>
        <w:adjustRightInd w:val="0"/>
        <w:rPr>
          <w:snapToGrid/>
          <w:kern w:val="0"/>
          <w:szCs w:val="22"/>
        </w:rPr>
      </w:pPr>
    </w:p>
    <w:p w:rsidR="005D472D" w:rsidRPr="00EF7821" w:rsidP="005D472D" w14:paraId="061B070E" w14:textId="77777777">
      <w:pPr>
        <w:widowControl/>
        <w:autoSpaceDE w:val="0"/>
        <w:autoSpaceDN w:val="0"/>
        <w:adjustRightInd w:val="0"/>
        <w:rPr>
          <w:b/>
          <w:bCs/>
          <w:snapToGrid/>
          <w:kern w:val="0"/>
          <w:szCs w:val="22"/>
        </w:rPr>
      </w:pPr>
      <w:r w:rsidRPr="00EF7821">
        <w:rPr>
          <w:b/>
          <w:bCs/>
          <w:snapToGrid/>
          <w:kern w:val="0"/>
          <w:szCs w:val="22"/>
        </w:rPr>
        <w:t>SECTION 310(d) APPLICATIONS</w:t>
      </w:r>
    </w:p>
    <w:p w:rsidR="006215D4" w:rsidRPr="00EF7821" w:rsidP="005D472D" w14:paraId="0FC77307" w14:textId="4436019D">
      <w:pPr>
        <w:widowControl/>
        <w:autoSpaceDE w:val="0"/>
        <w:autoSpaceDN w:val="0"/>
        <w:adjustRightInd w:val="0"/>
        <w:rPr>
          <w:b/>
          <w:bCs/>
          <w:snapToGrid/>
          <w:kern w:val="0"/>
          <w:szCs w:val="22"/>
        </w:rPr>
      </w:pPr>
    </w:p>
    <w:p w:rsidR="005D472D" w:rsidRPr="00EF7821" w:rsidP="005D472D" w14:paraId="55EA6460" w14:textId="30767F72">
      <w:pPr>
        <w:widowControl/>
        <w:autoSpaceDE w:val="0"/>
        <w:autoSpaceDN w:val="0"/>
        <w:adjustRightInd w:val="0"/>
        <w:rPr>
          <w:b/>
          <w:bCs/>
          <w:snapToGrid/>
          <w:kern w:val="0"/>
          <w:szCs w:val="22"/>
        </w:rPr>
      </w:pPr>
      <w:r w:rsidRPr="00EF7821">
        <w:rPr>
          <w:b/>
          <w:bCs/>
          <w:snapToGrid/>
          <w:kern w:val="0"/>
          <w:szCs w:val="22"/>
        </w:rPr>
        <w:t xml:space="preserve">File Number </w:t>
      </w:r>
      <w:r w:rsidRPr="00EF7821" w:rsidR="006215D4">
        <w:rPr>
          <w:b/>
          <w:bCs/>
          <w:snapToGrid/>
          <w:kern w:val="0"/>
          <w:szCs w:val="22"/>
        </w:rPr>
        <w:tab/>
      </w:r>
      <w:r w:rsidRPr="00EF7821">
        <w:rPr>
          <w:b/>
          <w:bCs/>
          <w:snapToGrid/>
          <w:kern w:val="0"/>
          <w:szCs w:val="22"/>
        </w:rPr>
        <w:t xml:space="preserve">Licensee </w:t>
      </w:r>
      <w:r w:rsidRPr="00EF7821" w:rsidR="006215D4">
        <w:rPr>
          <w:b/>
          <w:bCs/>
          <w:snapToGrid/>
          <w:kern w:val="0"/>
          <w:szCs w:val="22"/>
        </w:rPr>
        <w:tab/>
      </w:r>
      <w:r w:rsidRPr="00EF7821" w:rsidR="006215D4">
        <w:rPr>
          <w:b/>
          <w:bCs/>
          <w:snapToGrid/>
          <w:kern w:val="0"/>
          <w:szCs w:val="22"/>
        </w:rPr>
        <w:tab/>
      </w:r>
      <w:r w:rsidRPr="00EF7821" w:rsidR="006215D4">
        <w:rPr>
          <w:b/>
          <w:bCs/>
          <w:snapToGrid/>
          <w:kern w:val="0"/>
          <w:szCs w:val="22"/>
        </w:rPr>
        <w:tab/>
      </w:r>
      <w:r w:rsidRPr="00EF7821" w:rsidR="006215D4">
        <w:rPr>
          <w:b/>
          <w:bCs/>
          <w:snapToGrid/>
          <w:kern w:val="0"/>
          <w:szCs w:val="22"/>
        </w:rPr>
        <w:tab/>
      </w:r>
      <w:r w:rsidRPr="00EF7821" w:rsidR="006215D4">
        <w:rPr>
          <w:b/>
          <w:bCs/>
          <w:snapToGrid/>
          <w:kern w:val="0"/>
          <w:szCs w:val="22"/>
        </w:rPr>
        <w:tab/>
      </w:r>
      <w:r w:rsidRPr="00EF7821" w:rsidR="006215D4">
        <w:rPr>
          <w:b/>
          <w:bCs/>
          <w:snapToGrid/>
          <w:kern w:val="0"/>
          <w:szCs w:val="22"/>
        </w:rPr>
        <w:tab/>
      </w:r>
      <w:r w:rsidRPr="00EF7821">
        <w:rPr>
          <w:b/>
          <w:bCs/>
          <w:snapToGrid/>
          <w:kern w:val="0"/>
          <w:szCs w:val="22"/>
        </w:rPr>
        <w:t>Lead Call Sign</w:t>
      </w:r>
    </w:p>
    <w:p w:rsidR="009C773A" w:rsidP="005D472D" w14:paraId="3BE89405" w14:textId="77777777">
      <w:pPr>
        <w:widowControl/>
        <w:autoSpaceDE w:val="0"/>
        <w:autoSpaceDN w:val="0"/>
        <w:adjustRightInd w:val="0"/>
        <w:rPr>
          <w:snapToGrid/>
          <w:kern w:val="0"/>
          <w:szCs w:val="22"/>
        </w:rPr>
      </w:pPr>
    </w:p>
    <w:p w:rsidR="005D472D" w:rsidRPr="00EF7821" w:rsidP="005D472D" w14:paraId="37D30416" w14:textId="4225B6F4">
      <w:pPr>
        <w:widowControl/>
        <w:autoSpaceDE w:val="0"/>
        <w:autoSpaceDN w:val="0"/>
        <w:adjustRightInd w:val="0"/>
        <w:rPr>
          <w:snapToGrid/>
          <w:kern w:val="0"/>
          <w:szCs w:val="22"/>
        </w:rPr>
      </w:pPr>
      <w:r w:rsidRPr="00EF7821">
        <w:rPr>
          <w:snapToGrid/>
          <w:kern w:val="0"/>
          <w:szCs w:val="22"/>
        </w:rPr>
        <w:t xml:space="preserve">00009081087 </w:t>
      </w:r>
      <w:r w:rsidRPr="00EF7821" w:rsidR="006215D4">
        <w:rPr>
          <w:snapToGrid/>
          <w:kern w:val="0"/>
          <w:szCs w:val="22"/>
        </w:rPr>
        <w:tab/>
      </w:r>
      <w:r w:rsidRPr="00EF7821">
        <w:rPr>
          <w:snapToGrid/>
          <w:kern w:val="0"/>
          <w:szCs w:val="22"/>
        </w:rPr>
        <w:t>BOB, LLC dba Business Only</w:t>
      </w:r>
      <w:r w:rsidRPr="00EF7821" w:rsidR="006215D4">
        <w:rPr>
          <w:snapToGrid/>
          <w:kern w:val="0"/>
          <w:szCs w:val="22"/>
        </w:rPr>
        <w:t xml:space="preserve"> </w:t>
      </w:r>
      <w:r w:rsidRPr="00EF7821">
        <w:rPr>
          <w:snapToGrid/>
          <w:kern w:val="0"/>
          <w:szCs w:val="22"/>
        </w:rPr>
        <w:t>Broadband</w:t>
      </w:r>
      <w:r w:rsidRPr="00EF7821" w:rsidR="006215D4">
        <w:rPr>
          <w:snapToGrid/>
          <w:kern w:val="0"/>
          <w:szCs w:val="22"/>
        </w:rPr>
        <w:tab/>
      </w:r>
      <w:r w:rsidRPr="00EF7821" w:rsidR="006215D4">
        <w:rPr>
          <w:snapToGrid/>
          <w:kern w:val="0"/>
          <w:szCs w:val="22"/>
        </w:rPr>
        <w:tab/>
      </w:r>
      <w:r w:rsidRPr="00EF7821">
        <w:rPr>
          <w:snapToGrid/>
          <w:kern w:val="0"/>
          <w:szCs w:val="22"/>
        </w:rPr>
        <w:t>WQCC512</w:t>
      </w:r>
    </w:p>
    <w:p w:rsidR="006215D4" w:rsidRPr="00EF7821" w:rsidP="005D472D" w14:paraId="4734FCAF" w14:textId="77777777">
      <w:pPr>
        <w:widowControl/>
        <w:autoSpaceDE w:val="0"/>
        <w:autoSpaceDN w:val="0"/>
        <w:adjustRightInd w:val="0"/>
        <w:rPr>
          <w:snapToGrid/>
          <w:kern w:val="0"/>
          <w:szCs w:val="22"/>
        </w:rPr>
      </w:pPr>
    </w:p>
    <w:p w:rsidR="005D472D" w:rsidRPr="00EF7821" w:rsidP="005D472D" w14:paraId="6B86EFB8" w14:textId="7A24718F">
      <w:pPr>
        <w:widowControl/>
        <w:autoSpaceDE w:val="0"/>
        <w:autoSpaceDN w:val="0"/>
        <w:adjustRightInd w:val="0"/>
        <w:rPr>
          <w:snapToGrid/>
          <w:kern w:val="0"/>
          <w:szCs w:val="22"/>
        </w:rPr>
      </w:pPr>
      <w:r w:rsidRPr="00EF7821">
        <w:rPr>
          <w:snapToGrid/>
          <w:kern w:val="0"/>
          <w:szCs w:val="22"/>
        </w:rPr>
        <w:t xml:space="preserve">0009082139 </w:t>
      </w:r>
      <w:r w:rsidRPr="00EF7821" w:rsidR="006215D4">
        <w:rPr>
          <w:snapToGrid/>
          <w:kern w:val="0"/>
          <w:szCs w:val="22"/>
        </w:rPr>
        <w:tab/>
      </w:r>
      <w:r w:rsidRPr="00EF7821">
        <w:rPr>
          <w:snapToGrid/>
          <w:kern w:val="0"/>
          <w:szCs w:val="22"/>
        </w:rPr>
        <w:t>Windstream Services, LLC, Debtor-In-Possession</w:t>
      </w:r>
      <w:r w:rsidRPr="00EF7821" w:rsidR="006215D4">
        <w:rPr>
          <w:snapToGrid/>
          <w:kern w:val="0"/>
          <w:szCs w:val="22"/>
        </w:rPr>
        <w:tab/>
      </w:r>
      <w:r w:rsidRPr="00EF7821">
        <w:rPr>
          <w:snapToGrid/>
          <w:kern w:val="0"/>
          <w:szCs w:val="22"/>
        </w:rPr>
        <w:t>WQNK758</w:t>
      </w:r>
    </w:p>
    <w:p w:rsidR="00A944A2" w:rsidRPr="00EF7821" w:rsidP="005D472D" w14:paraId="581F3DA7" w14:textId="77777777">
      <w:pPr>
        <w:widowControl/>
        <w:autoSpaceDE w:val="0"/>
        <w:autoSpaceDN w:val="0"/>
        <w:adjustRightInd w:val="0"/>
        <w:rPr>
          <w:snapToGrid/>
          <w:kern w:val="0"/>
          <w:szCs w:val="22"/>
        </w:rPr>
      </w:pPr>
    </w:p>
    <w:p w:rsidR="005D472D" w:rsidRPr="00EF7821" w:rsidP="005D472D" w14:paraId="32A74E12" w14:textId="5BDA1332">
      <w:pPr>
        <w:widowControl/>
        <w:autoSpaceDE w:val="0"/>
        <w:autoSpaceDN w:val="0"/>
        <w:adjustRightInd w:val="0"/>
        <w:rPr>
          <w:snapToGrid/>
          <w:kern w:val="0"/>
          <w:szCs w:val="22"/>
        </w:rPr>
      </w:pPr>
      <w:r w:rsidRPr="00EF7821">
        <w:rPr>
          <w:snapToGrid/>
          <w:kern w:val="0"/>
          <w:szCs w:val="22"/>
        </w:rPr>
        <w:t xml:space="preserve">0009082351 </w:t>
      </w:r>
      <w:r w:rsidRPr="00EF7821" w:rsidR="0034397F">
        <w:rPr>
          <w:snapToGrid/>
          <w:kern w:val="0"/>
          <w:szCs w:val="22"/>
        </w:rPr>
        <w:tab/>
      </w:r>
      <w:r w:rsidRPr="00EF7821">
        <w:rPr>
          <w:snapToGrid/>
          <w:kern w:val="0"/>
          <w:szCs w:val="22"/>
        </w:rPr>
        <w:t xml:space="preserve">D&amp;E Communications, Inc. </w:t>
      </w:r>
      <w:r w:rsidRPr="00EF7821" w:rsidR="0034397F">
        <w:rPr>
          <w:snapToGrid/>
          <w:kern w:val="0"/>
          <w:szCs w:val="22"/>
        </w:rPr>
        <w:tab/>
      </w:r>
      <w:r w:rsidRPr="00EF7821" w:rsidR="0034397F">
        <w:rPr>
          <w:snapToGrid/>
          <w:kern w:val="0"/>
          <w:szCs w:val="22"/>
        </w:rPr>
        <w:tab/>
      </w:r>
      <w:r w:rsidRPr="00EF7821" w:rsidR="0034397F">
        <w:rPr>
          <w:snapToGrid/>
          <w:kern w:val="0"/>
          <w:szCs w:val="22"/>
        </w:rPr>
        <w:tab/>
      </w:r>
      <w:r w:rsidRPr="00EF7821" w:rsidR="0034397F">
        <w:rPr>
          <w:snapToGrid/>
          <w:kern w:val="0"/>
          <w:szCs w:val="22"/>
        </w:rPr>
        <w:tab/>
      </w:r>
      <w:r w:rsidRPr="00EF7821">
        <w:rPr>
          <w:snapToGrid/>
          <w:kern w:val="0"/>
          <w:szCs w:val="22"/>
        </w:rPr>
        <w:t>WQJH937</w:t>
      </w:r>
    </w:p>
    <w:p w:rsidR="00A944A2" w:rsidRPr="00EF7821" w:rsidP="005D472D" w14:paraId="5DAC4FA0" w14:textId="77777777">
      <w:pPr>
        <w:widowControl/>
        <w:autoSpaceDE w:val="0"/>
        <w:autoSpaceDN w:val="0"/>
        <w:adjustRightInd w:val="0"/>
        <w:rPr>
          <w:snapToGrid/>
          <w:kern w:val="0"/>
          <w:szCs w:val="22"/>
        </w:rPr>
      </w:pPr>
    </w:p>
    <w:p w:rsidR="005D472D" w:rsidRPr="00EF7821" w:rsidP="005D472D" w14:paraId="15F1C2D8" w14:textId="418D1D5D">
      <w:pPr>
        <w:widowControl/>
        <w:autoSpaceDE w:val="0"/>
        <w:autoSpaceDN w:val="0"/>
        <w:adjustRightInd w:val="0"/>
        <w:rPr>
          <w:snapToGrid/>
          <w:kern w:val="0"/>
          <w:szCs w:val="22"/>
        </w:rPr>
      </w:pPr>
      <w:r w:rsidRPr="00EF7821">
        <w:rPr>
          <w:snapToGrid/>
          <w:kern w:val="0"/>
          <w:szCs w:val="22"/>
        </w:rPr>
        <w:t xml:space="preserve">0009082392 </w:t>
      </w:r>
      <w:r w:rsidRPr="00EF7821" w:rsidR="0034397F">
        <w:rPr>
          <w:snapToGrid/>
          <w:kern w:val="0"/>
          <w:szCs w:val="22"/>
        </w:rPr>
        <w:tab/>
      </w:r>
      <w:r w:rsidRPr="00EF7821">
        <w:rPr>
          <w:snapToGrid/>
          <w:kern w:val="0"/>
          <w:szCs w:val="22"/>
        </w:rPr>
        <w:t>Windstream D&amp;E Systems Inc. (Debtor</w:t>
      </w:r>
      <w:r w:rsidRPr="00EF7821" w:rsidR="00A944A2">
        <w:rPr>
          <w:snapToGrid/>
          <w:kern w:val="0"/>
          <w:szCs w:val="22"/>
        </w:rPr>
        <w:t>-</w:t>
      </w:r>
      <w:r w:rsidRPr="00EF7821">
        <w:rPr>
          <w:snapToGrid/>
          <w:kern w:val="0"/>
          <w:szCs w:val="22"/>
        </w:rPr>
        <w:t>in-Possession)</w:t>
      </w:r>
      <w:r w:rsidRPr="00EF7821" w:rsidR="00A944A2">
        <w:rPr>
          <w:snapToGrid/>
          <w:kern w:val="0"/>
          <w:szCs w:val="22"/>
        </w:rPr>
        <w:tab/>
      </w:r>
      <w:r w:rsidRPr="00EF7821">
        <w:rPr>
          <w:snapToGrid/>
          <w:kern w:val="0"/>
          <w:szCs w:val="22"/>
        </w:rPr>
        <w:t>WPNA263</w:t>
      </w:r>
    </w:p>
    <w:p w:rsidR="00A944A2" w:rsidRPr="00EF7821" w:rsidP="005D472D" w14:paraId="258100E0" w14:textId="77777777">
      <w:pPr>
        <w:widowControl/>
        <w:autoSpaceDE w:val="0"/>
        <w:autoSpaceDN w:val="0"/>
        <w:adjustRightInd w:val="0"/>
        <w:rPr>
          <w:snapToGrid/>
          <w:kern w:val="0"/>
          <w:szCs w:val="22"/>
        </w:rPr>
      </w:pPr>
    </w:p>
    <w:p w:rsidR="005D472D" w:rsidRPr="00EF7821" w:rsidP="005D472D" w14:paraId="76CC8C9E" w14:textId="25571160">
      <w:pPr>
        <w:widowControl/>
        <w:autoSpaceDE w:val="0"/>
        <w:autoSpaceDN w:val="0"/>
        <w:adjustRightInd w:val="0"/>
        <w:rPr>
          <w:snapToGrid/>
          <w:kern w:val="0"/>
          <w:szCs w:val="22"/>
        </w:rPr>
      </w:pPr>
      <w:r w:rsidRPr="00EF7821">
        <w:rPr>
          <w:snapToGrid/>
          <w:kern w:val="0"/>
          <w:szCs w:val="22"/>
        </w:rPr>
        <w:t xml:space="preserve">0009082434 </w:t>
      </w:r>
      <w:r w:rsidRPr="00EF7821" w:rsidR="00A944A2">
        <w:rPr>
          <w:snapToGrid/>
          <w:kern w:val="0"/>
          <w:szCs w:val="22"/>
        </w:rPr>
        <w:tab/>
      </w:r>
      <w:r w:rsidRPr="00EF7821">
        <w:rPr>
          <w:snapToGrid/>
          <w:kern w:val="0"/>
          <w:szCs w:val="22"/>
        </w:rPr>
        <w:t>MPX I</w:t>
      </w:r>
      <w:r w:rsidRPr="00EF7821" w:rsidR="00A944A2">
        <w:rPr>
          <w:snapToGrid/>
          <w:kern w:val="0"/>
          <w:szCs w:val="22"/>
        </w:rPr>
        <w:t>nc.</w:t>
      </w:r>
      <w:r w:rsidRPr="00EF7821" w:rsidR="00A944A2">
        <w:rPr>
          <w:snapToGrid/>
          <w:kern w:val="0"/>
          <w:szCs w:val="22"/>
        </w:rPr>
        <w:tab/>
      </w:r>
      <w:r w:rsidRPr="00EF7821" w:rsidR="00A944A2">
        <w:rPr>
          <w:snapToGrid/>
          <w:kern w:val="0"/>
          <w:szCs w:val="22"/>
        </w:rPr>
        <w:tab/>
      </w:r>
      <w:r w:rsidRPr="00EF7821" w:rsidR="00A944A2">
        <w:rPr>
          <w:snapToGrid/>
          <w:kern w:val="0"/>
          <w:szCs w:val="22"/>
        </w:rPr>
        <w:tab/>
      </w:r>
      <w:r w:rsidRPr="00EF7821" w:rsidR="00A944A2">
        <w:rPr>
          <w:snapToGrid/>
          <w:kern w:val="0"/>
          <w:szCs w:val="22"/>
        </w:rPr>
        <w:tab/>
      </w:r>
      <w:r w:rsidRPr="00EF7821" w:rsidR="00A944A2">
        <w:rPr>
          <w:snapToGrid/>
          <w:kern w:val="0"/>
          <w:szCs w:val="22"/>
        </w:rPr>
        <w:tab/>
      </w:r>
      <w:r w:rsidRPr="00EF7821" w:rsidR="00A944A2">
        <w:rPr>
          <w:snapToGrid/>
          <w:kern w:val="0"/>
          <w:szCs w:val="22"/>
        </w:rPr>
        <w:tab/>
      </w:r>
      <w:r w:rsidRPr="00EF7821">
        <w:rPr>
          <w:snapToGrid/>
          <w:kern w:val="0"/>
          <w:szCs w:val="22"/>
        </w:rPr>
        <w:t>WPSQ536</w:t>
      </w:r>
    </w:p>
    <w:p w:rsidR="00A944A2" w:rsidRPr="00EF7821" w:rsidP="005D472D" w14:paraId="1AC925B2" w14:textId="77777777">
      <w:pPr>
        <w:widowControl/>
        <w:autoSpaceDE w:val="0"/>
        <w:autoSpaceDN w:val="0"/>
        <w:adjustRightInd w:val="0"/>
        <w:rPr>
          <w:snapToGrid/>
          <w:kern w:val="0"/>
          <w:szCs w:val="22"/>
        </w:rPr>
      </w:pPr>
    </w:p>
    <w:p w:rsidR="005D472D" w:rsidRPr="00EF7821" w:rsidP="005D472D" w14:paraId="203B736D" w14:textId="32EF20C6">
      <w:pPr>
        <w:widowControl/>
        <w:autoSpaceDE w:val="0"/>
        <w:autoSpaceDN w:val="0"/>
        <w:adjustRightInd w:val="0"/>
        <w:rPr>
          <w:snapToGrid/>
          <w:kern w:val="0"/>
          <w:szCs w:val="22"/>
        </w:rPr>
      </w:pPr>
      <w:r w:rsidRPr="00EF7821">
        <w:rPr>
          <w:snapToGrid/>
          <w:kern w:val="0"/>
          <w:szCs w:val="22"/>
        </w:rPr>
        <w:t xml:space="preserve">0009082528 </w:t>
      </w:r>
      <w:r w:rsidRPr="00EF7821" w:rsidR="00A944A2">
        <w:rPr>
          <w:snapToGrid/>
          <w:kern w:val="0"/>
          <w:szCs w:val="22"/>
        </w:rPr>
        <w:tab/>
      </w:r>
      <w:r w:rsidRPr="00EF7821">
        <w:rPr>
          <w:snapToGrid/>
          <w:kern w:val="0"/>
          <w:szCs w:val="22"/>
        </w:rPr>
        <w:t xml:space="preserve">Oklahoma Windstream, LLC </w:t>
      </w:r>
      <w:r w:rsidRPr="00EF7821" w:rsidR="00A944A2">
        <w:rPr>
          <w:snapToGrid/>
          <w:kern w:val="0"/>
          <w:szCs w:val="22"/>
        </w:rPr>
        <w:tab/>
      </w:r>
      <w:r w:rsidRPr="00EF7821" w:rsidR="00A944A2">
        <w:rPr>
          <w:snapToGrid/>
          <w:kern w:val="0"/>
          <w:szCs w:val="22"/>
        </w:rPr>
        <w:tab/>
      </w:r>
      <w:r w:rsidRPr="00EF7821" w:rsidR="00A944A2">
        <w:rPr>
          <w:snapToGrid/>
          <w:kern w:val="0"/>
          <w:szCs w:val="22"/>
        </w:rPr>
        <w:tab/>
      </w:r>
      <w:r w:rsidRPr="00EF7821" w:rsidR="00A944A2">
        <w:rPr>
          <w:snapToGrid/>
          <w:kern w:val="0"/>
          <w:szCs w:val="22"/>
        </w:rPr>
        <w:tab/>
      </w:r>
      <w:r w:rsidRPr="00EF7821">
        <w:rPr>
          <w:snapToGrid/>
          <w:kern w:val="0"/>
          <w:szCs w:val="22"/>
        </w:rPr>
        <w:t>KPP33</w:t>
      </w:r>
    </w:p>
    <w:p w:rsidR="00A944A2" w:rsidRPr="00EF7821" w:rsidP="005D472D" w14:paraId="775A3BA8" w14:textId="77777777">
      <w:pPr>
        <w:widowControl/>
        <w:autoSpaceDE w:val="0"/>
        <w:autoSpaceDN w:val="0"/>
        <w:adjustRightInd w:val="0"/>
        <w:rPr>
          <w:snapToGrid/>
          <w:kern w:val="0"/>
          <w:szCs w:val="22"/>
        </w:rPr>
      </w:pPr>
    </w:p>
    <w:p w:rsidR="00A944A2" w:rsidRPr="00EF7821" w:rsidP="005D472D" w14:paraId="46B2725F" w14:textId="7C967616">
      <w:pPr>
        <w:widowControl/>
        <w:autoSpaceDE w:val="0"/>
        <w:autoSpaceDN w:val="0"/>
        <w:adjustRightInd w:val="0"/>
        <w:rPr>
          <w:snapToGrid/>
          <w:kern w:val="0"/>
          <w:szCs w:val="22"/>
        </w:rPr>
      </w:pPr>
      <w:r w:rsidRPr="00EF7821">
        <w:rPr>
          <w:snapToGrid/>
          <w:kern w:val="0"/>
          <w:szCs w:val="22"/>
        </w:rPr>
        <w:t xml:space="preserve">0009085568 </w:t>
      </w:r>
      <w:r w:rsidRPr="00EF7821">
        <w:rPr>
          <w:snapToGrid/>
          <w:kern w:val="0"/>
          <w:szCs w:val="22"/>
        </w:rPr>
        <w:tab/>
      </w:r>
      <w:r w:rsidRPr="00EF7821">
        <w:rPr>
          <w:snapToGrid/>
          <w:kern w:val="0"/>
          <w:szCs w:val="22"/>
        </w:rPr>
        <w:t>Valor Telecommunications of Texas,</w:t>
      </w:r>
      <w:r w:rsidRPr="00EF7821">
        <w:rPr>
          <w:snapToGrid/>
          <w:kern w:val="0"/>
          <w:szCs w:val="22"/>
        </w:rPr>
        <w:t xml:space="preserve"> </w:t>
      </w:r>
      <w:r w:rsidRPr="00EF7821">
        <w:rPr>
          <w:snapToGrid/>
          <w:kern w:val="0"/>
          <w:szCs w:val="22"/>
        </w:rPr>
        <w:t xml:space="preserve">LLC </w:t>
      </w:r>
      <w:r w:rsidRPr="00EF7821">
        <w:rPr>
          <w:snapToGrid/>
          <w:kern w:val="0"/>
          <w:szCs w:val="22"/>
        </w:rPr>
        <w:tab/>
      </w:r>
      <w:r w:rsidRPr="00EF7821">
        <w:rPr>
          <w:snapToGrid/>
          <w:kern w:val="0"/>
          <w:szCs w:val="22"/>
        </w:rPr>
        <w:tab/>
        <w:t>KKK59</w:t>
      </w:r>
    </w:p>
    <w:p w:rsidR="005D472D" w:rsidRPr="00EF7821" w:rsidP="00A944A2" w14:paraId="063DCBF5" w14:textId="45B782AC">
      <w:pPr>
        <w:widowControl/>
        <w:autoSpaceDE w:val="0"/>
        <w:autoSpaceDN w:val="0"/>
        <w:adjustRightInd w:val="0"/>
        <w:ind w:left="720" w:firstLine="720"/>
        <w:rPr>
          <w:snapToGrid/>
          <w:kern w:val="0"/>
          <w:szCs w:val="22"/>
        </w:rPr>
      </w:pPr>
      <w:r w:rsidRPr="00EF7821">
        <w:rPr>
          <w:snapToGrid/>
          <w:kern w:val="0"/>
          <w:szCs w:val="22"/>
        </w:rPr>
        <w:t>d/b/a Windstream Communications</w:t>
      </w:r>
      <w:r w:rsidRPr="00EF7821" w:rsidR="00A944A2">
        <w:rPr>
          <w:snapToGrid/>
          <w:kern w:val="0"/>
          <w:szCs w:val="22"/>
        </w:rPr>
        <w:t xml:space="preserve"> </w:t>
      </w:r>
      <w:r w:rsidRPr="00EF7821">
        <w:rPr>
          <w:snapToGrid/>
          <w:kern w:val="0"/>
          <w:szCs w:val="22"/>
        </w:rPr>
        <w:t>Southwest</w:t>
      </w:r>
    </w:p>
    <w:p w:rsidR="00A944A2" w:rsidRPr="00EF7821" w:rsidP="005D472D" w14:paraId="48EDDB80" w14:textId="77777777">
      <w:pPr>
        <w:widowControl/>
        <w:autoSpaceDE w:val="0"/>
        <w:autoSpaceDN w:val="0"/>
        <w:adjustRightInd w:val="0"/>
        <w:rPr>
          <w:snapToGrid/>
          <w:kern w:val="0"/>
          <w:szCs w:val="22"/>
        </w:rPr>
      </w:pPr>
    </w:p>
    <w:p w:rsidR="005D472D" w:rsidRPr="00EF7821" w:rsidP="005D472D" w14:paraId="2AC9D7B4" w14:textId="607BBD80">
      <w:pPr>
        <w:widowControl/>
        <w:autoSpaceDE w:val="0"/>
        <w:autoSpaceDN w:val="0"/>
        <w:adjustRightInd w:val="0"/>
        <w:rPr>
          <w:snapToGrid/>
          <w:kern w:val="0"/>
          <w:szCs w:val="22"/>
        </w:rPr>
      </w:pPr>
      <w:r w:rsidRPr="00EF7821">
        <w:rPr>
          <w:snapToGrid/>
          <w:kern w:val="0"/>
          <w:szCs w:val="22"/>
        </w:rPr>
        <w:t xml:space="preserve">0009085592 </w:t>
      </w:r>
      <w:r w:rsidRPr="00EF7821" w:rsidR="00A944A2">
        <w:rPr>
          <w:snapToGrid/>
          <w:kern w:val="0"/>
          <w:szCs w:val="22"/>
        </w:rPr>
        <w:tab/>
      </w:r>
      <w:r w:rsidRPr="00EF7821">
        <w:rPr>
          <w:snapToGrid/>
          <w:kern w:val="0"/>
          <w:szCs w:val="22"/>
        </w:rPr>
        <w:t>Windstream New York Inc (Debtor-In-Possession)</w:t>
      </w:r>
      <w:r w:rsidRPr="00EF7821" w:rsidR="00A944A2">
        <w:rPr>
          <w:snapToGrid/>
          <w:kern w:val="0"/>
          <w:szCs w:val="22"/>
        </w:rPr>
        <w:tab/>
      </w:r>
      <w:r w:rsidRPr="00EF7821">
        <w:rPr>
          <w:snapToGrid/>
          <w:kern w:val="0"/>
          <w:szCs w:val="22"/>
        </w:rPr>
        <w:t>WNWM304</w:t>
      </w:r>
    </w:p>
    <w:p w:rsidR="00A944A2" w:rsidRPr="00EF7821" w:rsidP="005D472D" w14:paraId="6AA22051" w14:textId="77777777">
      <w:pPr>
        <w:widowControl/>
        <w:autoSpaceDE w:val="0"/>
        <w:autoSpaceDN w:val="0"/>
        <w:adjustRightInd w:val="0"/>
        <w:rPr>
          <w:snapToGrid/>
          <w:kern w:val="0"/>
          <w:szCs w:val="22"/>
        </w:rPr>
      </w:pPr>
    </w:p>
    <w:p w:rsidR="005D472D" w:rsidRPr="00EF7821" w:rsidP="005D472D" w14:paraId="6A73E136" w14:textId="72DB859F">
      <w:pPr>
        <w:widowControl/>
        <w:autoSpaceDE w:val="0"/>
        <w:autoSpaceDN w:val="0"/>
        <w:adjustRightInd w:val="0"/>
        <w:rPr>
          <w:snapToGrid/>
          <w:kern w:val="0"/>
          <w:szCs w:val="22"/>
        </w:rPr>
      </w:pPr>
      <w:r w:rsidRPr="00EF7821">
        <w:rPr>
          <w:snapToGrid/>
          <w:kern w:val="0"/>
          <w:szCs w:val="22"/>
        </w:rPr>
        <w:t xml:space="preserve">0009085614 </w:t>
      </w:r>
      <w:r w:rsidRPr="00EF7821" w:rsidR="00A944A2">
        <w:rPr>
          <w:snapToGrid/>
          <w:kern w:val="0"/>
          <w:szCs w:val="22"/>
        </w:rPr>
        <w:tab/>
      </w:r>
      <w:r w:rsidRPr="00EF7821">
        <w:rPr>
          <w:snapToGrid/>
          <w:kern w:val="0"/>
          <w:szCs w:val="22"/>
        </w:rPr>
        <w:t>Windstream NTI, LLC, Debtor In</w:t>
      </w:r>
      <w:r w:rsidRPr="00EF7821" w:rsidR="00A944A2">
        <w:rPr>
          <w:snapToGrid/>
          <w:kern w:val="0"/>
          <w:szCs w:val="22"/>
        </w:rPr>
        <w:t xml:space="preserve"> </w:t>
      </w:r>
      <w:r w:rsidRPr="00EF7821">
        <w:rPr>
          <w:snapToGrid/>
          <w:kern w:val="0"/>
          <w:szCs w:val="22"/>
        </w:rPr>
        <w:t>Possession</w:t>
      </w:r>
      <w:r w:rsidRPr="00EF7821" w:rsidR="00A944A2">
        <w:rPr>
          <w:snapToGrid/>
          <w:kern w:val="0"/>
          <w:szCs w:val="22"/>
        </w:rPr>
        <w:tab/>
      </w:r>
      <w:r w:rsidRPr="00EF7821" w:rsidR="00A944A2">
        <w:rPr>
          <w:snapToGrid/>
          <w:kern w:val="0"/>
          <w:szCs w:val="22"/>
        </w:rPr>
        <w:tab/>
      </w:r>
      <w:r w:rsidRPr="00EF7821">
        <w:rPr>
          <w:snapToGrid/>
          <w:kern w:val="0"/>
          <w:szCs w:val="22"/>
        </w:rPr>
        <w:t>WLN878</w:t>
      </w:r>
    </w:p>
    <w:p w:rsidR="00A944A2" w:rsidRPr="00EF7821" w:rsidP="005D472D" w14:paraId="56F80E3C" w14:textId="77777777">
      <w:pPr>
        <w:widowControl/>
        <w:autoSpaceDE w:val="0"/>
        <w:autoSpaceDN w:val="0"/>
        <w:adjustRightInd w:val="0"/>
        <w:rPr>
          <w:snapToGrid/>
          <w:kern w:val="0"/>
          <w:szCs w:val="22"/>
        </w:rPr>
      </w:pPr>
    </w:p>
    <w:p w:rsidR="005D472D" w:rsidRPr="00EF7821" w:rsidP="005D472D" w14:paraId="7A93CC93" w14:textId="7A8F7353">
      <w:pPr>
        <w:widowControl/>
        <w:autoSpaceDE w:val="0"/>
        <w:autoSpaceDN w:val="0"/>
        <w:adjustRightInd w:val="0"/>
        <w:rPr>
          <w:b/>
          <w:bCs/>
          <w:snapToGrid/>
          <w:kern w:val="0"/>
          <w:szCs w:val="22"/>
        </w:rPr>
      </w:pPr>
      <w:r w:rsidRPr="00EF7821">
        <w:rPr>
          <w:b/>
          <w:bCs/>
          <w:snapToGrid/>
          <w:kern w:val="0"/>
          <w:szCs w:val="22"/>
        </w:rPr>
        <w:t>WAIVER REQUEST</w:t>
      </w:r>
    </w:p>
    <w:p w:rsidR="00A944A2" w:rsidRPr="00EF7821" w:rsidP="005D472D" w14:paraId="0E73283E" w14:textId="77777777">
      <w:pPr>
        <w:widowControl/>
        <w:autoSpaceDE w:val="0"/>
        <w:autoSpaceDN w:val="0"/>
        <w:adjustRightInd w:val="0"/>
        <w:rPr>
          <w:snapToGrid/>
          <w:kern w:val="0"/>
          <w:szCs w:val="22"/>
        </w:rPr>
      </w:pPr>
    </w:p>
    <w:p w:rsidR="005D472D" w:rsidRPr="00EF7821" w:rsidP="005D472D" w14:paraId="131C1C31" w14:textId="0546F6B5">
      <w:pPr>
        <w:widowControl/>
        <w:autoSpaceDE w:val="0"/>
        <w:autoSpaceDN w:val="0"/>
        <w:adjustRightInd w:val="0"/>
        <w:rPr>
          <w:snapToGrid/>
          <w:kern w:val="0"/>
          <w:szCs w:val="22"/>
        </w:rPr>
      </w:pPr>
      <w:r w:rsidRPr="00EF7821">
        <w:rPr>
          <w:snapToGrid/>
          <w:kern w:val="0"/>
          <w:szCs w:val="22"/>
        </w:rPr>
        <w:t>The Petition for Temporary and Limited Waiver of sections 1.948, 1.2112, 1.5000(a)(1), 63.03,</w:t>
      </w:r>
    </w:p>
    <w:p w:rsidR="005D472D" w:rsidRPr="00EF7821" w:rsidP="005D472D" w14:paraId="38722FC9" w14:textId="6C4842E4">
      <w:pPr>
        <w:widowControl/>
        <w:autoSpaceDE w:val="0"/>
        <w:autoSpaceDN w:val="0"/>
        <w:adjustRightInd w:val="0"/>
        <w:rPr>
          <w:snapToGrid/>
          <w:kern w:val="0"/>
          <w:szCs w:val="22"/>
        </w:rPr>
      </w:pPr>
      <w:r w:rsidRPr="00EF7821">
        <w:rPr>
          <w:snapToGrid/>
          <w:kern w:val="0"/>
          <w:szCs w:val="22"/>
        </w:rPr>
        <w:t>63.04, 63.18, and 63.24 of the Commission’s rules</w:t>
      </w:r>
      <w:r w:rsidR="00DC6B1F">
        <w:rPr>
          <w:snapToGrid/>
          <w:kern w:val="0"/>
          <w:szCs w:val="22"/>
        </w:rPr>
        <w:t>,</w:t>
      </w:r>
      <w:r w:rsidRPr="00EF7821">
        <w:rPr>
          <w:snapToGrid/>
          <w:kern w:val="0"/>
          <w:szCs w:val="22"/>
        </w:rPr>
        <w:t xml:space="preserve"> IBFS file numbers ISP-WAV-</w:t>
      </w:r>
    </w:p>
    <w:p w:rsidR="005D472D" w:rsidP="005D472D" w14:paraId="07C9018F" w14:textId="2B3B1BE4">
      <w:pPr>
        <w:widowControl/>
        <w:autoSpaceDE w:val="0"/>
        <w:autoSpaceDN w:val="0"/>
        <w:adjustRightInd w:val="0"/>
        <w:rPr>
          <w:snapToGrid/>
          <w:kern w:val="0"/>
          <w:szCs w:val="22"/>
        </w:rPr>
      </w:pPr>
      <w:r w:rsidRPr="00EF7821">
        <w:rPr>
          <w:snapToGrid/>
          <w:kern w:val="0"/>
          <w:szCs w:val="22"/>
        </w:rPr>
        <w:t xml:space="preserve">20200611-00004 and ITC-WAV-20200611-00091, </w:t>
      </w:r>
      <w:r w:rsidR="00DC6B1F">
        <w:rPr>
          <w:snapToGrid/>
          <w:kern w:val="0"/>
          <w:szCs w:val="22"/>
        </w:rPr>
        <w:t xml:space="preserve">is granted </w:t>
      </w:r>
      <w:r w:rsidRPr="00EF7821">
        <w:rPr>
          <w:snapToGrid/>
          <w:kern w:val="0"/>
          <w:szCs w:val="22"/>
        </w:rPr>
        <w:t>and is available in the following docket and file</w:t>
      </w:r>
      <w:r w:rsidR="00DC6B1F">
        <w:rPr>
          <w:snapToGrid/>
          <w:kern w:val="0"/>
          <w:szCs w:val="22"/>
        </w:rPr>
        <w:t xml:space="preserve"> </w:t>
      </w:r>
      <w:r w:rsidRPr="00EF7821">
        <w:rPr>
          <w:snapToGrid/>
          <w:kern w:val="0"/>
          <w:szCs w:val="22"/>
        </w:rPr>
        <w:t>numbers:</w:t>
      </w:r>
    </w:p>
    <w:p w:rsidR="009C773A" w:rsidRPr="00EF7821" w:rsidP="005D472D" w14:paraId="1D4B379D" w14:textId="77777777">
      <w:pPr>
        <w:widowControl/>
        <w:autoSpaceDE w:val="0"/>
        <w:autoSpaceDN w:val="0"/>
        <w:adjustRightInd w:val="0"/>
        <w:rPr>
          <w:snapToGrid/>
          <w:kern w:val="0"/>
          <w:szCs w:val="22"/>
        </w:rPr>
      </w:pPr>
    </w:p>
    <w:p w:rsidR="005D472D" w:rsidRPr="00EF7821" w:rsidP="00A944A2" w14:paraId="475CDFC3" w14:textId="24C365E9">
      <w:pPr>
        <w:pStyle w:val="ListParagraph"/>
        <w:widowControl/>
        <w:numPr>
          <w:ilvl w:val="0"/>
          <w:numId w:val="8"/>
        </w:numPr>
        <w:autoSpaceDE w:val="0"/>
        <w:autoSpaceDN w:val="0"/>
        <w:adjustRightInd w:val="0"/>
        <w:spacing w:after="120"/>
        <w:rPr>
          <w:snapToGrid/>
          <w:kern w:val="0"/>
          <w:szCs w:val="22"/>
        </w:rPr>
      </w:pPr>
      <w:r w:rsidRPr="00EF7821">
        <w:rPr>
          <w:snapToGrid/>
          <w:kern w:val="0"/>
          <w:szCs w:val="22"/>
        </w:rPr>
        <w:t>IB File Nos. ITC-</w:t>
      </w:r>
      <w:r w:rsidR="00845AC0">
        <w:rPr>
          <w:snapToGrid/>
          <w:kern w:val="0"/>
          <w:szCs w:val="22"/>
        </w:rPr>
        <w:t>ASG</w:t>
      </w:r>
      <w:r w:rsidRPr="00EF7821">
        <w:rPr>
          <w:snapToGrid/>
          <w:kern w:val="0"/>
          <w:szCs w:val="22"/>
        </w:rPr>
        <w:t>-20200522-00081, ITC-</w:t>
      </w:r>
      <w:r w:rsidR="006C36A9">
        <w:rPr>
          <w:snapToGrid/>
          <w:kern w:val="0"/>
          <w:szCs w:val="22"/>
        </w:rPr>
        <w:t>ASG</w:t>
      </w:r>
      <w:r w:rsidRPr="00EF7821">
        <w:rPr>
          <w:snapToGrid/>
          <w:kern w:val="0"/>
          <w:szCs w:val="22"/>
        </w:rPr>
        <w:t>-20200522-00082, ITC-</w:t>
      </w:r>
      <w:r w:rsidR="006C36A9">
        <w:rPr>
          <w:snapToGrid/>
          <w:kern w:val="0"/>
          <w:szCs w:val="22"/>
        </w:rPr>
        <w:t>ASG</w:t>
      </w:r>
      <w:r w:rsidRPr="00EF7821">
        <w:rPr>
          <w:snapToGrid/>
          <w:kern w:val="0"/>
          <w:szCs w:val="22"/>
        </w:rPr>
        <w:t>-20200522-00083, ISP-WAV-20200611-00004; ITC-WAV-20200611-00091</w:t>
      </w:r>
      <w:r w:rsidR="00DD1A3C">
        <w:rPr>
          <w:snapToGrid/>
          <w:kern w:val="0"/>
          <w:szCs w:val="22"/>
        </w:rPr>
        <w:t>;</w:t>
      </w:r>
    </w:p>
    <w:p w:rsidR="00A944A2" w:rsidRPr="00EF7821" w:rsidP="00A944A2" w14:paraId="4A2B5CAF" w14:textId="77777777">
      <w:pPr>
        <w:pStyle w:val="ListParagraph"/>
        <w:widowControl/>
        <w:autoSpaceDE w:val="0"/>
        <w:autoSpaceDN w:val="0"/>
        <w:adjustRightInd w:val="0"/>
        <w:spacing w:after="120"/>
        <w:rPr>
          <w:snapToGrid/>
          <w:kern w:val="0"/>
          <w:szCs w:val="22"/>
        </w:rPr>
      </w:pPr>
    </w:p>
    <w:p w:rsidR="00A944A2" w:rsidRPr="00EF7821" w:rsidP="00A944A2" w14:paraId="29AD24F2" w14:textId="3571AF94">
      <w:pPr>
        <w:pStyle w:val="ListParagraph"/>
        <w:widowControl/>
        <w:numPr>
          <w:ilvl w:val="0"/>
          <w:numId w:val="8"/>
        </w:numPr>
        <w:autoSpaceDE w:val="0"/>
        <w:autoSpaceDN w:val="0"/>
        <w:adjustRightInd w:val="0"/>
        <w:spacing w:after="120"/>
        <w:rPr>
          <w:snapToGrid/>
          <w:kern w:val="0"/>
          <w:szCs w:val="22"/>
        </w:rPr>
      </w:pPr>
      <w:r w:rsidRPr="00EF7821">
        <w:rPr>
          <w:snapToGrid/>
          <w:kern w:val="0"/>
          <w:szCs w:val="22"/>
        </w:rPr>
        <w:t>ULS File Nos. 0009081087, 0009082139, 0009082351, 0009082392, 0009082434,</w:t>
      </w:r>
      <w:r w:rsidRPr="00EF7821">
        <w:rPr>
          <w:snapToGrid/>
          <w:kern w:val="0"/>
          <w:szCs w:val="22"/>
        </w:rPr>
        <w:t xml:space="preserve"> </w:t>
      </w:r>
      <w:r w:rsidRPr="00EF7821">
        <w:rPr>
          <w:snapToGrid/>
          <w:kern w:val="0"/>
          <w:szCs w:val="22"/>
        </w:rPr>
        <w:t>0009082528, 0009085568, 0009085592, 0009085614</w:t>
      </w:r>
      <w:r w:rsidR="00DD1A3C">
        <w:rPr>
          <w:snapToGrid/>
          <w:kern w:val="0"/>
          <w:szCs w:val="22"/>
        </w:rPr>
        <w:t>; and</w:t>
      </w:r>
    </w:p>
    <w:p w:rsidR="00A944A2" w:rsidRPr="00EF7821" w:rsidP="00A944A2" w14:paraId="7708572B" w14:textId="77777777">
      <w:pPr>
        <w:pStyle w:val="ListParagraph"/>
        <w:widowControl/>
        <w:autoSpaceDE w:val="0"/>
        <w:autoSpaceDN w:val="0"/>
        <w:adjustRightInd w:val="0"/>
        <w:spacing w:after="120"/>
        <w:rPr>
          <w:snapToGrid/>
          <w:kern w:val="0"/>
          <w:szCs w:val="22"/>
        </w:rPr>
      </w:pPr>
    </w:p>
    <w:p w:rsidR="00470A81" w:rsidP="00A944A2" w14:paraId="457F997C" w14:textId="37A0CEFB">
      <w:pPr>
        <w:pStyle w:val="ListParagraph"/>
        <w:widowControl/>
        <w:numPr>
          <w:ilvl w:val="0"/>
          <w:numId w:val="8"/>
        </w:numPr>
        <w:autoSpaceDE w:val="0"/>
        <w:autoSpaceDN w:val="0"/>
        <w:adjustRightInd w:val="0"/>
        <w:spacing w:after="120"/>
        <w:rPr>
          <w:snapToGrid/>
          <w:kern w:val="0"/>
          <w:szCs w:val="22"/>
        </w:rPr>
      </w:pPr>
      <w:r w:rsidRPr="00EF7821">
        <w:rPr>
          <w:snapToGrid/>
          <w:kern w:val="0"/>
          <w:szCs w:val="22"/>
        </w:rPr>
        <w:t>WC Docket No. 20-151</w:t>
      </w:r>
      <w:r w:rsidR="00380198">
        <w:rPr>
          <w:snapToGrid/>
          <w:kern w:val="0"/>
          <w:szCs w:val="22"/>
        </w:rPr>
        <w:t>.</w:t>
      </w:r>
    </w:p>
    <w:p w:rsidR="00382B84" w:rsidRPr="00382B84" w:rsidP="00382B84" w14:paraId="10C3B819" w14:textId="77777777">
      <w:pPr>
        <w:pStyle w:val="ListParagraph"/>
        <w:rPr>
          <w:snapToGrid/>
          <w:kern w:val="0"/>
          <w:szCs w:val="22"/>
        </w:rPr>
      </w:pPr>
    </w:p>
    <w:p w:rsidR="00382B84" w:rsidRPr="00B673CA" w:rsidP="00382B84" w14:paraId="2CD7C33F" w14:textId="3C9D5899">
      <w:pPr>
        <w:widowControl/>
        <w:autoSpaceDE w:val="0"/>
        <w:autoSpaceDN w:val="0"/>
        <w:adjustRightInd w:val="0"/>
        <w:spacing w:after="120"/>
        <w:rPr>
          <w:snapToGrid/>
          <w:kern w:val="0"/>
          <w:szCs w:val="22"/>
        </w:rPr>
      </w:pPr>
      <w:r>
        <w:t>Petition of Windstream Services LLC, Debtor-In-Possession for Waiver of Section 1.2105(b)(2) of the Commission’s Rules, AU Docket No. 19-244 (</w:t>
      </w:r>
      <w:r w:rsidR="00BA6B60">
        <w:t xml:space="preserve">filed </w:t>
      </w:r>
      <w:r>
        <w:t>July 22, 2020)</w:t>
      </w:r>
      <w:r w:rsidR="008222C3">
        <w:t xml:space="preserve">; </w:t>
      </w:r>
      <w:r w:rsidR="00BA6B60">
        <w:t>Amendment to Pending Waiver</w:t>
      </w:r>
      <w:r w:rsidR="00140134">
        <w:t xml:space="preserve"> Petition</w:t>
      </w:r>
      <w:r w:rsidR="00BA6B60">
        <w:t xml:space="preserve"> (filed August 27, 2020).</w:t>
      </w:r>
    </w:p>
    <w:p w:rsidR="00382B84" w:rsidRPr="00382B84" w:rsidP="00382B84" w14:paraId="2F3148D4" w14:textId="77777777">
      <w:pPr>
        <w:widowControl/>
        <w:autoSpaceDE w:val="0"/>
        <w:autoSpaceDN w:val="0"/>
        <w:adjustRightInd w:val="0"/>
        <w:spacing w:after="120"/>
        <w:rPr>
          <w:snapToGrid/>
          <w:kern w:val="0"/>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D21E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DE2AD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C73A99D" w14:textId="77777777">
    <w:pPr>
      <w:pStyle w:val="Footer"/>
      <w:jc w:val="center"/>
    </w:pPr>
    <w:r>
      <w:fldChar w:fldCharType="begin"/>
    </w:r>
    <w:r>
      <w:instrText xml:space="preserve"> PAGE   \* MERGEFORMAT </w:instrText>
    </w:r>
    <w:r>
      <w:fldChar w:fldCharType="separate"/>
    </w:r>
    <w:r w:rsidR="00584263">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BB4F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51AE" w14:paraId="4CD1FFC9" w14:textId="77777777">
      <w:r>
        <w:separator/>
      </w:r>
    </w:p>
  </w:footnote>
  <w:footnote w:type="continuationSeparator" w:id="1">
    <w:p w:rsidR="000051AE" w14:paraId="766D70B4" w14:textId="77777777">
      <w:pPr>
        <w:rPr>
          <w:sz w:val="20"/>
        </w:rPr>
      </w:pPr>
      <w:r>
        <w:rPr>
          <w:sz w:val="20"/>
        </w:rPr>
        <w:t xml:space="preserve">(Continued from previous page)  </w:t>
      </w:r>
      <w:r>
        <w:rPr>
          <w:sz w:val="20"/>
        </w:rPr>
        <w:separator/>
      </w:r>
    </w:p>
  </w:footnote>
  <w:footnote w:type="continuationNotice" w:id="2">
    <w:p w:rsidR="000051AE" w:rsidP="00910F12" w14:paraId="3BFD436B" w14:textId="77777777">
      <w:pPr>
        <w:jc w:val="right"/>
        <w:rPr>
          <w:sz w:val="20"/>
        </w:rPr>
      </w:pPr>
      <w:r>
        <w:rPr>
          <w:sz w:val="20"/>
        </w:rPr>
        <w:t>(continued….)</w:t>
      </w:r>
    </w:p>
  </w:footnote>
  <w:footnote w:id="3">
    <w:p w:rsidR="005A655F" w:rsidRPr="00EF7821" w:rsidP="0017305F" w14:paraId="0BD9DF8D" w14:textId="104A9D23">
      <w:pPr>
        <w:widowControl/>
        <w:autoSpaceDE w:val="0"/>
        <w:autoSpaceDN w:val="0"/>
        <w:adjustRightInd w:val="0"/>
        <w:spacing w:after="120"/>
        <w:rPr>
          <w:sz w:val="20"/>
        </w:rPr>
      </w:pPr>
      <w:r w:rsidRPr="00EF7821">
        <w:rPr>
          <w:rStyle w:val="FootnoteReference"/>
          <w:sz w:val="20"/>
        </w:rPr>
        <w:footnoteRef/>
      </w:r>
      <w:r w:rsidRPr="00EF7821">
        <w:rPr>
          <w:sz w:val="20"/>
        </w:rPr>
        <w:t xml:space="preserve"> </w:t>
      </w:r>
      <w:r w:rsidRPr="00EF7821">
        <w:rPr>
          <w:i/>
          <w:iCs/>
          <w:snapToGrid/>
          <w:kern w:val="0"/>
          <w:sz w:val="20"/>
        </w:rPr>
        <w:t xml:space="preserve">See </w:t>
      </w:r>
      <w:r w:rsidRPr="00EF7821">
        <w:rPr>
          <w:snapToGrid/>
          <w:kern w:val="0"/>
          <w:sz w:val="20"/>
        </w:rPr>
        <w:t xml:space="preserve">Application of Windstream Holdings, Inc., Debtor-in-Possession, Transferor, and Windstream Holdings, Inc., Transferee, for Consent to Transfer of Licenses and Authorizations, WC Docket No. 20-151 (filed May 21, 2020) (Lead Application). </w:t>
      </w:r>
      <w:r w:rsidR="00F570B6">
        <w:rPr>
          <w:snapToGrid/>
          <w:kern w:val="0"/>
          <w:sz w:val="20"/>
        </w:rPr>
        <w:t xml:space="preserve"> </w:t>
      </w:r>
      <w:r w:rsidRPr="00EF7821">
        <w:rPr>
          <w:snapToGrid/>
          <w:kern w:val="0"/>
          <w:sz w:val="20"/>
        </w:rPr>
        <w:t xml:space="preserve">The </w:t>
      </w:r>
      <w:r w:rsidR="00382B84">
        <w:rPr>
          <w:snapToGrid/>
          <w:kern w:val="0"/>
          <w:sz w:val="20"/>
        </w:rPr>
        <w:t xml:space="preserve">applications, </w:t>
      </w:r>
      <w:r w:rsidRPr="00EF7821">
        <w:rPr>
          <w:snapToGrid/>
          <w:kern w:val="0"/>
          <w:sz w:val="20"/>
        </w:rPr>
        <w:t>Commission licenses</w:t>
      </w:r>
      <w:r w:rsidR="00382B84">
        <w:rPr>
          <w:snapToGrid/>
          <w:kern w:val="0"/>
          <w:sz w:val="20"/>
        </w:rPr>
        <w:t>,</w:t>
      </w:r>
      <w:r w:rsidRPr="00EF7821">
        <w:rPr>
          <w:snapToGrid/>
          <w:kern w:val="0"/>
          <w:sz w:val="20"/>
        </w:rPr>
        <w:t xml:space="preserve"> and authorizations subject to the applications are listed in Attachment A hereto and include existing domestic and international section 214 authorizations, millimeter wave licenses, common carrier fixed-microwave licenses, microwave industrial/business pool licenses, and additional miscellaneous wireless licenses</w:t>
      </w:r>
      <w:r w:rsidRPr="00EF7821" w:rsidR="0084763B">
        <w:rPr>
          <w:snapToGrid/>
          <w:kern w:val="0"/>
          <w:sz w:val="20"/>
        </w:rPr>
        <w:t xml:space="preserve">.  The Bureaus accepted the </w:t>
      </w:r>
      <w:r w:rsidRPr="00EF7821" w:rsidR="0017305F">
        <w:rPr>
          <w:snapToGrid/>
          <w:kern w:val="0"/>
          <w:sz w:val="20"/>
        </w:rPr>
        <w:t xml:space="preserve">applications for filing on June 25, 2020.  </w:t>
      </w:r>
      <w:r w:rsidRPr="00EF7821" w:rsidR="0017305F">
        <w:rPr>
          <w:i/>
          <w:iCs/>
          <w:snapToGrid/>
          <w:kern w:val="0"/>
          <w:sz w:val="20"/>
        </w:rPr>
        <w:t>See Applications Filed For The Transfer Of Control Of Windstream Holdings, Inc., Debtor-In-Possession, To Windstream Holdings, Inc.</w:t>
      </w:r>
      <w:r w:rsidRPr="00EF7821" w:rsidR="0017305F">
        <w:rPr>
          <w:snapToGrid/>
          <w:kern w:val="0"/>
          <w:sz w:val="20"/>
        </w:rPr>
        <w:t xml:space="preserve">, Public Notice, </w:t>
      </w:r>
      <w:r w:rsidR="00EE34D7">
        <w:rPr>
          <w:snapToGrid/>
          <w:kern w:val="0"/>
          <w:sz w:val="20"/>
        </w:rPr>
        <w:t>35 FCC Rcd 6545</w:t>
      </w:r>
      <w:r w:rsidRPr="00EF7821" w:rsidR="0017305F">
        <w:rPr>
          <w:snapToGrid/>
          <w:kern w:val="0"/>
          <w:sz w:val="20"/>
        </w:rPr>
        <w:t xml:space="preserve"> (</w:t>
      </w:r>
      <w:r w:rsidR="00EE34D7">
        <w:rPr>
          <w:snapToGrid/>
          <w:kern w:val="0"/>
          <w:sz w:val="20"/>
        </w:rPr>
        <w:t>IB</w:t>
      </w:r>
      <w:r w:rsidR="008000C1">
        <w:rPr>
          <w:snapToGrid/>
          <w:kern w:val="0"/>
          <w:sz w:val="20"/>
        </w:rPr>
        <w:t xml:space="preserve">, </w:t>
      </w:r>
      <w:r w:rsidR="00EE34D7">
        <w:rPr>
          <w:snapToGrid/>
          <w:kern w:val="0"/>
          <w:sz w:val="20"/>
        </w:rPr>
        <w:t>WCB</w:t>
      </w:r>
      <w:r w:rsidR="008000C1">
        <w:rPr>
          <w:snapToGrid/>
          <w:kern w:val="0"/>
          <w:sz w:val="20"/>
        </w:rPr>
        <w:t xml:space="preserve">, </w:t>
      </w:r>
      <w:r w:rsidR="00EE34D7">
        <w:rPr>
          <w:snapToGrid/>
          <w:kern w:val="0"/>
          <w:sz w:val="20"/>
        </w:rPr>
        <w:t xml:space="preserve">WTB </w:t>
      </w:r>
      <w:r w:rsidRPr="00EF7821" w:rsidR="0017305F">
        <w:rPr>
          <w:snapToGrid/>
          <w:kern w:val="0"/>
          <w:sz w:val="20"/>
        </w:rPr>
        <w:t>2020).</w:t>
      </w:r>
    </w:p>
  </w:footnote>
  <w:footnote w:id="4">
    <w:p w:rsidR="009665B6" w:rsidRPr="003D0478" w:rsidP="009665B6" w14:paraId="455E8CB8" w14:textId="2F8345BC">
      <w:pPr>
        <w:widowControl/>
        <w:autoSpaceDE w:val="0"/>
        <w:autoSpaceDN w:val="0"/>
        <w:adjustRightInd w:val="0"/>
        <w:rPr>
          <w:snapToGrid/>
          <w:kern w:val="0"/>
          <w:sz w:val="20"/>
        </w:rPr>
      </w:pPr>
      <w:r w:rsidRPr="00EF7821">
        <w:rPr>
          <w:rStyle w:val="FootnoteReference"/>
          <w:sz w:val="20"/>
        </w:rPr>
        <w:footnoteRef/>
      </w:r>
      <w:r w:rsidRPr="00EF7821">
        <w:rPr>
          <w:sz w:val="20"/>
        </w:rPr>
        <w:t xml:space="preserve"> </w:t>
      </w:r>
      <w:r w:rsidRPr="003D0478">
        <w:rPr>
          <w:sz w:val="20"/>
        </w:rPr>
        <w:t>47 CFR §§ 1</w:t>
      </w:r>
      <w:r w:rsidRPr="003D0478">
        <w:rPr>
          <w:snapToGrid/>
          <w:kern w:val="0"/>
          <w:sz w:val="20"/>
        </w:rPr>
        <w:t xml:space="preserve">.948, </w:t>
      </w:r>
      <w:r w:rsidRPr="003D0478">
        <w:rPr>
          <w:sz w:val="20"/>
        </w:rPr>
        <w:t xml:space="preserve">1.5000(a)(1), 63.03, 63.04, 63.18, 63.24; </w:t>
      </w:r>
      <w:r w:rsidRPr="003D0478">
        <w:rPr>
          <w:snapToGrid/>
          <w:kern w:val="0"/>
          <w:sz w:val="20"/>
        </w:rPr>
        <w:t>Application of Windstream Holdings, Inc., Debtor-in-Possession, Transferor, and Windstream Holdings, Inc., Transferee, for Consent to Transfer of Licenses and Authorizations, Petition for Temporary and Limited Waiver, WC Docket No. 20-151, File Nos. ISP-WAV-</w:t>
      </w:r>
    </w:p>
    <w:p w:rsidR="00382B84" w:rsidRPr="0073557D" w:rsidP="000C1911" w14:paraId="717D0832" w14:textId="19743F8B">
      <w:pPr>
        <w:widowControl/>
        <w:autoSpaceDE w:val="0"/>
        <w:autoSpaceDN w:val="0"/>
        <w:adjustRightInd w:val="0"/>
        <w:spacing w:after="120"/>
        <w:rPr>
          <w:sz w:val="20"/>
        </w:rPr>
      </w:pPr>
      <w:r w:rsidRPr="003D0478">
        <w:rPr>
          <w:snapToGrid/>
          <w:kern w:val="0"/>
          <w:sz w:val="20"/>
        </w:rPr>
        <w:t xml:space="preserve">20200611-00004, ITC-WAV-20200611-00091, </w:t>
      </w:r>
      <w:r w:rsidRPr="003D0478">
        <w:rPr>
          <w:i/>
          <w:iCs/>
          <w:snapToGrid/>
          <w:kern w:val="0"/>
          <w:sz w:val="20"/>
        </w:rPr>
        <w:t>et al</w:t>
      </w:r>
      <w:r w:rsidRPr="003D0478">
        <w:rPr>
          <w:snapToGrid/>
          <w:kern w:val="0"/>
          <w:sz w:val="20"/>
        </w:rPr>
        <w:t>. (filed June 11, 2020) (Waiver Request)</w:t>
      </w:r>
      <w:r w:rsidRPr="003D0478">
        <w:rPr>
          <w:sz w:val="20"/>
        </w:rPr>
        <w:t xml:space="preserve">. </w:t>
      </w:r>
      <w:r w:rsidRPr="003D0478">
        <w:rPr>
          <w:sz w:val="20"/>
        </w:rPr>
        <w:t xml:space="preserve"> </w:t>
      </w:r>
      <w:r w:rsidRPr="0073557D" w:rsidR="0073557D">
        <w:rPr>
          <w:sz w:val="20"/>
        </w:rPr>
        <w:t>Applicants also sought a waiver of 47 CFR § 1.2112</w:t>
      </w:r>
      <w:r w:rsidR="005B242B">
        <w:rPr>
          <w:sz w:val="20"/>
        </w:rPr>
        <w:t xml:space="preserve"> in the Waiver Request</w:t>
      </w:r>
      <w:r w:rsidRPr="0073557D" w:rsidR="0073557D">
        <w:rPr>
          <w:sz w:val="20"/>
        </w:rPr>
        <w:t>, which is unnecessary, as noted below.</w:t>
      </w:r>
      <w:r w:rsidR="0073557D">
        <w:rPr>
          <w:sz w:val="20"/>
        </w:rPr>
        <w:t xml:space="preserve">  </w:t>
      </w:r>
      <w:r w:rsidRPr="003D0478">
        <w:rPr>
          <w:snapToGrid/>
          <w:kern w:val="0"/>
          <w:sz w:val="20"/>
        </w:rPr>
        <w:t>The Bureaus did not receive comments or petitions in opposition to the applications or the Waiver Request.</w:t>
      </w:r>
      <w:r w:rsidRPr="0073557D" w:rsidR="0073557D">
        <w:t xml:space="preserve"> </w:t>
      </w:r>
      <w:r w:rsidR="0073557D">
        <w:t xml:space="preserve"> </w:t>
      </w:r>
    </w:p>
  </w:footnote>
  <w:footnote w:id="5">
    <w:p w:rsidR="00784B5B" w:rsidRPr="00EF7821" w:rsidP="00784B5B" w14:paraId="23A4E5AB" w14:textId="285F961B">
      <w:pPr>
        <w:pStyle w:val="FootnoteText"/>
      </w:pPr>
      <w:r w:rsidRPr="00EF7821">
        <w:rPr>
          <w:rStyle w:val="FootnoteReference"/>
          <w:sz w:val="20"/>
        </w:rPr>
        <w:footnoteRef/>
      </w:r>
      <w:r w:rsidRPr="00EF7821">
        <w:t xml:space="preserve"> 47 U.S.C. </w:t>
      </w:r>
      <w:r w:rsidR="00170E2D">
        <w:t>§</w:t>
      </w:r>
      <w:r w:rsidRPr="00EF7821">
        <w:t>§ 214</w:t>
      </w:r>
      <w:r w:rsidR="00170E2D">
        <w:t>, 310(d)</w:t>
      </w:r>
      <w:r w:rsidRPr="00EF7821">
        <w:t xml:space="preserve">; 47 CFR </w:t>
      </w:r>
      <w:r w:rsidRPr="00F21CFB">
        <w:t xml:space="preserve">§§ </w:t>
      </w:r>
      <w:r w:rsidRPr="00F21CFB" w:rsidR="00B07114">
        <w:t xml:space="preserve">1.948, </w:t>
      </w:r>
      <w:r w:rsidRPr="00EF7821">
        <w:t>63.03</w:t>
      </w:r>
      <w:r w:rsidR="00F0747F">
        <w:t>, 63.04</w:t>
      </w:r>
      <w:r w:rsidRPr="00EF7821">
        <w:t xml:space="preserve">, 63.18, 63.24.  </w:t>
      </w:r>
    </w:p>
  </w:footnote>
  <w:footnote w:id="6">
    <w:p w:rsidR="00393247" w:rsidP="00393247" w14:paraId="6AA65F86" w14:textId="4F145DD9">
      <w:pPr>
        <w:pStyle w:val="FootnoteText"/>
      </w:pPr>
      <w:r>
        <w:rPr>
          <w:rStyle w:val="FootnoteReference"/>
        </w:rPr>
        <w:footnoteRef/>
      </w:r>
      <w:r>
        <w:t xml:space="preserve"> </w:t>
      </w:r>
      <w:r w:rsidRPr="00EF7821">
        <w:t>47 CFR §</w:t>
      </w:r>
      <w:r w:rsidRPr="00EF7821" w:rsidR="002978ED">
        <w:t>§</w:t>
      </w:r>
      <w:r w:rsidRPr="00EF7821">
        <w:t xml:space="preserve"> 1.</w:t>
      </w:r>
      <w:r>
        <w:t>2105(b)</w:t>
      </w:r>
      <w:r w:rsidR="002978ED">
        <w:t>, 1.2107(c), 1.92</w:t>
      </w:r>
      <w:r w:rsidR="000C1911">
        <w:t>7</w:t>
      </w:r>
      <w:r w:rsidR="002978ED">
        <w:t>(h)</w:t>
      </w:r>
      <w:r>
        <w:t>; Petition of Windstream Services LLC, Debtor-In-Possession for Waiver of Section 1.2105(b)(2) of the Commission’s Rules, AU Docket No. 19-244 (July 22, 2020) (</w:t>
      </w:r>
      <w:r w:rsidRPr="00C92339">
        <w:rPr>
          <w:i/>
          <w:iCs/>
        </w:rPr>
        <w:t>Auction 105 Major Modification Waiver Petition</w:t>
      </w:r>
      <w:r>
        <w:t>)</w:t>
      </w:r>
      <w:r w:rsidR="002978ED">
        <w:t xml:space="preserve">; </w:t>
      </w:r>
      <w:r w:rsidR="00BA6B60">
        <w:t xml:space="preserve">Amendment to Pending Waiver </w:t>
      </w:r>
      <w:r w:rsidR="00140134">
        <w:t xml:space="preserve">Petition </w:t>
      </w:r>
      <w:r w:rsidR="00BA6B60">
        <w:t>(filed August 27, 2020).</w:t>
      </w:r>
      <w:r>
        <w:t xml:space="preserve"> </w:t>
      </w:r>
    </w:p>
  </w:footnote>
  <w:footnote w:id="7">
    <w:p w:rsidR="004C686B" w:rsidRPr="00EF7821" w:rsidP="004C686B" w14:paraId="0E182AFE" w14:textId="3B282496">
      <w:pPr>
        <w:widowControl/>
        <w:autoSpaceDE w:val="0"/>
        <w:autoSpaceDN w:val="0"/>
        <w:adjustRightInd w:val="0"/>
        <w:rPr>
          <w:snapToGrid/>
          <w:kern w:val="0"/>
          <w:sz w:val="20"/>
        </w:rPr>
      </w:pPr>
      <w:r w:rsidRPr="00EF7821">
        <w:rPr>
          <w:rStyle w:val="FootnoteReference"/>
          <w:sz w:val="20"/>
        </w:rPr>
        <w:footnoteRef/>
      </w:r>
      <w:r w:rsidRPr="00EF7821">
        <w:rPr>
          <w:sz w:val="20"/>
        </w:rPr>
        <w:t xml:space="preserve"> </w:t>
      </w:r>
      <w:bookmarkStart w:id="1" w:name="_Hlk47707466"/>
      <w:r w:rsidRPr="00EF7821">
        <w:rPr>
          <w:i/>
          <w:iCs/>
          <w:snapToGrid/>
          <w:kern w:val="0"/>
          <w:sz w:val="20"/>
        </w:rPr>
        <w:t xml:space="preserve">See </w:t>
      </w:r>
      <w:r w:rsidRPr="00EF7821">
        <w:rPr>
          <w:snapToGrid/>
          <w:kern w:val="0"/>
          <w:sz w:val="20"/>
        </w:rPr>
        <w:t>Lead Application at Attach. 1, Description of Proposed Transaction and Public Interest Statement</w:t>
      </w:r>
      <w:r w:rsidRPr="00EF7821" w:rsidR="008557BA">
        <w:rPr>
          <w:snapToGrid/>
          <w:kern w:val="0"/>
          <w:sz w:val="20"/>
        </w:rPr>
        <w:t>, at 2</w:t>
      </w:r>
      <w:r w:rsidRPr="00EF7821">
        <w:rPr>
          <w:snapToGrid/>
          <w:kern w:val="0"/>
          <w:sz w:val="20"/>
        </w:rPr>
        <w:t xml:space="preserve"> (Public</w:t>
      </w:r>
    </w:p>
    <w:p w:rsidR="004C686B" w:rsidRPr="00EF7821" w:rsidP="00150FE1" w14:paraId="7543F632" w14:textId="305AD62A">
      <w:pPr>
        <w:widowControl/>
        <w:autoSpaceDE w:val="0"/>
        <w:autoSpaceDN w:val="0"/>
        <w:adjustRightInd w:val="0"/>
        <w:spacing w:after="120"/>
        <w:rPr>
          <w:sz w:val="20"/>
        </w:rPr>
      </w:pPr>
      <w:r w:rsidRPr="00EF7821">
        <w:rPr>
          <w:snapToGrid/>
          <w:kern w:val="0"/>
          <w:sz w:val="20"/>
        </w:rPr>
        <w:t xml:space="preserve">Interest Statement). </w:t>
      </w:r>
      <w:r w:rsidRPr="00EF7821" w:rsidR="00CB2DB7">
        <w:rPr>
          <w:snapToGrid/>
          <w:kern w:val="0"/>
          <w:sz w:val="20"/>
        </w:rPr>
        <w:t xml:space="preserve"> </w:t>
      </w:r>
      <w:bookmarkEnd w:id="1"/>
      <w:r w:rsidRPr="00EF7821" w:rsidR="00CB2DB7">
        <w:rPr>
          <w:snapToGrid/>
          <w:kern w:val="0"/>
          <w:sz w:val="20"/>
        </w:rPr>
        <w:t xml:space="preserve">Pursuant to the transaction, Windstream Holdings, Inc. will be reorganized as a limited liability company organized under the laws of Delaware. </w:t>
      </w:r>
      <w:r w:rsidRPr="00EF7821" w:rsidR="008F556F">
        <w:rPr>
          <w:snapToGrid/>
          <w:kern w:val="0"/>
          <w:sz w:val="20"/>
        </w:rPr>
        <w:t xml:space="preserve"> </w:t>
      </w:r>
      <w:r w:rsidRPr="00EF7821" w:rsidR="00CB2DB7">
        <w:rPr>
          <w:snapToGrid/>
          <w:kern w:val="0"/>
          <w:sz w:val="20"/>
        </w:rPr>
        <w:t>As New Windstream, it will become the ultimate parent company of Windstream’s operating subsidiaries and will indirectly hold its licenses and authorizations</w:t>
      </w:r>
      <w:r w:rsidRPr="00EF7821">
        <w:rPr>
          <w:snapToGrid/>
          <w:kern w:val="0"/>
          <w:sz w:val="20"/>
        </w:rPr>
        <w:t>.</w:t>
      </w:r>
      <w:r w:rsidRPr="00EF7821" w:rsidR="00CB2DB7">
        <w:rPr>
          <w:snapToGrid/>
          <w:kern w:val="0"/>
          <w:sz w:val="20"/>
        </w:rPr>
        <w:t xml:space="preserve">  </w:t>
      </w:r>
      <w:r w:rsidRPr="00EF7821" w:rsidR="00CB2DB7">
        <w:rPr>
          <w:i/>
          <w:iCs/>
          <w:snapToGrid/>
          <w:kern w:val="0"/>
          <w:sz w:val="20"/>
        </w:rPr>
        <w:t xml:space="preserve">See </w:t>
      </w:r>
      <w:r w:rsidRPr="00EF7821" w:rsidR="00CB2DB7">
        <w:rPr>
          <w:snapToGrid/>
          <w:kern w:val="0"/>
          <w:sz w:val="20"/>
        </w:rPr>
        <w:t xml:space="preserve">Letter from Christopher W. Savage and Danielle Frappier, </w:t>
      </w:r>
      <w:r w:rsidRPr="00EF7821" w:rsidR="00B061AC">
        <w:rPr>
          <w:snapToGrid/>
          <w:kern w:val="0"/>
          <w:sz w:val="20"/>
        </w:rPr>
        <w:t xml:space="preserve">Counsel to Windstream Holdings, Inc. and Windstream Services, LLC, Samuel L. Feder </w:t>
      </w:r>
      <w:r w:rsidRPr="00EF7821" w:rsidR="00B061AC">
        <w:rPr>
          <w:i/>
          <w:iCs/>
          <w:snapToGrid/>
          <w:kern w:val="0"/>
          <w:sz w:val="20"/>
        </w:rPr>
        <w:t>et al</w:t>
      </w:r>
      <w:r w:rsidRPr="00EF7821" w:rsidR="00B061AC">
        <w:rPr>
          <w:snapToGrid/>
          <w:kern w:val="0"/>
          <w:sz w:val="20"/>
        </w:rPr>
        <w:t xml:space="preserve">., Counsel to Nexus Aggregator L.P., and Meredith S. Senter, Jr. </w:t>
      </w:r>
      <w:r w:rsidRPr="00EF7821" w:rsidR="00B061AC">
        <w:rPr>
          <w:i/>
          <w:iCs/>
          <w:snapToGrid/>
          <w:kern w:val="0"/>
          <w:sz w:val="20"/>
        </w:rPr>
        <w:t>et al</w:t>
      </w:r>
      <w:r w:rsidRPr="00EF7821" w:rsidR="00B061AC">
        <w:rPr>
          <w:snapToGrid/>
          <w:kern w:val="0"/>
          <w:sz w:val="20"/>
        </w:rPr>
        <w:t xml:space="preserve">,, Counsel to the First Lien Debtholders Group, </w:t>
      </w:r>
      <w:r w:rsidRPr="00EF7821" w:rsidR="00CB2DB7">
        <w:rPr>
          <w:snapToGrid/>
          <w:kern w:val="0"/>
          <w:sz w:val="20"/>
        </w:rPr>
        <w:t xml:space="preserve">to Marlene H. Dortch, Secretary, FCC, </w:t>
      </w:r>
      <w:r w:rsidRPr="00EF7821" w:rsidR="008F556F">
        <w:rPr>
          <w:snapToGrid/>
          <w:kern w:val="0"/>
          <w:sz w:val="20"/>
        </w:rPr>
        <w:t>WC Docket No. 20-151, at 1, 3 (filed Ju</w:t>
      </w:r>
      <w:r w:rsidR="002B1A6F">
        <w:rPr>
          <w:snapToGrid/>
          <w:kern w:val="0"/>
          <w:sz w:val="20"/>
        </w:rPr>
        <w:t>ly</w:t>
      </w:r>
      <w:r w:rsidRPr="00EF7821" w:rsidR="008F556F">
        <w:rPr>
          <w:snapToGrid/>
          <w:kern w:val="0"/>
          <w:sz w:val="20"/>
        </w:rPr>
        <w:t xml:space="preserve"> 28, 2020)</w:t>
      </w:r>
      <w:r w:rsidR="002B1A6F">
        <w:rPr>
          <w:snapToGrid/>
          <w:kern w:val="0"/>
          <w:sz w:val="20"/>
        </w:rPr>
        <w:t xml:space="preserve"> (July 28 Supplement Letter)</w:t>
      </w:r>
      <w:r w:rsidRPr="00EF7821" w:rsidR="008F556F">
        <w:rPr>
          <w:snapToGrid/>
          <w:kern w:val="0"/>
          <w:sz w:val="20"/>
        </w:rPr>
        <w:t>.</w:t>
      </w:r>
    </w:p>
  </w:footnote>
  <w:footnote w:id="8">
    <w:p w:rsidR="00C7708A" w14:paraId="22C4BD90" w14:textId="15B789A5">
      <w:pPr>
        <w:pStyle w:val="FootnoteText"/>
      </w:pPr>
      <w:r>
        <w:rPr>
          <w:rStyle w:val="FootnoteReference"/>
        </w:rPr>
        <w:footnoteRef/>
      </w:r>
      <w:r>
        <w:t xml:space="preserve"> </w:t>
      </w:r>
      <w:r w:rsidR="00116F94">
        <w:t xml:space="preserve">Public Interest Statement at 3. </w:t>
      </w:r>
    </w:p>
  </w:footnote>
  <w:footnote w:id="9">
    <w:p w:rsidR="002731BC" w14:paraId="5632BB6C" w14:textId="370D8505">
      <w:pPr>
        <w:pStyle w:val="FootnoteText"/>
      </w:pPr>
      <w:r>
        <w:rPr>
          <w:rStyle w:val="FootnoteReference"/>
        </w:rPr>
        <w:footnoteRef/>
      </w:r>
      <w:r>
        <w:t xml:space="preserve"> </w:t>
      </w:r>
      <w:r w:rsidRPr="002731BC">
        <w:rPr>
          <w:i/>
          <w:iCs/>
        </w:rPr>
        <w:t>Id.</w:t>
      </w:r>
    </w:p>
  </w:footnote>
  <w:footnote w:id="10">
    <w:p w:rsidR="002B1A6F" w:rsidP="002731BC" w14:paraId="71194C42" w14:textId="6C697AE3">
      <w:pPr>
        <w:widowControl/>
        <w:autoSpaceDE w:val="0"/>
        <w:autoSpaceDN w:val="0"/>
        <w:adjustRightInd w:val="0"/>
        <w:rPr>
          <w:snapToGrid/>
          <w:kern w:val="0"/>
          <w:sz w:val="20"/>
        </w:rPr>
      </w:pPr>
      <w:r>
        <w:rPr>
          <w:rStyle w:val="FootnoteReference"/>
        </w:rPr>
        <w:footnoteRef/>
      </w:r>
      <w:r>
        <w:t xml:space="preserve"> </w:t>
      </w:r>
      <w:r w:rsidRPr="00EF7821">
        <w:rPr>
          <w:snapToGrid/>
          <w:kern w:val="0"/>
          <w:sz w:val="20"/>
        </w:rPr>
        <w:t xml:space="preserve">Lead Application at Attach. </w:t>
      </w:r>
      <w:r>
        <w:rPr>
          <w:snapToGrid/>
          <w:kern w:val="0"/>
          <w:sz w:val="20"/>
        </w:rPr>
        <w:t>2</w:t>
      </w:r>
      <w:r w:rsidR="007928E0">
        <w:rPr>
          <w:snapToGrid/>
          <w:kern w:val="0"/>
          <w:sz w:val="20"/>
        </w:rPr>
        <w:t>,</w:t>
      </w:r>
      <w:r w:rsidRPr="00EF7821">
        <w:rPr>
          <w:snapToGrid/>
          <w:kern w:val="0"/>
          <w:sz w:val="20"/>
        </w:rPr>
        <w:t xml:space="preserve"> D</w:t>
      </w:r>
      <w:r>
        <w:rPr>
          <w:snapToGrid/>
          <w:kern w:val="0"/>
          <w:sz w:val="20"/>
        </w:rPr>
        <w:t>omestic 214 Addendum</w:t>
      </w:r>
      <w:r w:rsidRPr="00EF7821" w:rsidR="008557BA">
        <w:rPr>
          <w:snapToGrid/>
          <w:kern w:val="0"/>
          <w:sz w:val="20"/>
        </w:rPr>
        <w:t xml:space="preserve">, at </w:t>
      </w:r>
      <w:r w:rsidR="008557BA">
        <w:rPr>
          <w:snapToGrid/>
          <w:kern w:val="0"/>
          <w:sz w:val="20"/>
        </w:rPr>
        <w:t>1</w:t>
      </w:r>
      <w:r w:rsidRPr="00EF7821" w:rsidR="008557BA">
        <w:rPr>
          <w:snapToGrid/>
          <w:kern w:val="0"/>
          <w:sz w:val="20"/>
        </w:rPr>
        <w:t xml:space="preserve"> </w:t>
      </w:r>
      <w:r w:rsidRPr="00EF7821">
        <w:rPr>
          <w:snapToGrid/>
          <w:kern w:val="0"/>
          <w:sz w:val="20"/>
        </w:rPr>
        <w:t>(</w:t>
      </w:r>
      <w:r w:rsidR="00F86E2B">
        <w:rPr>
          <w:snapToGrid/>
          <w:kern w:val="0"/>
          <w:sz w:val="20"/>
        </w:rPr>
        <w:t>Domestic Addendum</w:t>
      </w:r>
      <w:r w:rsidRPr="00EF7821">
        <w:rPr>
          <w:snapToGrid/>
          <w:kern w:val="0"/>
          <w:sz w:val="20"/>
        </w:rPr>
        <w:t>).</w:t>
      </w:r>
    </w:p>
    <w:p w:rsidR="002731BC" w:rsidRPr="002731BC" w:rsidP="002731BC" w14:paraId="4CA360E7" w14:textId="592EBD19">
      <w:pPr>
        <w:widowControl/>
        <w:autoSpaceDE w:val="0"/>
        <w:autoSpaceDN w:val="0"/>
        <w:adjustRightInd w:val="0"/>
        <w:rPr>
          <w:snapToGrid/>
          <w:kern w:val="0"/>
          <w:sz w:val="20"/>
        </w:rPr>
      </w:pPr>
      <w:r w:rsidRPr="00EF7821">
        <w:rPr>
          <w:snapToGrid/>
          <w:kern w:val="0"/>
          <w:sz w:val="20"/>
        </w:rPr>
        <w:t xml:space="preserve">  </w:t>
      </w:r>
    </w:p>
  </w:footnote>
  <w:footnote w:id="11">
    <w:p w:rsidR="004C686B" w:rsidRPr="00ED59E9" w:rsidP="00ED59E9" w14:paraId="4F228950" w14:textId="259C528D">
      <w:pPr>
        <w:widowControl/>
        <w:autoSpaceDE w:val="0"/>
        <w:autoSpaceDN w:val="0"/>
        <w:adjustRightInd w:val="0"/>
        <w:spacing w:after="120"/>
        <w:rPr>
          <w:sz w:val="20"/>
        </w:rPr>
      </w:pPr>
      <w:r w:rsidRPr="00ED59E9">
        <w:rPr>
          <w:rStyle w:val="FootnoteReference"/>
          <w:sz w:val="20"/>
        </w:rPr>
        <w:footnoteRef/>
      </w:r>
      <w:r w:rsidRPr="00ED59E9">
        <w:rPr>
          <w:sz w:val="20"/>
        </w:rPr>
        <w:t xml:space="preserve"> </w:t>
      </w:r>
      <w:r w:rsidRPr="00116F94" w:rsidR="00116F94">
        <w:rPr>
          <w:i/>
          <w:iCs/>
          <w:sz w:val="20"/>
        </w:rPr>
        <w:t>Id.</w:t>
      </w:r>
      <w:r w:rsidRPr="00ED59E9">
        <w:rPr>
          <w:snapToGrid/>
          <w:kern w:val="0"/>
          <w:sz w:val="20"/>
        </w:rPr>
        <w:t xml:space="preserve"> </w:t>
      </w:r>
      <w:r w:rsidRPr="00ED59E9" w:rsidR="00B061AC">
        <w:rPr>
          <w:snapToGrid/>
          <w:kern w:val="0"/>
          <w:sz w:val="20"/>
        </w:rPr>
        <w:t xml:space="preserve"> </w:t>
      </w:r>
      <w:r w:rsidRPr="00ED59E9">
        <w:rPr>
          <w:snapToGrid/>
          <w:kern w:val="0"/>
          <w:sz w:val="20"/>
        </w:rPr>
        <w:t>Windstream’s incumbent LEC operating subsidiaries provide services in Alabama, Arkansas, Florida,</w:t>
      </w:r>
      <w:r w:rsidRPr="00ED59E9" w:rsidR="00ED59E9">
        <w:rPr>
          <w:snapToGrid/>
          <w:kern w:val="0"/>
          <w:sz w:val="20"/>
        </w:rPr>
        <w:t xml:space="preserve"> </w:t>
      </w:r>
      <w:r w:rsidRPr="00ED59E9">
        <w:rPr>
          <w:snapToGrid/>
          <w:kern w:val="0"/>
          <w:sz w:val="20"/>
        </w:rPr>
        <w:t>Georgia, Iowa, Kentucky, Minnesota, Mississippi, Missouri, Nebraska, New Mexico, New York, North</w:t>
      </w:r>
      <w:r w:rsidRPr="00ED59E9" w:rsidR="00ED59E9">
        <w:rPr>
          <w:snapToGrid/>
          <w:kern w:val="0"/>
          <w:sz w:val="20"/>
        </w:rPr>
        <w:t xml:space="preserve"> </w:t>
      </w:r>
      <w:r w:rsidRPr="00ED59E9">
        <w:rPr>
          <w:sz w:val="20"/>
        </w:rPr>
        <w:t xml:space="preserve">Carolina, Ohio, Oklahoma, Pennsylvania, South Carolina, and Texas. </w:t>
      </w:r>
      <w:r w:rsidR="00ED59E9">
        <w:rPr>
          <w:sz w:val="20"/>
        </w:rPr>
        <w:t xml:space="preserve"> </w:t>
      </w:r>
      <w:r w:rsidR="00680944">
        <w:rPr>
          <w:i/>
          <w:iCs/>
          <w:sz w:val="20"/>
        </w:rPr>
        <w:t xml:space="preserve">Id. </w:t>
      </w:r>
      <w:r w:rsidRPr="00ED59E9">
        <w:rPr>
          <w:sz w:val="20"/>
        </w:rPr>
        <w:t>at 2.</w:t>
      </w:r>
    </w:p>
  </w:footnote>
  <w:footnote w:id="12">
    <w:p w:rsidR="00FE5E5D" w:rsidRPr="00EF7821" w:rsidP="0001788D" w14:paraId="258CF0B9" w14:textId="4FA77620">
      <w:pPr>
        <w:widowControl/>
        <w:autoSpaceDE w:val="0"/>
        <w:autoSpaceDN w:val="0"/>
        <w:adjustRightInd w:val="0"/>
        <w:spacing w:after="120"/>
        <w:rPr>
          <w:sz w:val="20"/>
        </w:rPr>
      </w:pPr>
      <w:r w:rsidRPr="00EF7821">
        <w:rPr>
          <w:rStyle w:val="FootnoteReference"/>
          <w:sz w:val="20"/>
        </w:rPr>
        <w:footnoteRef/>
      </w:r>
      <w:r w:rsidRPr="00EF7821">
        <w:rPr>
          <w:sz w:val="20"/>
        </w:rPr>
        <w:t xml:space="preserve"> </w:t>
      </w:r>
      <w:r w:rsidR="00527B9F">
        <w:rPr>
          <w:sz w:val="20"/>
        </w:rPr>
        <w:t xml:space="preserve">Public Interest Statement at 7.  </w:t>
      </w:r>
      <w:r w:rsidRPr="00EF7821">
        <w:rPr>
          <w:i/>
          <w:iCs/>
          <w:sz w:val="20"/>
        </w:rPr>
        <w:t xml:space="preserve">See </w:t>
      </w:r>
      <w:r w:rsidR="00527B9F">
        <w:rPr>
          <w:i/>
          <w:iCs/>
          <w:sz w:val="20"/>
        </w:rPr>
        <w:t xml:space="preserve">also </w:t>
      </w:r>
      <w:r w:rsidRPr="00EF7821">
        <w:rPr>
          <w:i/>
          <w:iCs/>
          <w:snapToGrid/>
          <w:kern w:val="0"/>
          <w:sz w:val="20"/>
        </w:rPr>
        <w:t>Windstream Holdings, Inc., Debtors</w:t>
      </w:r>
      <w:r w:rsidRPr="00EF7821">
        <w:rPr>
          <w:snapToGrid/>
          <w:kern w:val="0"/>
          <w:sz w:val="20"/>
        </w:rPr>
        <w:t>, Chapter 11, Case No. 19-22312 (Bankr. S.D.N.Y. 2019)</w:t>
      </w:r>
      <w:r w:rsidR="000344E9">
        <w:rPr>
          <w:snapToGrid/>
          <w:kern w:val="0"/>
          <w:sz w:val="20"/>
        </w:rPr>
        <w:t>.</w:t>
      </w:r>
    </w:p>
  </w:footnote>
  <w:footnote w:id="13">
    <w:p w:rsidR="00527B9F" w14:paraId="471AACD5" w14:textId="428CB56B">
      <w:pPr>
        <w:pStyle w:val="FootnoteText"/>
      </w:pPr>
      <w:r>
        <w:rPr>
          <w:rStyle w:val="FootnoteReference"/>
        </w:rPr>
        <w:footnoteRef/>
      </w:r>
      <w:r>
        <w:t xml:space="preserve"> Public Interest Statement at 7. </w:t>
      </w:r>
    </w:p>
  </w:footnote>
  <w:footnote w:id="14">
    <w:p w:rsidR="0001788D" w:rsidRPr="00EF7821" w:rsidP="0001788D" w14:paraId="15260CCA" w14:textId="77777777">
      <w:pPr>
        <w:widowControl/>
        <w:autoSpaceDE w:val="0"/>
        <w:autoSpaceDN w:val="0"/>
        <w:adjustRightInd w:val="0"/>
        <w:rPr>
          <w:snapToGrid/>
          <w:kern w:val="0"/>
          <w:sz w:val="20"/>
        </w:rPr>
      </w:pPr>
      <w:r w:rsidRPr="00EF7821">
        <w:rPr>
          <w:rStyle w:val="FootnoteReference"/>
          <w:sz w:val="20"/>
        </w:rPr>
        <w:footnoteRef/>
      </w:r>
      <w:r w:rsidRPr="00EF7821">
        <w:rPr>
          <w:sz w:val="20"/>
        </w:rPr>
        <w:t xml:space="preserve"> </w:t>
      </w:r>
      <w:r w:rsidRPr="00934D0A">
        <w:rPr>
          <w:i/>
          <w:iCs/>
          <w:snapToGrid/>
          <w:kern w:val="0"/>
          <w:sz w:val="20"/>
        </w:rPr>
        <w:t>See</w:t>
      </w:r>
      <w:r w:rsidRPr="00EF7821">
        <w:rPr>
          <w:snapToGrid/>
          <w:kern w:val="0"/>
          <w:sz w:val="20"/>
        </w:rPr>
        <w:t xml:space="preserve"> Findings of Fact, Conclusions of Law, and Order Confirming the First Amended Joint Chapter 11 Plan of</w:t>
      </w:r>
    </w:p>
    <w:p w:rsidR="0001788D" w:rsidRPr="00EF7821" w:rsidP="0001788D" w14:paraId="6FC5632B" w14:textId="4BAEAF14">
      <w:pPr>
        <w:widowControl/>
        <w:autoSpaceDE w:val="0"/>
        <w:autoSpaceDN w:val="0"/>
        <w:adjustRightInd w:val="0"/>
        <w:rPr>
          <w:snapToGrid/>
          <w:kern w:val="0"/>
          <w:sz w:val="20"/>
        </w:rPr>
      </w:pPr>
      <w:r w:rsidRPr="00EF7821">
        <w:rPr>
          <w:snapToGrid/>
          <w:kern w:val="0"/>
          <w:sz w:val="20"/>
        </w:rPr>
        <w:t xml:space="preserve">Reorganization of Windstream Holdings, Inc. </w:t>
      </w:r>
      <w:r w:rsidRPr="00EF7821">
        <w:rPr>
          <w:i/>
          <w:iCs/>
          <w:snapToGrid/>
          <w:kern w:val="0"/>
          <w:sz w:val="20"/>
        </w:rPr>
        <w:t>et al</w:t>
      </w:r>
      <w:r w:rsidRPr="00EF7821">
        <w:rPr>
          <w:snapToGrid/>
          <w:kern w:val="0"/>
          <w:sz w:val="20"/>
        </w:rPr>
        <w:t>., Pursuant to Chapter 11 of the Bankruptcy Code, Case No. 19-</w:t>
      </w:r>
    </w:p>
    <w:p w:rsidR="0001788D" w:rsidRPr="00EF7821" w:rsidP="0001788D" w14:paraId="03757B53" w14:textId="027A54E6">
      <w:pPr>
        <w:pStyle w:val="FootnoteText"/>
      </w:pPr>
      <w:r w:rsidRPr="00EF7821">
        <w:t>22312 (Bankr. S.D.N.Y. entered June 26, 2020).</w:t>
      </w:r>
    </w:p>
  </w:footnote>
  <w:footnote w:id="15">
    <w:p w:rsidR="00527B9F" w14:paraId="6C4D2347" w14:textId="1495D5C7">
      <w:pPr>
        <w:pStyle w:val="FootnoteText"/>
      </w:pPr>
      <w:r>
        <w:rPr>
          <w:rStyle w:val="FootnoteReference"/>
        </w:rPr>
        <w:footnoteRef/>
      </w:r>
      <w:r>
        <w:t xml:space="preserve"> Public Interest Statement at 10-11</w:t>
      </w:r>
      <w:r w:rsidR="009665B6">
        <w:t>; July 28 Supplement Letter</w:t>
      </w:r>
      <w:r w:rsidR="00BC3B6A">
        <w:t xml:space="preserve"> at 1</w:t>
      </w:r>
      <w:r>
        <w:t xml:space="preserve">. </w:t>
      </w:r>
    </w:p>
  </w:footnote>
  <w:footnote w:id="16">
    <w:p w:rsidR="00527B9F" w14:paraId="5F3342F3" w14:textId="418DCAFF">
      <w:pPr>
        <w:pStyle w:val="FootnoteText"/>
      </w:pPr>
      <w:r>
        <w:rPr>
          <w:rStyle w:val="FootnoteReference"/>
        </w:rPr>
        <w:footnoteRef/>
      </w:r>
      <w:r>
        <w:t xml:space="preserve"> </w:t>
      </w:r>
      <w:r w:rsidR="00F86E2B">
        <w:t xml:space="preserve">Lead </w:t>
      </w:r>
      <w:r w:rsidR="00934D0A">
        <w:t>Application at 7-8; Public Interest Statement at 10-11, 18.</w:t>
      </w:r>
    </w:p>
  </w:footnote>
  <w:footnote w:id="17">
    <w:p w:rsidR="00527B9F" w14:paraId="1F3FEB2A" w14:textId="153B0029">
      <w:pPr>
        <w:pStyle w:val="FootnoteText"/>
      </w:pPr>
      <w:r>
        <w:rPr>
          <w:rStyle w:val="FootnoteReference"/>
        </w:rPr>
        <w:footnoteRef/>
      </w:r>
      <w:r>
        <w:t xml:space="preserve"> </w:t>
      </w:r>
      <w:r w:rsidR="00F86E2B">
        <w:t xml:space="preserve">Lead </w:t>
      </w:r>
      <w:r w:rsidR="00934D0A">
        <w:t xml:space="preserve">Application at 8. </w:t>
      </w:r>
    </w:p>
  </w:footnote>
  <w:footnote w:id="18">
    <w:p w:rsidR="00527B9F" w14:paraId="1B243722" w14:textId="56D79747">
      <w:pPr>
        <w:pStyle w:val="FootnoteText"/>
      </w:pPr>
      <w:r>
        <w:rPr>
          <w:rStyle w:val="FootnoteReference"/>
        </w:rPr>
        <w:footnoteRef/>
      </w:r>
      <w:r>
        <w:t xml:space="preserve"> </w:t>
      </w:r>
      <w:r w:rsidRPr="00934D0A" w:rsidR="00934D0A">
        <w:rPr>
          <w:i/>
          <w:iCs/>
        </w:rPr>
        <w:t>Id.</w:t>
      </w:r>
      <w:r w:rsidR="00934D0A">
        <w:t xml:space="preserve"> </w:t>
      </w:r>
    </w:p>
  </w:footnote>
  <w:footnote w:id="19">
    <w:p w:rsidR="00F86E2B" w14:paraId="7B55D824" w14:textId="764A715A">
      <w:pPr>
        <w:pStyle w:val="FootnoteText"/>
      </w:pPr>
      <w:r>
        <w:rPr>
          <w:rStyle w:val="FootnoteReference"/>
        </w:rPr>
        <w:footnoteRef/>
      </w:r>
      <w:r>
        <w:t xml:space="preserve"> Lead Application at 5</w:t>
      </w:r>
      <w:r w:rsidR="00E74998">
        <w:t>; July 28 Supplement Letter at 2</w:t>
      </w:r>
      <w:r w:rsidR="00FD7898">
        <w:t xml:space="preserve"> and New Exh. B (Post Transaction Ownership Structure)</w:t>
      </w:r>
      <w:r w:rsidR="00E74998">
        <w:t>.</w:t>
      </w:r>
      <w:r>
        <w:t xml:space="preserve"> </w:t>
      </w:r>
    </w:p>
  </w:footnote>
  <w:footnote w:id="20">
    <w:p w:rsidR="00F86E2B" w14:paraId="654D9ADC" w14:textId="1601F5C1">
      <w:pPr>
        <w:pStyle w:val="FootnoteText"/>
      </w:pPr>
      <w:r>
        <w:rPr>
          <w:rStyle w:val="FootnoteReference"/>
        </w:rPr>
        <w:footnoteRef/>
      </w:r>
      <w:r>
        <w:t xml:space="preserve"> </w:t>
      </w:r>
      <w:r w:rsidRPr="00F86E2B">
        <w:rPr>
          <w:i/>
          <w:iCs/>
        </w:rPr>
        <w:t>Id.</w:t>
      </w:r>
      <w:r>
        <w:t xml:space="preserve"> </w:t>
      </w:r>
    </w:p>
  </w:footnote>
  <w:footnote w:id="21">
    <w:p w:rsidR="00B061AC" w:rsidRPr="00EF7821" w14:paraId="44C235CC" w14:textId="37D03DE8">
      <w:pPr>
        <w:pStyle w:val="FootnoteText"/>
      </w:pPr>
      <w:r w:rsidRPr="00EF7821">
        <w:rPr>
          <w:rStyle w:val="FootnoteReference"/>
          <w:sz w:val="20"/>
        </w:rPr>
        <w:footnoteRef/>
      </w:r>
      <w:r w:rsidRPr="00EF7821">
        <w:t xml:space="preserve"> Lead Application at 5-7.</w:t>
      </w:r>
    </w:p>
  </w:footnote>
  <w:footnote w:id="22">
    <w:p w:rsidR="00B061AC" w:rsidRPr="00EF7821" w:rsidP="00EF7821" w14:paraId="1C444580" w14:textId="7917ADFB">
      <w:pPr>
        <w:widowControl/>
        <w:autoSpaceDE w:val="0"/>
        <w:autoSpaceDN w:val="0"/>
        <w:adjustRightInd w:val="0"/>
        <w:spacing w:after="120"/>
        <w:rPr>
          <w:sz w:val="20"/>
        </w:rPr>
      </w:pPr>
      <w:r w:rsidRPr="00EF7821">
        <w:rPr>
          <w:rStyle w:val="FootnoteReference"/>
          <w:sz w:val="20"/>
        </w:rPr>
        <w:footnoteRef/>
      </w:r>
      <w:r w:rsidRPr="00EF7821">
        <w:rPr>
          <w:sz w:val="20"/>
        </w:rPr>
        <w:t xml:space="preserve"> </w:t>
      </w:r>
      <w:r w:rsidRPr="00EF7821">
        <w:rPr>
          <w:i/>
          <w:iCs/>
          <w:snapToGrid/>
          <w:kern w:val="0"/>
          <w:sz w:val="20"/>
        </w:rPr>
        <w:t>Id</w:t>
      </w:r>
      <w:r w:rsidRPr="00EF7821">
        <w:rPr>
          <w:snapToGrid/>
          <w:kern w:val="0"/>
          <w:sz w:val="20"/>
        </w:rPr>
        <w:t xml:space="preserve">. at </w:t>
      </w:r>
      <w:r w:rsidR="00680944">
        <w:rPr>
          <w:snapToGrid/>
          <w:kern w:val="0"/>
          <w:sz w:val="20"/>
        </w:rPr>
        <w:t>Domestic 214 Addendum,</w:t>
      </w:r>
      <w:r w:rsidRPr="00EF7821">
        <w:rPr>
          <w:snapToGrid/>
          <w:kern w:val="0"/>
          <w:sz w:val="20"/>
        </w:rPr>
        <w:t xml:space="preserve"> at 2-3; </w:t>
      </w:r>
      <w:bookmarkStart w:id="3" w:name="_Hlk47710434"/>
      <w:r w:rsidRPr="00EF7821">
        <w:rPr>
          <w:snapToGrid/>
          <w:kern w:val="0"/>
          <w:sz w:val="20"/>
        </w:rPr>
        <w:t>Letter from Christopher W. Savage</w:t>
      </w:r>
      <w:r w:rsidRPr="00EF7821" w:rsidR="00424537">
        <w:rPr>
          <w:snapToGrid/>
          <w:kern w:val="0"/>
          <w:sz w:val="20"/>
        </w:rPr>
        <w:t xml:space="preserve"> and Danielle Frappier</w:t>
      </w:r>
      <w:r w:rsidRPr="00EF7821">
        <w:rPr>
          <w:snapToGrid/>
          <w:kern w:val="0"/>
          <w:sz w:val="20"/>
        </w:rPr>
        <w:t>, Counsel to Windstream Holdings, Inc. and</w:t>
      </w:r>
      <w:r w:rsidRPr="00EF7821" w:rsidR="00424537">
        <w:rPr>
          <w:snapToGrid/>
          <w:kern w:val="0"/>
          <w:sz w:val="20"/>
        </w:rPr>
        <w:t xml:space="preserve"> </w:t>
      </w:r>
      <w:r w:rsidRPr="00EF7821">
        <w:rPr>
          <w:snapToGrid/>
          <w:kern w:val="0"/>
          <w:sz w:val="20"/>
        </w:rPr>
        <w:t>Windstream Services, LLC, Samuel L. Feder</w:t>
      </w:r>
      <w:r w:rsidRPr="00EF7821" w:rsidR="00424537">
        <w:rPr>
          <w:snapToGrid/>
          <w:kern w:val="0"/>
          <w:sz w:val="20"/>
        </w:rPr>
        <w:t xml:space="preserve"> </w:t>
      </w:r>
      <w:r w:rsidRPr="00EF7821" w:rsidR="00424537">
        <w:rPr>
          <w:i/>
          <w:iCs/>
          <w:snapToGrid/>
          <w:kern w:val="0"/>
          <w:sz w:val="20"/>
        </w:rPr>
        <w:t>et al</w:t>
      </w:r>
      <w:r w:rsidRPr="00EF7821" w:rsidR="00424537">
        <w:rPr>
          <w:snapToGrid/>
          <w:kern w:val="0"/>
          <w:sz w:val="20"/>
        </w:rPr>
        <w:t>.</w:t>
      </w:r>
      <w:r w:rsidRPr="00EF7821">
        <w:rPr>
          <w:snapToGrid/>
          <w:kern w:val="0"/>
          <w:sz w:val="20"/>
        </w:rPr>
        <w:t>, Counsel to Nexus Aggregator L.P., and Meredith S. Senter, Jr.</w:t>
      </w:r>
      <w:r w:rsidRPr="00EF7821" w:rsidR="00424537">
        <w:rPr>
          <w:snapToGrid/>
          <w:kern w:val="0"/>
          <w:sz w:val="20"/>
        </w:rPr>
        <w:t xml:space="preserve"> </w:t>
      </w:r>
      <w:r w:rsidRPr="00EF7821" w:rsidR="00424537">
        <w:rPr>
          <w:i/>
          <w:iCs/>
          <w:snapToGrid/>
          <w:kern w:val="0"/>
          <w:sz w:val="20"/>
        </w:rPr>
        <w:t>et al</w:t>
      </w:r>
      <w:r w:rsidRPr="00EF7821" w:rsidR="00424537">
        <w:rPr>
          <w:snapToGrid/>
          <w:kern w:val="0"/>
          <w:sz w:val="20"/>
        </w:rPr>
        <w:t>.</w:t>
      </w:r>
      <w:r w:rsidRPr="00EF7821">
        <w:rPr>
          <w:snapToGrid/>
          <w:kern w:val="0"/>
          <w:sz w:val="20"/>
        </w:rPr>
        <w:t>,</w:t>
      </w:r>
      <w:r w:rsidRPr="00EF7821" w:rsidR="00424537">
        <w:rPr>
          <w:snapToGrid/>
          <w:kern w:val="0"/>
          <w:sz w:val="20"/>
        </w:rPr>
        <w:t xml:space="preserve"> </w:t>
      </w:r>
      <w:r w:rsidRPr="00EF7821">
        <w:rPr>
          <w:snapToGrid/>
          <w:kern w:val="0"/>
          <w:sz w:val="20"/>
        </w:rPr>
        <w:t>Counsel to the First Lien Debtholders Group, to Marlene H. Dortch, Secretary, FCC</w:t>
      </w:r>
      <w:r w:rsidRPr="00EF7821" w:rsidR="00424537">
        <w:rPr>
          <w:snapToGrid/>
          <w:kern w:val="0"/>
          <w:sz w:val="20"/>
        </w:rPr>
        <w:t xml:space="preserve">, WC Docket No. 20-151 </w:t>
      </w:r>
      <w:r w:rsidRPr="00EF7821" w:rsidR="00424537">
        <w:rPr>
          <w:i/>
          <w:iCs/>
          <w:snapToGrid/>
          <w:kern w:val="0"/>
          <w:sz w:val="20"/>
        </w:rPr>
        <w:t>et al</w:t>
      </w:r>
      <w:r w:rsidRPr="00EF7821" w:rsidR="00424537">
        <w:rPr>
          <w:snapToGrid/>
          <w:kern w:val="0"/>
          <w:sz w:val="20"/>
        </w:rPr>
        <w:t>., at 2-4</w:t>
      </w:r>
      <w:r w:rsidRPr="00EF7821">
        <w:rPr>
          <w:snapToGrid/>
          <w:kern w:val="0"/>
          <w:sz w:val="20"/>
        </w:rPr>
        <w:t xml:space="preserve"> (</w:t>
      </w:r>
      <w:r w:rsidRPr="00EF7821" w:rsidR="00424537">
        <w:rPr>
          <w:snapToGrid/>
          <w:kern w:val="0"/>
          <w:sz w:val="20"/>
        </w:rPr>
        <w:t xml:space="preserve">filed </w:t>
      </w:r>
      <w:r w:rsidRPr="00EF7821">
        <w:rPr>
          <w:snapToGrid/>
          <w:kern w:val="0"/>
          <w:sz w:val="20"/>
        </w:rPr>
        <w:t>June 12, 2020)</w:t>
      </w:r>
      <w:r w:rsidRPr="00EF7821" w:rsidR="00424537">
        <w:rPr>
          <w:snapToGrid/>
          <w:kern w:val="0"/>
          <w:sz w:val="20"/>
        </w:rPr>
        <w:t xml:space="preserve"> (“The fiber networks and businesses of Windstream and the CLEC operations of LogMeIn are generally complementary and adjacent with minimal overlap” in Atlanta, Dallas, and Houston)</w:t>
      </w:r>
      <w:r w:rsidRPr="00EF7821">
        <w:rPr>
          <w:snapToGrid/>
          <w:kern w:val="0"/>
          <w:sz w:val="20"/>
        </w:rPr>
        <w:t xml:space="preserve">.  </w:t>
      </w:r>
      <w:bookmarkEnd w:id="3"/>
      <w:r w:rsidRPr="00EF7821">
        <w:rPr>
          <w:i/>
          <w:iCs/>
          <w:snapToGrid/>
          <w:kern w:val="0"/>
          <w:sz w:val="20"/>
        </w:rPr>
        <w:t>See also Domestic Section 214 Application</w:t>
      </w:r>
      <w:r w:rsidR="008F47FB">
        <w:rPr>
          <w:i/>
          <w:iCs/>
          <w:snapToGrid/>
          <w:kern w:val="0"/>
          <w:sz w:val="20"/>
        </w:rPr>
        <w:t xml:space="preserve"> Granted</w:t>
      </w:r>
      <w:r w:rsidRPr="00EF7821" w:rsidR="00424537">
        <w:rPr>
          <w:i/>
          <w:iCs/>
          <w:snapToGrid/>
          <w:kern w:val="0"/>
          <w:sz w:val="20"/>
        </w:rPr>
        <w:t xml:space="preserve"> </w:t>
      </w:r>
      <w:r w:rsidRPr="00EF7821">
        <w:rPr>
          <w:i/>
          <w:iCs/>
          <w:snapToGrid/>
          <w:kern w:val="0"/>
          <w:sz w:val="20"/>
        </w:rPr>
        <w:t xml:space="preserve">for the Transfer of Control of LogMeIn, Inc. to Logan </w:t>
      </w:r>
      <w:r w:rsidRPr="00B106E1">
        <w:rPr>
          <w:i/>
          <w:iCs/>
          <w:snapToGrid/>
          <w:kern w:val="0"/>
          <w:sz w:val="20"/>
        </w:rPr>
        <w:t>Parent, LLC</w:t>
      </w:r>
      <w:r w:rsidRPr="00EF7821">
        <w:rPr>
          <w:snapToGrid/>
          <w:kern w:val="0"/>
          <w:sz w:val="20"/>
        </w:rPr>
        <w:t>, WC Docket No. 19-396, Public Notice,</w:t>
      </w:r>
      <w:r w:rsidRPr="00EF7821" w:rsidR="00424537">
        <w:rPr>
          <w:snapToGrid/>
          <w:kern w:val="0"/>
          <w:sz w:val="20"/>
        </w:rPr>
        <w:t xml:space="preserve"> </w:t>
      </w:r>
      <w:r w:rsidRPr="00EF7821">
        <w:rPr>
          <w:snapToGrid/>
          <w:kern w:val="0"/>
          <w:sz w:val="20"/>
        </w:rPr>
        <w:t>DA 20-7</w:t>
      </w:r>
      <w:r w:rsidR="008F47FB">
        <w:rPr>
          <w:snapToGrid/>
          <w:kern w:val="0"/>
          <w:sz w:val="20"/>
        </w:rPr>
        <w:t>52</w:t>
      </w:r>
      <w:r w:rsidRPr="00EF7821">
        <w:rPr>
          <w:snapToGrid/>
          <w:kern w:val="0"/>
          <w:sz w:val="20"/>
        </w:rPr>
        <w:t xml:space="preserve"> (WCB 2020).</w:t>
      </w:r>
    </w:p>
  </w:footnote>
  <w:footnote w:id="23">
    <w:p w:rsidR="00F86E2B" w:rsidP="00954E66" w14:paraId="2CC4E154" w14:textId="5D4E2BBE">
      <w:pPr>
        <w:pStyle w:val="FootnoteText"/>
        <w:tabs>
          <w:tab w:val="left" w:pos="1856"/>
        </w:tabs>
      </w:pPr>
      <w:r>
        <w:rPr>
          <w:rStyle w:val="FootnoteReference"/>
        </w:rPr>
        <w:footnoteRef/>
      </w:r>
      <w:r>
        <w:t xml:space="preserve"> </w:t>
      </w:r>
      <w:r w:rsidR="002B1A6F">
        <w:t>July 28 Supplement Letter at 2.</w:t>
      </w:r>
    </w:p>
  </w:footnote>
  <w:footnote w:id="24">
    <w:p w:rsidR="00806958" w14:paraId="2BF0BD69" w14:textId="03691EAC">
      <w:pPr>
        <w:pStyle w:val="FootnoteText"/>
      </w:pPr>
      <w:r>
        <w:rPr>
          <w:rStyle w:val="FootnoteReference"/>
        </w:rPr>
        <w:footnoteRef/>
      </w:r>
      <w:r>
        <w:t xml:space="preserve"> </w:t>
      </w:r>
      <w:r w:rsidRPr="0011177D" w:rsidR="00535CF8">
        <w:t>Public Interest Statement</w:t>
      </w:r>
      <w:r w:rsidRPr="00993C29" w:rsidR="00535CF8">
        <w:t xml:space="preserve"> at 10-12</w:t>
      </w:r>
      <w:r w:rsidR="00E70B16">
        <w:t>.</w:t>
      </w:r>
    </w:p>
  </w:footnote>
  <w:footnote w:id="25">
    <w:p w:rsidR="0011177D" w14:paraId="05EF53B1" w14:textId="4B06B7BF">
      <w:pPr>
        <w:pStyle w:val="FootnoteText"/>
      </w:pPr>
      <w:r>
        <w:rPr>
          <w:rStyle w:val="FootnoteReference"/>
        </w:rPr>
        <w:footnoteRef/>
      </w:r>
      <w:r>
        <w:t xml:space="preserve"> </w:t>
      </w:r>
      <w:bookmarkStart w:id="4" w:name="_Hlk47713655"/>
      <w:r w:rsidRPr="00535CF8" w:rsidR="00535CF8">
        <w:rPr>
          <w:i/>
          <w:iCs/>
        </w:rPr>
        <w:t>Id.</w:t>
      </w:r>
      <w:r w:rsidRPr="00993C29">
        <w:t xml:space="preserve"> </w:t>
      </w:r>
      <w:bookmarkEnd w:id="4"/>
      <w:r w:rsidRPr="00993C29">
        <w:t>(citing 47 U.S.C. § 310(b)(4)).</w:t>
      </w:r>
    </w:p>
  </w:footnote>
  <w:footnote w:id="26">
    <w:p w:rsidR="00AE1432" w:rsidRPr="00AE1432" w14:paraId="6D101DFC" w14:textId="0EC1F55C">
      <w:pPr>
        <w:pStyle w:val="FootnoteText"/>
      </w:pPr>
      <w:r w:rsidRPr="00AE1432">
        <w:rPr>
          <w:rStyle w:val="FootnoteReference"/>
          <w:sz w:val="20"/>
        </w:rPr>
        <w:footnoteRef/>
      </w:r>
      <w:r w:rsidRPr="00AE1432">
        <w:t xml:space="preserve"> </w:t>
      </w:r>
      <w:r w:rsidRPr="00AE1432">
        <w:rPr>
          <w:i/>
          <w:iCs/>
        </w:rPr>
        <w:t>Id.</w:t>
      </w:r>
      <w:r w:rsidRPr="00AE1432">
        <w:t xml:space="preserve"> at 11</w:t>
      </w:r>
      <w:r w:rsidR="00591213">
        <w:t>; Waiver Request at 8</w:t>
      </w:r>
      <w:r w:rsidR="00680944">
        <w:t>.</w:t>
      </w:r>
      <w:r w:rsidRPr="00AE1432">
        <w:t xml:space="preserve"> </w:t>
      </w:r>
      <w:r w:rsidR="00F90BCA">
        <w:t xml:space="preserve"> The Applicants provided a copy of </w:t>
      </w:r>
      <w:r w:rsidR="00255D1A">
        <w:t xml:space="preserve">three separate </w:t>
      </w:r>
      <w:r w:rsidR="00F90BCA">
        <w:t>draft</w:t>
      </w:r>
      <w:r w:rsidR="00255D1A">
        <w:t xml:space="preserve"> special</w:t>
      </w:r>
      <w:r w:rsidR="00F90BCA">
        <w:t xml:space="preserve"> warrants for the record.  Letter from </w:t>
      </w:r>
      <w:r w:rsidRPr="00F90BCA" w:rsidR="00F90BCA">
        <w:t xml:space="preserve">Meredith S. Senter, Jr. </w:t>
      </w:r>
      <w:r w:rsidRPr="006926C5" w:rsidR="00F90BCA">
        <w:rPr>
          <w:i/>
          <w:iCs/>
        </w:rPr>
        <w:t>et al</w:t>
      </w:r>
      <w:r w:rsidR="001C7439">
        <w:rPr>
          <w:i/>
          <w:iCs/>
        </w:rPr>
        <w:t>.</w:t>
      </w:r>
      <w:r w:rsidRPr="00F90BCA" w:rsidR="00F90BCA">
        <w:t>, Counsel to the First Lien Debtholders Group,</w:t>
      </w:r>
      <w:r w:rsidR="00F90BCA">
        <w:t xml:space="preserve"> </w:t>
      </w:r>
      <w:r w:rsidRPr="00EF7821" w:rsidR="00F90BCA">
        <w:t xml:space="preserve">Samuel L. Feder </w:t>
      </w:r>
      <w:r w:rsidRPr="00EF7821" w:rsidR="00F90BCA">
        <w:rPr>
          <w:i/>
          <w:iCs/>
        </w:rPr>
        <w:t>et al</w:t>
      </w:r>
      <w:r w:rsidRPr="00EF7821" w:rsidR="00F90BCA">
        <w:t>., Counsel to Nexus Aggregator L.P.,</w:t>
      </w:r>
      <w:r w:rsidRPr="00F90BCA" w:rsidR="00F90BCA">
        <w:t xml:space="preserve"> </w:t>
      </w:r>
      <w:r w:rsidRPr="00EF7821" w:rsidR="00F90BCA">
        <w:t xml:space="preserve">to Marlene H. Dortch, Secretary, FCC, WC Docket No. 20-151 </w:t>
      </w:r>
      <w:r w:rsidRPr="00EF7821" w:rsidR="00F90BCA">
        <w:rPr>
          <w:i/>
          <w:iCs/>
        </w:rPr>
        <w:t>et al</w:t>
      </w:r>
      <w:r w:rsidRPr="00EF7821" w:rsidR="00F90BCA">
        <w:t>., at 2-4 (filed Ju</w:t>
      </w:r>
      <w:r w:rsidR="00F90BCA">
        <w:t>ly 21</w:t>
      </w:r>
      <w:r w:rsidRPr="00EF7821" w:rsidR="00F90BCA">
        <w:t>, 2020)</w:t>
      </w:r>
      <w:r w:rsidR="00D954DF">
        <w:t xml:space="preserve"> (</w:t>
      </w:r>
      <w:r w:rsidR="006C7F2C">
        <w:t>July 21 Letter)</w:t>
      </w:r>
      <w:r w:rsidR="00100434">
        <w:t>.</w:t>
      </w:r>
    </w:p>
  </w:footnote>
  <w:footnote w:id="27">
    <w:p w:rsidR="00D954DF" w14:paraId="78F44468" w14:textId="480780CE">
      <w:pPr>
        <w:pStyle w:val="FootnoteText"/>
      </w:pPr>
      <w:r>
        <w:rPr>
          <w:rStyle w:val="FootnoteReference"/>
        </w:rPr>
        <w:footnoteRef/>
      </w:r>
      <w:r>
        <w:t xml:space="preserve"> Waiver </w:t>
      </w:r>
      <w:r w:rsidR="004B5170">
        <w:t>R</w:t>
      </w:r>
      <w:r>
        <w:t xml:space="preserve">equest at 1-2; </w:t>
      </w:r>
      <w:r w:rsidR="006C7F2C">
        <w:t>July 21 Letter.</w:t>
      </w:r>
    </w:p>
  </w:footnote>
  <w:footnote w:id="28">
    <w:p w:rsidR="00190EF0" w:rsidP="007A2907" w14:paraId="2CEBB8B7" w14:textId="54E114B6">
      <w:pPr>
        <w:pStyle w:val="FootnoteText"/>
      </w:pPr>
      <w:r>
        <w:rPr>
          <w:rStyle w:val="FootnoteReference"/>
        </w:rPr>
        <w:footnoteRef/>
      </w:r>
      <w:r>
        <w:t xml:space="preserve"> July 21 Letter</w:t>
      </w:r>
      <w:r w:rsidR="00590358">
        <w:t xml:space="preserve">, Attached Brigade Warrant </w:t>
      </w:r>
      <w:r>
        <w:t xml:space="preserve">at </w:t>
      </w:r>
      <w:r w:rsidR="00590358">
        <w:t>10</w:t>
      </w:r>
      <w:r>
        <w:t xml:space="preserve">, </w:t>
      </w:r>
      <w:r w:rsidR="00590358">
        <w:t>Attached Nexus</w:t>
      </w:r>
      <w:r w:rsidR="0051311D">
        <w:t xml:space="preserve"> Warrant at 12</w:t>
      </w:r>
      <w:r>
        <w:t xml:space="preserve">, and </w:t>
      </w:r>
      <w:r w:rsidR="0051311D">
        <w:t>Attached Windstream Holdings LLC Warrant at 13</w:t>
      </w:r>
      <w:r>
        <w:t>.</w:t>
      </w:r>
      <w:r w:rsidR="007A2907">
        <w:t xml:space="preserve">  </w:t>
      </w:r>
      <w:r w:rsidRPr="00C370A8" w:rsidR="007A2907">
        <w:rPr>
          <w:szCs w:val="22"/>
        </w:rPr>
        <w:t xml:space="preserve">The </w:t>
      </w:r>
      <w:r w:rsidR="007A2907">
        <w:rPr>
          <w:szCs w:val="22"/>
        </w:rPr>
        <w:t>three</w:t>
      </w:r>
      <w:r w:rsidRPr="00C370A8" w:rsidR="007A2907">
        <w:rPr>
          <w:szCs w:val="22"/>
        </w:rPr>
        <w:t xml:space="preserve"> Special Warrant </w:t>
      </w:r>
      <w:r w:rsidR="007A2907">
        <w:rPr>
          <w:szCs w:val="22"/>
        </w:rPr>
        <w:t>a</w:t>
      </w:r>
      <w:r w:rsidRPr="00C370A8" w:rsidR="007A2907">
        <w:rPr>
          <w:szCs w:val="22"/>
        </w:rPr>
        <w:t>greement</w:t>
      </w:r>
      <w:r w:rsidR="007A2907">
        <w:rPr>
          <w:szCs w:val="22"/>
        </w:rPr>
        <w:t>s</w:t>
      </w:r>
      <w:r w:rsidRPr="00C370A8" w:rsidR="007A2907">
        <w:rPr>
          <w:szCs w:val="22"/>
        </w:rPr>
        <w:t xml:space="preserve"> also state the intent, “to place the Holders of Special Warrants in the same economic position the Holders would have been in if the Special Warrants had been exercised immediately prior to the applicable Company distribution.”</w:t>
      </w:r>
      <w:r w:rsidR="007A2907">
        <w:rPr>
          <w:szCs w:val="22"/>
        </w:rPr>
        <w:t xml:space="preserve">  </w:t>
      </w:r>
      <w:r w:rsidRPr="00B07114" w:rsidR="007A2907">
        <w:rPr>
          <w:i/>
          <w:iCs/>
        </w:rPr>
        <w:t>See</w:t>
      </w:r>
      <w:r w:rsidRPr="00C370A8" w:rsidR="007A2907">
        <w:t xml:space="preserve"> July 21 Letter, </w:t>
      </w:r>
      <w:r w:rsidR="0040169F">
        <w:t xml:space="preserve">Attached Brigade Warrant at 10, Attached Nexus Warrant at 12, and Attached Windstream Holdings LLC Warrant at 13.  </w:t>
      </w:r>
      <w:r w:rsidR="007A2907">
        <w:t>In granting the waiver requested by the Applicants</w:t>
      </w:r>
      <w:r w:rsidR="00B7729A">
        <w:t xml:space="preserve"> with the associated conditions</w:t>
      </w:r>
      <w:r w:rsidR="007A2907">
        <w:t xml:space="preserve">, we need not and do not make any determination as to whether the terms of the </w:t>
      </w:r>
      <w:r w:rsidR="00B7729A">
        <w:t xml:space="preserve">Special </w:t>
      </w:r>
      <w:r w:rsidR="007A2907">
        <w:t>Warrants are such as to constitute “capital stock” for purposes of 47 U.S.C. § 310(b).</w:t>
      </w:r>
    </w:p>
  </w:footnote>
  <w:footnote w:id="29">
    <w:p w:rsidR="004B5170" w14:paraId="5CCBE078" w14:textId="60B85DE1">
      <w:pPr>
        <w:pStyle w:val="FootnoteText"/>
      </w:pPr>
      <w:r>
        <w:rPr>
          <w:rStyle w:val="FootnoteReference"/>
        </w:rPr>
        <w:footnoteRef/>
      </w:r>
      <w:r>
        <w:t xml:space="preserve"> </w:t>
      </w:r>
      <w:r w:rsidRPr="00B07114">
        <w:rPr>
          <w:i/>
          <w:iCs/>
          <w:szCs w:val="22"/>
        </w:rPr>
        <w:t>See</w:t>
      </w:r>
      <w:r w:rsidRPr="00746056">
        <w:rPr>
          <w:szCs w:val="22"/>
        </w:rPr>
        <w:t xml:space="preserve"> </w:t>
      </w:r>
      <w:r w:rsidR="00692DAE">
        <w:rPr>
          <w:szCs w:val="22"/>
        </w:rPr>
        <w:t xml:space="preserve">Letter from </w:t>
      </w:r>
      <w:r w:rsidRPr="00F90BCA" w:rsidR="00692DAE">
        <w:t xml:space="preserve">Meredith S. Senter, Jr. </w:t>
      </w:r>
      <w:r w:rsidRPr="006926C5" w:rsidR="00692DAE">
        <w:rPr>
          <w:i/>
          <w:iCs/>
        </w:rPr>
        <w:t>et al</w:t>
      </w:r>
      <w:r w:rsidR="00692DAE">
        <w:rPr>
          <w:i/>
          <w:iCs/>
        </w:rPr>
        <w:t>.</w:t>
      </w:r>
      <w:r w:rsidRPr="00F90BCA" w:rsidR="00692DAE">
        <w:t>, Counsel to the First Lien Debtholders Group,</w:t>
      </w:r>
      <w:r w:rsidR="00692DAE">
        <w:t xml:space="preserve"> </w:t>
      </w:r>
      <w:r w:rsidRPr="00EF7821" w:rsidR="00692DAE">
        <w:t xml:space="preserve">Samuel L. Feder </w:t>
      </w:r>
      <w:r w:rsidRPr="00EF7821" w:rsidR="00692DAE">
        <w:rPr>
          <w:i/>
          <w:iCs/>
        </w:rPr>
        <w:t>et al</w:t>
      </w:r>
      <w:r w:rsidRPr="00EF7821" w:rsidR="00692DAE">
        <w:t>., Counsel to Nexus Aggregator L.P.,</w:t>
      </w:r>
      <w:r w:rsidRPr="00F90BCA" w:rsidR="00692DAE">
        <w:t xml:space="preserve"> </w:t>
      </w:r>
      <w:r w:rsidRPr="00EF7821" w:rsidR="00692DAE">
        <w:t xml:space="preserve">to Marlene H. Dortch, Secretary, FCC, WC Docket No. 20-151 </w:t>
      </w:r>
      <w:r w:rsidRPr="00EF7821" w:rsidR="00692DAE">
        <w:rPr>
          <w:i/>
          <w:iCs/>
        </w:rPr>
        <w:t>et al</w:t>
      </w:r>
      <w:r w:rsidRPr="00EF7821" w:rsidR="00692DAE">
        <w:t>.</w:t>
      </w:r>
      <w:r w:rsidR="00692DAE">
        <w:t xml:space="preserve"> and attached </w:t>
      </w:r>
      <w:r w:rsidRPr="001D4B01" w:rsidR="001D4B01">
        <w:t>Windstream Holdings LLC</w:t>
      </w:r>
      <w:r w:rsidR="001D4B01">
        <w:t xml:space="preserve"> Agreement</w:t>
      </w:r>
      <w:r w:rsidR="00692DAE">
        <w:t xml:space="preserve"> at Sections 11.1 and 20.19</w:t>
      </w:r>
      <w:r w:rsidRPr="00EF7821" w:rsidR="00692DAE">
        <w:t xml:space="preserve"> (filed </w:t>
      </w:r>
      <w:r w:rsidR="00692DAE">
        <w:t>Aug</w:t>
      </w:r>
      <w:r w:rsidR="00730D06">
        <w:t>.</w:t>
      </w:r>
      <w:r w:rsidR="00692DAE">
        <w:t xml:space="preserve"> 28</w:t>
      </w:r>
      <w:r w:rsidRPr="00EF7821" w:rsidR="00692DAE">
        <w:t>, 2020)</w:t>
      </w:r>
      <w:r w:rsidRPr="00746056">
        <w:rPr>
          <w:szCs w:val="22"/>
        </w:rPr>
        <w:t>.</w:t>
      </w:r>
    </w:p>
  </w:footnote>
  <w:footnote w:id="30">
    <w:p w:rsidR="00AE1432" w:rsidRPr="00AE1432" w14:paraId="3854F168" w14:textId="760E56C2">
      <w:pPr>
        <w:pStyle w:val="FootnoteText"/>
      </w:pPr>
      <w:r w:rsidRPr="00AE1432">
        <w:rPr>
          <w:rStyle w:val="FootnoteReference"/>
          <w:sz w:val="20"/>
        </w:rPr>
        <w:footnoteRef/>
      </w:r>
      <w:r w:rsidRPr="00AE1432">
        <w:t xml:space="preserve"> </w:t>
      </w:r>
      <w:r w:rsidRPr="006926C5" w:rsidR="00E9069D">
        <w:t>Public Interest Statement at 11</w:t>
      </w:r>
      <w:r w:rsidRPr="00AE1432">
        <w:t>; Waiver Request at 2, 7-8.</w:t>
      </w:r>
      <w:r w:rsidR="00DB0754">
        <w:t xml:space="preserve">  </w:t>
      </w:r>
      <w:r w:rsidR="00DB0754">
        <w:rPr>
          <w:szCs w:val="22"/>
        </w:rPr>
        <w:t>As noted above,</w:t>
      </w:r>
      <w:r w:rsidRPr="00EE1879" w:rsidR="00DB0754">
        <w:rPr>
          <w:szCs w:val="22"/>
        </w:rPr>
        <w:t xml:space="preserve"> upon</w:t>
      </w:r>
      <w:r w:rsidR="00DB0754">
        <w:rPr>
          <w:szCs w:val="22"/>
        </w:rPr>
        <w:t xml:space="preserve"> completion of Step One, </w:t>
      </w:r>
      <w:r w:rsidRPr="00EE1879" w:rsidR="00DB0754">
        <w:rPr>
          <w:szCs w:val="22"/>
        </w:rPr>
        <w:t>up to 19.8% of the equity in New Windstream will be held by</w:t>
      </w:r>
      <w:r w:rsidR="00DB0754">
        <w:rPr>
          <w:szCs w:val="22"/>
        </w:rPr>
        <w:t xml:space="preserve"> </w:t>
      </w:r>
      <w:r w:rsidRPr="00EE1879" w:rsidR="00DB0754">
        <w:rPr>
          <w:szCs w:val="22"/>
        </w:rPr>
        <w:t>investment vehicles managed, advised or sub-advised by subsidiaries or affiliates of Oaktree</w:t>
      </w:r>
      <w:r w:rsidR="00DB0754">
        <w:rPr>
          <w:szCs w:val="22"/>
        </w:rPr>
        <w:t xml:space="preserve"> and Brigade.</w:t>
      </w:r>
      <w:r w:rsidR="00F0747F">
        <w:rPr>
          <w:szCs w:val="22"/>
        </w:rPr>
        <w:t xml:space="preserve"> </w:t>
      </w:r>
      <w:r w:rsidRPr="00DB0754" w:rsidR="00DB0754">
        <w:t xml:space="preserve"> </w:t>
      </w:r>
      <w:r w:rsidR="00D43C87">
        <w:rPr>
          <w:i/>
          <w:iCs/>
        </w:rPr>
        <w:t xml:space="preserve">See </w:t>
      </w:r>
      <w:r w:rsidR="00DB0754">
        <w:t>July 28 Supplement Letter at 2.</w:t>
      </w:r>
      <w:r w:rsidR="00DB0754">
        <w:rPr>
          <w:szCs w:val="22"/>
        </w:rPr>
        <w:t xml:space="preserve"> </w:t>
      </w:r>
      <w:r w:rsidRPr="00EE1879" w:rsidR="00DB0754">
        <w:rPr>
          <w:szCs w:val="22"/>
        </w:rPr>
        <w:t xml:space="preserve"> </w:t>
      </w:r>
      <w:r w:rsidR="00DB0754">
        <w:rPr>
          <w:szCs w:val="22"/>
        </w:rPr>
        <w:t>The Applicants state that u</w:t>
      </w:r>
      <w:r w:rsidRPr="00EE1879" w:rsidR="00DB0754">
        <w:rPr>
          <w:szCs w:val="22"/>
        </w:rPr>
        <w:t xml:space="preserve">pon completion of </w:t>
      </w:r>
      <w:r w:rsidR="00DB0754">
        <w:rPr>
          <w:szCs w:val="22"/>
        </w:rPr>
        <w:t>Step One</w:t>
      </w:r>
      <w:r w:rsidRPr="00EE1879" w:rsidR="00DB0754">
        <w:rPr>
          <w:szCs w:val="22"/>
        </w:rPr>
        <w:t xml:space="preserve">, the </w:t>
      </w:r>
      <w:r w:rsidR="00DB0754">
        <w:rPr>
          <w:szCs w:val="22"/>
        </w:rPr>
        <w:t xml:space="preserve">19.8% </w:t>
      </w:r>
      <w:r w:rsidRPr="00EE1879" w:rsidR="00DB0754">
        <w:rPr>
          <w:szCs w:val="22"/>
        </w:rPr>
        <w:t>equity in New</w:t>
      </w:r>
      <w:r w:rsidR="00DB0754">
        <w:rPr>
          <w:szCs w:val="22"/>
        </w:rPr>
        <w:t xml:space="preserve"> </w:t>
      </w:r>
      <w:r w:rsidRPr="00EE1879" w:rsidR="00DB0754">
        <w:rPr>
          <w:szCs w:val="22"/>
        </w:rPr>
        <w:t>Windstream will be held by U.S.</w:t>
      </w:r>
      <w:r w:rsidR="00182BC8">
        <w:rPr>
          <w:szCs w:val="22"/>
        </w:rPr>
        <w:t>-</w:t>
      </w:r>
      <w:r w:rsidRPr="00EE1879" w:rsidR="00DB0754">
        <w:rPr>
          <w:szCs w:val="22"/>
        </w:rPr>
        <w:t>organized investment vehicles</w:t>
      </w:r>
      <w:r w:rsidR="00D843E3">
        <w:rPr>
          <w:szCs w:val="22"/>
        </w:rPr>
        <w:t>,</w:t>
      </w:r>
      <w:r w:rsidRPr="00EE1879" w:rsidR="00DB0754">
        <w:rPr>
          <w:szCs w:val="22"/>
        </w:rPr>
        <w:t xml:space="preserve"> </w:t>
      </w:r>
      <w:r w:rsidR="00D43C87">
        <w:rPr>
          <w:szCs w:val="22"/>
        </w:rPr>
        <w:t>which</w:t>
      </w:r>
      <w:r w:rsidRPr="00EE1879" w:rsidR="00DB0754">
        <w:rPr>
          <w:szCs w:val="22"/>
        </w:rPr>
        <w:t xml:space="preserve"> certify that they have</w:t>
      </w:r>
      <w:r w:rsidR="00DB0754">
        <w:rPr>
          <w:szCs w:val="22"/>
        </w:rPr>
        <w:t xml:space="preserve"> </w:t>
      </w:r>
      <w:r w:rsidRPr="00EE1879" w:rsidR="00DB0754">
        <w:rPr>
          <w:szCs w:val="22"/>
        </w:rPr>
        <w:t xml:space="preserve">no foreign voting interests and that, when aggregated with other ownership interests, </w:t>
      </w:r>
      <w:r w:rsidR="00DB0754">
        <w:rPr>
          <w:szCs w:val="22"/>
        </w:rPr>
        <w:t xml:space="preserve">these interests </w:t>
      </w:r>
      <w:r w:rsidRPr="00EE1879" w:rsidR="00DB0754">
        <w:rPr>
          <w:szCs w:val="22"/>
        </w:rPr>
        <w:t>will</w:t>
      </w:r>
      <w:r w:rsidR="00DB0754">
        <w:rPr>
          <w:szCs w:val="22"/>
        </w:rPr>
        <w:t xml:space="preserve"> </w:t>
      </w:r>
      <w:r w:rsidRPr="00EE1879" w:rsidR="00DB0754">
        <w:rPr>
          <w:szCs w:val="22"/>
        </w:rPr>
        <w:t xml:space="preserve">result in New Windstream being no more than 25% foreign owned. </w:t>
      </w:r>
      <w:r w:rsidR="00DB0754">
        <w:rPr>
          <w:szCs w:val="22"/>
        </w:rPr>
        <w:t xml:space="preserve"> </w:t>
      </w:r>
      <w:r w:rsidR="00DB0754">
        <w:rPr>
          <w:i/>
          <w:iCs/>
        </w:rPr>
        <w:t>Id</w:t>
      </w:r>
      <w:r w:rsidR="00182BC8">
        <w:rPr>
          <w:i/>
          <w:iCs/>
        </w:rPr>
        <w:t>.</w:t>
      </w:r>
      <w:r w:rsidR="00DB0754">
        <w:rPr>
          <w:i/>
          <w:iCs/>
        </w:rPr>
        <w:t xml:space="preserve"> </w:t>
      </w:r>
      <w:r w:rsidR="00DB0754">
        <w:t xml:space="preserve">(stating that “Oaktree and Brigade are each wholly owned by U.S. citizens, and their investment vehicles’ voting rights in New Windstream will be voted by U.S. citizens. . . . Accordingly, the membership interests in New Windstream held by Oaktree and Brigade investment vehicles at the completion of the first step will be entirely voted by U.S. citizens. </w:t>
      </w:r>
      <w:r w:rsidR="00E713CD">
        <w:t xml:space="preserve"> </w:t>
      </w:r>
      <w:r w:rsidR="00DB0754">
        <w:t>Neither of these investment companies will individually have a disclosable interest upon completion of the first step.”).</w:t>
      </w:r>
    </w:p>
  </w:footnote>
  <w:footnote w:id="31">
    <w:p w:rsidR="00AE1432" w14:paraId="12C83E90" w14:textId="0D42770B">
      <w:pPr>
        <w:pStyle w:val="FootnoteText"/>
      </w:pPr>
      <w:r>
        <w:rPr>
          <w:rStyle w:val="FootnoteReference"/>
        </w:rPr>
        <w:footnoteRef/>
      </w:r>
      <w:r>
        <w:t xml:space="preserve"> </w:t>
      </w:r>
      <w:r w:rsidRPr="00F570B6" w:rsidR="00F570B6">
        <w:t>Waiver Request at 2.</w:t>
      </w:r>
    </w:p>
  </w:footnote>
  <w:footnote w:id="32">
    <w:p w:rsidR="00F570B6" w14:paraId="4735C9BE" w14:textId="7414E76B">
      <w:pPr>
        <w:pStyle w:val="FootnoteText"/>
      </w:pPr>
      <w:r>
        <w:rPr>
          <w:rStyle w:val="FootnoteReference"/>
        </w:rPr>
        <w:footnoteRef/>
      </w:r>
      <w:r>
        <w:t xml:space="preserve"> </w:t>
      </w:r>
      <w:r w:rsidRPr="00F570B6">
        <w:rPr>
          <w:i/>
          <w:iCs/>
        </w:rPr>
        <w:t>Id.</w:t>
      </w:r>
      <w:r>
        <w:t xml:space="preserve"> at 7. </w:t>
      </w:r>
    </w:p>
  </w:footnote>
  <w:footnote w:id="33">
    <w:p w:rsidR="00F570B6" w14:paraId="7E21F11A" w14:textId="48AE3473">
      <w:pPr>
        <w:pStyle w:val="FootnoteText"/>
      </w:pPr>
      <w:r>
        <w:rPr>
          <w:rStyle w:val="FootnoteReference"/>
        </w:rPr>
        <w:footnoteRef/>
      </w:r>
      <w:r>
        <w:t xml:space="preserve"> </w:t>
      </w:r>
      <w:r w:rsidRPr="00F570B6">
        <w:rPr>
          <w:i/>
          <w:iCs/>
        </w:rPr>
        <w:t>Id.</w:t>
      </w:r>
    </w:p>
  </w:footnote>
  <w:footnote w:id="34">
    <w:p w:rsidR="005E1A13" w:rsidRPr="00D62E62" w:rsidP="00D62E62" w14:paraId="1943ADDF" w14:textId="5D378106">
      <w:pPr>
        <w:widowControl/>
        <w:autoSpaceDE w:val="0"/>
        <w:autoSpaceDN w:val="0"/>
        <w:adjustRightInd w:val="0"/>
        <w:spacing w:after="120"/>
        <w:rPr>
          <w:sz w:val="20"/>
        </w:rPr>
      </w:pPr>
      <w:r w:rsidRPr="00D62E62">
        <w:rPr>
          <w:rStyle w:val="FootnoteReference"/>
          <w:sz w:val="20"/>
        </w:rPr>
        <w:footnoteRef/>
      </w:r>
      <w:r w:rsidRPr="00D62E62">
        <w:rPr>
          <w:sz w:val="20"/>
        </w:rPr>
        <w:t xml:space="preserve"> Waiver Request at 4 </w:t>
      </w:r>
      <w:r w:rsidRPr="00D62E62">
        <w:rPr>
          <w:snapToGrid/>
          <w:kern w:val="0"/>
          <w:sz w:val="20"/>
        </w:rPr>
        <w:t xml:space="preserve">(citing </w:t>
      </w:r>
      <w:r w:rsidRPr="00D62E62">
        <w:rPr>
          <w:i/>
          <w:iCs/>
          <w:snapToGrid/>
          <w:kern w:val="0"/>
          <w:sz w:val="20"/>
        </w:rPr>
        <w:t>Applications Granted for the Transfer of Control of Fusion Connect, Inc., Debtor-in-Possession, and Subsidiaries</w:t>
      </w:r>
      <w:r w:rsidRPr="00D62E62">
        <w:rPr>
          <w:snapToGrid/>
          <w:kern w:val="0"/>
          <w:sz w:val="20"/>
        </w:rPr>
        <w:t xml:space="preserve">, </w:t>
      </w:r>
      <w:r w:rsidRPr="00D62E62" w:rsidR="00D62E62">
        <w:rPr>
          <w:snapToGrid/>
          <w:kern w:val="0"/>
          <w:sz w:val="20"/>
        </w:rPr>
        <w:t xml:space="preserve">WC Docket No. 19-262, </w:t>
      </w:r>
      <w:r w:rsidRPr="00D62E62">
        <w:rPr>
          <w:snapToGrid/>
          <w:kern w:val="0"/>
          <w:sz w:val="20"/>
        </w:rPr>
        <w:t>Public Notice, 35 FCC Rcd 409, 413 (WCB/IB 2020)</w:t>
      </w:r>
      <w:r w:rsidR="00C55E93">
        <w:rPr>
          <w:snapToGrid/>
          <w:kern w:val="0"/>
          <w:sz w:val="20"/>
        </w:rPr>
        <w:t xml:space="preserve"> (</w:t>
      </w:r>
      <w:r w:rsidR="00C55E93">
        <w:rPr>
          <w:i/>
          <w:iCs/>
          <w:snapToGrid/>
          <w:kern w:val="0"/>
          <w:sz w:val="20"/>
        </w:rPr>
        <w:t>Fusion Connect Grant</w:t>
      </w:r>
      <w:r w:rsidR="00C55E93">
        <w:rPr>
          <w:snapToGrid/>
          <w:kern w:val="0"/>
          <w:sz w:val="20"/>
        </w:rPr>
        <w:t>)</w:t>
      </w:r>
      <w:r w:rsidRPr="00D62E62">
        <w:rPr>
          <w:snapToGrid/>
          <w:kern w:val="0"/>
          <w:sz w:val="20"/>
        </w:rPr>
        <w:t xml:space="preserve">; </w:t>
      </w:r>
      <w:r w:rsidRPr="00D62E62">
        <w:rPr>
          <w:i/>
          <w:iCs/>
          <w:snapToGrid/>
          <w:kern w:val="0"/>
          <w:sz w:val="20"/>
        </w:rPr>
        <w:t>Liberman Television of</w:t>
      </w:r>
      <w:r w:rsidRPr="00D62E62" w:rsidR="00D62E62">
        <w:rPr>
          <w:i/>
          <w:iCs/>
          <w:snapToGrid/>
          <w:kern w:val="0"/>
          <w:sz w:val="20"/>
        </w:rPr>
        <w:t xml:space="preserve"> </w:t>
      </w:r>
      <w:r w:rsidRPr="00D62E62">
        <w:rPr>
          <w:i/>
          <w:iCs/>
          <w:sz w:val="20"/>
        </w:rPr>
        <w:t>Dallas License LLC</w:t>
      </w:r>
      <w:r w:rsidRPr="00D62E62">
        <w:rPr>
          <w:sz w:val="20"/>
        </w:rPr>
        <w:t xml:space="preserve">, </w:t>
      </w:r>
      <w:r w:rsidRPr="00D62E62">
        <w:rPr>
          <w:i/>
          <w:iCs/>
          <w:sz w:val="20"/>
        </w:rPr>
        <w:t>Debtor-in-Possession et al.</w:t>
      </w:r>
      <w:r w:rsidRPr="00D62E62">
        <w:rPr>
          <w:sz w:val="20"/>
        </w:rPr>
        <w:t>, Order, 34 FCC Rcd 8543, 8551</w:t>
      </w:r>
      <w:r w:rsidR="00933951">
        <w:rPr>
          <w:sz w:val="20"/>
        </w:rPr>
        <w:t>, para. 15</w:t>
      </w:r>
      <w:r w:rsidRPr="00D62E62">
        <w:rPr>
          <w:sz w:val="20"/>
        </w:rPr>
        <w:t xml:space="preserve"> (MB 2019)</w:t>
      </w:r>
      <w:r w:rsidRPr="00D62E62" w:rsidR="00483015">
        <w:rPr>
          <w:sz w:val="20"/>
        </w:rPr>
        <w:t xml:space="preserve"> (</w:t>
      </w:r>
      <w:r w:rsidRPr="00D62E62" w:rsidR="00483015">
        <w:rPr>
          <w:i/>
          <w:sz w:val="20"/>
        </w:rPr>
        <w:t>Liberman Order</w:t>
      </w:r>
      <w:r w:rsidRPr="00D62E62" w:rsidR="00483015">
        <w:rPr>
          <w:sz w:val="20"/>
        </w:rPr>
        <w:t>)</w:t>
      </w:r>
      <w:r w:rsidRPr="00D62E62">
        <w:rPr>
          <w:sz w:val="20"/>
        </w:rPr>
        <w:t>).</w:t>
      </w:r>
    </w:p>
  </w:footnote>
  <w:footnote w:id="35">
    <w:p w:rsidR="00382B84" w:rsidRPr="00175A87" w:rsidP="00382B84" w14:paraId="692277F7" w14:textId="77777777">
      <w:pPr>
        <w:widowControl/>
        <w:autoSpaceDE w:val="0"/>
        <w:autoSpaceDN w:val="0"/>
        <w:adjustRightInd w:val="0"/>
        <w:spacing w:after="120"/>
        <w:rPr>
          <w:sz w:val="20"/>
        </w:rPr>
      </w:pPr>
      <w:r>
        <w:rPr>
          <w:rStyle w:val="FootnoteReference"/>
        </w:rPr>
        <w:footnoteRef/>
      </w:r>
      <w:r>
        <w:t xml:space="preserve"> </w:t>
      </w:r>
      <w:r w:rsidRPr="00175A87">
        <w:rPr>
          <w:sz w:val="20"/>
        </w:rPr>
        <w:t xml:space="preserve">As part of the bankruptcy proceeding, the Applicants renegotiated their agreement with Uniti Group, Inc. for Windstream’s continued lease of Uniti’s network assets, the settlement of certain claims, the sale of certain assets, and Uniti’s investment of $1.75 billion in its network to support 1 Gigabit broadband speeds for consumers and small and medium businesses in Windstream’s service areas.  </w:t>
      </w:r>
      <w:r w:rsidRPr="00175A87">
        <w:rPr>
          <w:i/>
          <w:iCs/>
          <w:sz w:val="20"/>
        </w:rPr>
        <w:t>Domestic Section 214 Application Filed for Acquisition of Certain Assets of Windstream Holdings, Inc. by Uniti Group Finance and Uniti National LLC</w:t>
      </w:r>
      <w:r w:rsidRPr="00175A87">
        <w:rPr>
          <w:sz w:val="20"/>
        </w:rPr>
        <w:t>, WC Docket No. 20-161 Public Notice, DA 20-729 (WCB 2020).</w:t>
      </w:r>
    </w:p>
  </w:footnote>
  <w:footnote w:id="36">
    <w:p w:rsidR="00382B84" w:rsidP="00382B84" w14:paraId="6A611D10" w14:textId="77777777">
      <w:pPr>
        <w:pStyle w:val="FootnoteText"/>
      </w:pPr>
      <w:r>
        <w:rPr>
          <w:rStyle w:val="FootnoteReference"/>
        </w:rPr>
        <w:footnoteRef/>
      </w:r>
      <w:r>
        <w:t xml:space="preserve"> Public Interest Statement at 13-17.</w:t>
      </w:r>
    </w:p>
  </w:footnote>
  <w:footnote w:id="37">
    <w:p w:rsidR="00382B84" w:rsidP="00382B84" w14:paraId="2AA4E2F4" w14:textId="77777777">
      <w:pPr>
        <w:pStyle w:val="FootnoteText"/>
      </w:pPr>
      <w:r>
        <w:rPr>
          <w:rStyle w:val="FootnoteReference"/>
        </w:rPr>
        <w:footnoteRef/>
      </w:r>
      <w:r>
        <w:t xml:space="preserve"> </w:t>
      </w:r>
      <w:bookmarkStart w:id="5" w:name="_Hlk47717086"/>
      <w:r w:rsidRPr="002B7BE9">
        <w:rPr>
          <w:i/>
          <w:iCs/>
        </w:rPr>
        <w:t>Id.</w:t>
      </w:r>
      <w:r>
        <w:t xml:space="preserve"> at 8-9.</w:t>
      </w:r>
      <w:bookmarkEnd w:id="5"/>
    </w:p>
  </w:footnote>
  <w:footnote w:id="38">
    <w:p w:rsidR="00382B84" w:rsidP="00382B84" w14:paraId="12A372F3" w14:textId="77777777">
      <w:pPr>
        <w:pStyle w:val="FootnoteText"/>
      </w:pPr>
      <w:r>
        <w:rPr>
          <w:rStyle w:val="FootnoteReference"/>
        </w:rPr>
        <w:footnoteRef/>
      </w:r>
      <w:r>
        <w:t xml:space="preserve"> </w:t>
      </w:r>
      <w:r w:rsidRPr="002B7BE9">
        <w:rPr>
          <w:i/>
          <w:iCs/>
        </w:rPr>
        <w:t>Id.</w:t>
      </w:r>
      <w:r>
        <w:t xml:space="preserve"> at 18.</w:t>
      </w:r>
    </w:p>
  </w:footnote>
  <w:footnote w:id="39">
    <w:p w:rsidR="00382B84" w:rsidP="00382B84" w14:paraId="237D929F" w14:textId="77777777">
      <w:pPr>
        <w:pStyle w:val="FootnoteText"/>
      </w:pPr>
      <w:r>
        <w:rPr>
          <w:rStyle w:val="FootnoteReference"/>
        </w:rPr>
        <w:footnoteRef/>
      </w:r>
      <w:r>
        <w:t xml:space="preserve"> </w:t>
      </w:r>
      <w:r w:rsidRPr="002B7BE9">
        <w:rPr>
          <w:i/>
          <w:iCs/>
        </w:rPr>
        <w:t>Id.</w:t>
      </w:r>
    </w:p>
  </w:footnote>
  <w:footnote w:id="40">
    <w:p w:rsidR="00382B84" w:rsidP="00382B84" w14:paraId="2F42CB70" w14:textId="79CE995B">
      <w:pPr>
        <w:pStyle w:val="FootnoteText"/>
      </w:pPr>
      <w:r>
        <w:rPr>
          <w:rStyle w:val="FootnoteReference"/>
        </w:rPr>
        <w:footnoteRef/>
      </w:r>
      <w:r>
        <w:t xml:space="preserve"> </w:t>
      </w:r>
      <w:r w:rsidRPr="00EF7821">
        <w:t>47 CFR §</w:t>
      </w:r>
      <w:r w:rsidRPr="00EF7821" w:rsidR="008222C3">
        <w:t>§</w:t>
      </w:r>
      <w:r w:rsidRPr="00EF7821">
        <w:t xml:space="preserve"> 1.</w:t>
      </w:r>
      <w:r>
        <w:t>2105(b)</w:t>
      </w:r>
      <w:r w:rsidR="008222C3">
        <w:t>, 1.2107(c), 1.927(h)</w:t>
      </w:r>
      <w:r>
        <w:t xml:space="preserve">; </w:t>
      </w:r>
      <w:r w:rsidRPr="00C92339">
        <w:rPr>
          <w:i/>
          <w:iCs/>
        </w:rPr>
        <w:t>Auction 105 Major Modification Waiver Petition</w:t>
      </w:r>
      <w:r>
        <w:t>.</w:t>
      </w:r>
    </w:p>
  </w:footnote>
  <w:footnote w:id="41">
    <w:p w:rsidR="00382B84" w:rsidRPr="00C92339" w:rsidP="00382B84" w14:paraId="30834461" w14:textId="77777777">
      <w:pPr>
        <w:pStyle w:val="FootnoteText"/>
      </w:pPr>
      <w:r w:rsidRPr="00C92339">
        <w:rPr>
          <w:rStyle w:val="FootnoteReference"/>
        </w:rPr>
        <w:footnoteRef/>
      </w:r>
      <w:r w:rsidRPr="00C92339">
        <w:t xml:space="preserve"> </w:t>
      </w:r>
      <w:r>
        <w:rPr>
          <w:i/>
        </w:rPr>
        <w:t>S</w:t>
      </w:r>
      <w:r w:rsidRPr="00C92339">
        <w:rPr>
          <w:i/>
        </w:rPr>
        <w:t>ee</w:t>
      </w:r>
      <w:r w:rsidRPr="00C92339">
        <w:t xml:space="preserve"> 47 CFR § 1.2105(b)(2).</w:t>
      </w:r>
    </w:p>
  </w:footnote>
  <w:footnote w:id="42">
    <w:p w:rsidR="00470A81" w:rsidRPr="00EF7821" w:rsidP="00470A81" w14:paraId="5A72251B" w14:textId="77777777">
      <w:pPr>
        <w:pStyle w:val="FootnoteText"/>
      </w:pPr>
      <w:r w:rsidRPr="00EF7821">
        <w:rPr>
          <w:rStyle w:val="FootnoteReference"/>
          <w:sz w:val="20"/>
        </w:rPr>
        <w:footnoteRef/>
      </w:r>
      <w:r w:rsidRPr="00EF7821">
        <w:t xml:space="preserve"> 47 CFR § 1.3.</w:t>
      </w:r>
    </w:p>
  </w:footnote>
  <w:footnote w:id="43">
    <w:p w:rsidR="00470A81" w:rsidRPr="00EF7821" w:rsidP="00470A81" w14:paraId="680657B2" w14:textId="5597F625">
      <w:pPr>
        <w:pStyle w:val="FootnoteText"/>
      </w:pPr>
      <w:r w:rsidRPr="00EF7821">
        <w:rPr>
          <w:rStyle w:val="FootnoteReference"/>
          <w:sz w:val="20"/>
        </w:rPr>
        <w:footnoteRef/>
      </w:r>
      <w:r w:rsidRPr="00EF7821">
        <w:t xml:space="preserve"> </w:t>
      </w:r>
      <w:r w:rsidRPr="00EF7821">
        <w:rPr>
          <w:i/>
        </w:rPr>
        <w:t>WAIT Radio v. FCC</w:t>
      </w:r>
      <w:r w:rsidRPr="00EF7821">
        <w:t xml:space="preserve">, 418 F.2d 1153, 1159 (D.C. Cir. 1969); </w:t>
      </w:r>
      <w:r w:rsidRPr="00EF7821">
        <w:rPr>
          <w:bCs/>
          <w:i/>
          <w:iCs/>
        </w:rPr>
        <w:t>Network</w:t>
      </w:r>
      <w:r w:rsidRPr="00EF7821">
        <w:rPr>
          <w:i/>
          <w:iCs/>
        </w:rPr>
        <w:t xml:space="preserve"> </w:t>
      </w:r>
      <w:r w:rsidRPr="00EF7821">
        <w:rPr>
          <w:bCs/>
          <w:i/>
          <w:iCs/>
        </w:rPr>
        <w:t>IP</w:t>
      </w:r>
      <w:r w:rsidRPr="00EF7821">
        <w:rPr>
          <w:i/>
          <w:iCs/>
        </w:rPr>
        <w:t>, LLC v. FCC</w:t>
      </w:r>
      <w:r w:rsidRPr="00EF7821">
        <w:t>, 548 F.3d 116, 125-128 (D.C. Cir. 2008).</w:t>
      </w:r>
    </w:p>
  </w:footnote>
  <w:footnote w:id="44">
    <w:p w:rsidR="00470A81" w:rsidRPr="00EF7821" w:rsidP="00470A81" w14:paraId="565F2E2A" w14:textId="77777777">
      <w:pPr>
        <w:pStyle w:val="FootnoteText"/>
      </w:pPr>
      <w:r w:rsidRPr="00EF7821">
        <w:rPr>
          <w:rStyle w:val="FootnoteReference"/>
          <w:sz w:val="20"/>
        </w:rPr>
        <w:footnoteRef/>
      </w:r>
      <w:r w:rsidRPr="00EF7821">
        <w:t xml:space="preserve"> </w:t>
      </w:r>
      <w:r w:rsidRPr="00EF7821">
        <w:rPr>
          <w:i/>
        </w:rPr>
        <w:t>Northeast Cellular Telephone Co. v. FCC</w:t>
      </w:r>
      <w:r w:rsidRPr="00EF7821">
        <w:t>, 897 F.2d 1164, 1166 (D.C. Cir. 1990).</w:t>
      </w:r>
    </w:p>
  </w:footnote>
  <w:footnote w:id="45">
    <w:p w:rsidR="00470A81" w:rsidRPr="00EF7821" w:rsidP="00470A81" w14:paraId="1C7AEDAE" w14:textId="233230E3">
      <w:pPr>
        <w:pStyle w:val="FootnoteText"/>
      </w:pPr>
      <w:r w:rsidRPr="00EF7821">
        <w:rPr>
          <w:rStyle w:val="FootnoteReference"/>
          <w:sz w:val="20"/>
        </w:rPr>
        <w:footnoteRef/>
      </w:r>
      <w:r w:rsidRPr="00EF7821">
        <w:t xml:space="preserve"> </w:t>
      </w:r>
      <w:r w:rsidRPr="00EF7821">
        <w:rPr>
          <w:i/>
        </w:rPr>
        <w:t>WAIT Radio</w:t>
      </w:r>
      <w:r w:rsidR="003D0478">
        <w:rPr>
          <w:i/>
        </w:rPr>
        <w:t xml:space="preserve"> v. FCC</w:t>
      </w:r>
      <w:r w:rsidRPr="00EF7821">
        <w:t>, 418 F.2d</w:t>
      </w:r>
      <w:r w:rsidRPr="00EF7821">
        <w:rPr>
          <w:i/>
        </w:rPr>
        <w:t xml:space="preserve"> </w:t>
      </w:r>
      <w:r w:rsidRPr="00EF7821">
        <w:t>at 1157.</w:t>
      </w:r>
    </w:p>
  </w:footnote>
  <w:footnote w:id="46">
    <w:p w:rsidR="002B7BE9" w14:paraId="5E8B86AB" w14:textId="483C66A9">
      <w:pPr>
        <w:pStyle w:val="FootnoteText"/>
      </w:pPr>
      <w:r>
        <w:rPr>
          <w:rStyle w:val="FootnoteReference"/>
        </w:rPr>
        <w:footnoteRef/>
      </w:r>
      <w:r>
        <w:t xml:space="preserve"> Waiver Request at 7. </w:t>
      </w:r>
      <w:r w:rsidR="00382B84">
        <w:t xml:space="preserve"> We conclude that waiver of section 1.2112, as requested by Applicants, is unnecessary in these circumstances.  </w:t>
      </w:r>
      <w:r w:rsidR="00382B84">
        <w:rPr>
          <w:i/>
          <w:iCs/>
        </w:rPr>
        <w:t xml:space="preserve">See </w:t>
      </w:r>
      <w:r w:rsidRPr="00EF7821" w:rsidR="00382B84">
        <w:t>47 CFR §</w:t>
      </w:r>
      <w:r w:rsidR="00382B84">
        <w:t xml:space="preserve"> 1.2112 (ownership disclosure requirements for spectrum auction applications).</w:t>
      </w:r>
    </w:p>
  </w:footnote>
  <w:footnote w:id="47">
    <w:p w:rsidR="00205634" w:rsidRPr="00EF7821" w:rsidP="00205634" w14:paraId="32FCFFAF" w14:textId="4E05DB85">
      <w:pPr>
        <w:pStyle w:val="FootnoteText"/>
      </w:pPr>
      <w:r w:rsidRPr="00EF7821">
        <w:rPr>
          <w:rStyle w:val="FootnoteReference"/>
          <w:sz w:val="20"/>
        </w:rPr>
        <w:footnoteRef/>
      </w:r>
      <w:r w:rsidRPr="00EF7821">
        <w:t xml:space="preserve"> </w:t>
      </w:r>
      <w:r w:rsidR="00483015">
        <w:rPr>
          <w:i/>
          <w:iCs/>
        </w:rPr>
        <w:t>See</w:t>
      </w:r>
      <w:r w:rsidR="009E79EE">
        <w:rPr>
          <w:i/>
          <w:iCs/>
        </w:rPr>
        <w:t>, e.g.,</w:t>
      </w:r>
      <w:r w:rsidR="00483015">
        <w:rPr>
          <w:i/>
          <w:iCs/>
        </w:rPr>
        <w:t xml:space="preserve"> </w:t>
      </w:r>
      <w:r w:rsidRPr="00EF7821">
        <w:rPr>
          <w:i/>
        </w:rPr>
        <w:t xml:space="preserve">Liberman </w:t>
      </w:r>
      <w:r w:rsidR="009E79EE">
        <w:rPr>
          <w:i/>
        </w:rPr>
        <w:t>Order</w:t>
      </w:r>
      <w:r w:rsidR="009E79EE">
        <w:rPr>
          <w:iCs/>
        </w:rPr>
        <w:t>, 34 FCC Rcd at 8550-51, para. 14</w:t>
      </w:r>
      <w:r w:rsidRPr="00EF7821">
        <w:rPr>
          <w:kern w:val="28"/>
          <w:shd w:val="clear" w:color="auto" w:fill="FFFFFF"/>
        </w:rPr>
        <w:t>.</w:t>
      </w:r>
    </w:p>
  </w:footnote>
  <w:footnote w:id="48">
    <w:p w:rsidR="00470A81" w:rsidRPr="00EF7821" w:rsidP="00470A81" w14:paraId="2EE99D63" w14:textId="128B65D2">
      <w:pPr>
        <w:pStyle w:val="FootnoteText"/>
      </w:pPr>
      <w:r w:rsidRPr="00EF7821">
        <w:rPr>
          <w:rStyle w:val="FootnoteReference"/>
          <w:sz w:val="20"/>
        </w:rPr>
        <w:footnoteRef/>
      </w:r>
      <w:r w:rsidRPr="00EF7821">
        <w:t xml:space="preserve"> </w:t>
      </w:r>
      <w:r w:rsidR="009E79EE">
        <w:rPr>
          <w:i/>
          <w:iCs/>
        </w:rPr>
        <w:t>Id</w:t>
      </w:r>
      <w:r w:rsidR="009E79EE">
        <w:t>.</w:t>
      </w:r>
      <w:r w:rsidR="00933951">
        <w:t xml:space="preserve">; </w:t>
      </w:r>
      <w:r w:rsidR="00933951">
        <w:rPr>
          <w:i/>
        </w:rPr>
        <w:t>se</w:t>
      </w:r>
      <w:r w:rsidRPr="00EF7821" w:rsidR="00127B50">
        <w:rPr>
          <w:i/>
        </w:rPr>
        <w:t xml:space="preserve">e </w:t>
      </w:r>
      <w:r w:rsidR="009E79EE">
        <w:rPr>
          <w:i/>
        </w:rPr>
        <w:t xml:space="preserve">also </w:t>
      </w:r>
      <w:r w:rsidRPr="00EF7821">
        <w:rPr>
          <w:i/>
        </w:rPr>
        <w:t>Maritime Communications/</w:t>
      </w:r>
      <w:r w:rsidRPr="00EF7821" w:rsidR="00761C09">
        <w:rPr>
          <w:i/>
        </w:rPr>
        <w:t>L</w:t>
      </w:r>
      <w:r w:rsidRPr="00EF7821">
        <w:rPr>
          <w:i/>
        </w:rPr>
        <w:t>and Mobile, LLC</w:t>
      </w:r>
      <w:r w:rsidRPr="00EF7821">
        <w:t>,</w:t>
      </w:r>
      <w:r w:rsidR="00B106E1">
        <w:t xml:space="preserve"> </w:t>
      </w:r>
      <w:r w:rsidR="00B106E1">
        <w:rPr>
          <w:i/>
          <w:iCs/>
        </w:rPr>
        <w:t>Debtor-in-Possession et al</w:t>
      </w:r>
      <w:r w:rsidR="00B106E1">
        <w:t>., WT Docket No. 13-</w:t>
      </w:r>
      <w:r w:rsidR="00DD1A3C">
        <w:t xml:space="preserve">85 </w:t>
      </w:r>
      <w:r w:rsidR="00DD1A3C">
        <w:rPr>
          <w:i/>
          <w:iCs/>
        </w:rPr>
        <w:t>et al</w:t>
      </w:r>
      <w:r w:rsidR="00DD1A3C">
        <w:t xml:space="preserve">., </w:t>
      </w:r>
      <w:r w:rsidRPr="00EF7821">
        <w:t>31 FCC Rcd 13729, 13737-38</w:t>
      </w:r>
      <w:r w:rsidR="00DD1A3C">
        <w:t>, para. 17</w:t>
      </w:r>
      <w:r w:rsidRPr="00EF7821">
        <w:t xml:space="preserve"> (2016); </w:t>
      </w:r>
      <w:r w:rsidRPr="00EF7821">
        <w:rPr>
          <w:i/>
        </w:rPr>
        <w:t>LaRose v. FCC</w:t>
      </w:r>
      <w:r w:rsidRPr="00EF7821">
        <w:t>, 494 F.2d 1145, 1146-48 &amp; n.2 (D.C. Cir. 1974).</w:t>
      </w:r>
    </w:p>
  </w:footnote>
  <w:footnote w:id="49">
    <w:p w:rsidR="00470A81" w:rsidRPr="00EF7821" w:rsidP="00933951" w14:paraId="0238E09F" w14:textId="3DA27981">
      <w:pPr>
        <w:shd w:val="clear" w:color="auto" w:fill="FFFFFF"/>
        <w:spacing w:after="120"/>
        <w:rPr>
          <w:sz w:val="20"/>
        </w:rPr>
      </w:pPr>
      <w:r w:rsidRPr="00EF7821">
        <w:rPr>
          <w:rStyle w:val="FootnoteReference"/>
          <w:sz w:val="20"/>
        </w:rPr>
        <w:footnoteRef/>
      </w:r>
      <w:r w:rsidRPr="00EF7821">
        <w:rPr>
          <w:i/>
          <w:sz w:val="20"/>
        </w:rPr>
        <w:t xml:space="preserve"> </w:t>
      </w:r>
      <w:r w:rsidRPr="00EF7821" w:rsidR="00127B50">
        <w:rPr>
          <w:sz w:val="20"/>
        </w:rPr>
        <w:t xml:space="preserve">Waiver Request at </w:t>
      </w:r>
      <w:r w:rsidR="00C55E93">
        <w:rPr>
          <w:sz w:val="20"/>
        </w:rPr>
        <w:t>6</w:t>
      </w:r>
      <w:r w:rsidRPr="00EF7821" w:rsidR="00127B50">
        <w:rPr>
          <w:sz w:val="20"/>
        </w:rPr>
        <w:t xml:space="preserve"> (citing</w:t>
      </w:r>
      <w:r w:rsidR="00C55E93">
        <w:rPr>
          <w:sz w:val="20"/>
        </w:rPr>
        <w:t xml:space="preserve"> </w:t>
      </w:r>
      <w:r w:rsidR="00C55E93">
        <w:rPr>
          <w:i/>
          <w:iCs/>
          <w:sz w:val="20"/>
        </w:rPr>
        <w:t>Fusion Connect Grant</w:t>
      </w:r>
      <w:r w:rsidR="00C55E93">
        <w:rPr>
          <w:sz w:val="20"/>
        </w:rPr>
        <w:t>, 35 FCC Rcd at 413</w:t>
      </w:r>
      <w:r w:rsidR="00511FA0">
        <w:rPr>
          <w:sz w:val="20"/>
        </w:rPr>
        <w:t xml:space="preserve">, and </w:t>
      </w:r>
      <w:r w:rsidRPr="00EF7821">
        <w:rPr>
          <w:i/>
          <w:sz w:val="20"/>
        </w:rPr>
        <w:t>LaRose v. FCC</w:t>
      </w:r>
      <w:r w:rsidRPr="00EF7821">
        <w:rPr>
          <w:sz w:val="20"/>
        </w:rPr>
        <w:t xml:space="preserve">, 494 F.2d </w:t>
      </w:r>
      <w:r w:rsidRPr="00EF7821" w:rsidR="00127B50">
        <w:rPr>
          <w:sz w:val="20"/>
        </w:rPr>
        <w:t>at</w:t>
      </w:r>
      <w:r w:rsidRPr="00EF7821">
        <w:rPr>
          <w:sz w:val="20"/>
        </w:rPr>
        <w:t xml:space="preserve"> 1146</w:t>
      </w:r>
      <w:r w:rsidRPr="00EF7821" w:rsidR="00127B50">
        <w:rPr>
          <w:sz w:val="20"/>
        </w:rPr>
        <w:t>,</w:t>
      </w:r>
      <w:r w:rsidRPr="00EF7821">
        <w:rPr>
          <w:sz w:val="20"/>
        </w:rPr>
        <w:t xml:space="preserve"> n.2 (</w:t>
      </w:r>
      <w:r w:rsidRPr="00EF7821" w:rsidR="00127B50">
        <w:rPr>
          <w:sz w:val="20"/>
        </w:rPr>
        <w:t xml:space="preserve">stating that </w:t>
      </w:r>
      <w:r w:rsidRPr="00EF7821">
        <w:rPr>
          <w:sz w:val="20"/>
        </w:rPr>
        <w:t>in applying its policies where an application arises from bankruptcy, the Commission should consider “the public interest in the protection of innocent creditors”)</w:t>
      </w:r>
      <w:r w:rsidR="00511FA0">
        <w:rPr>
          <w:sz w:val="20"/>
        </w:rPr>
        <w:t>)</w:t>
      </w:r>
      <w:r w:rsidRPr="00EF7821">
        <w:rPr>
          <w:sz w:val="20"/>
        </w:rPr>
        <w:t>.</w:t>
      </w:r>
    </w:p>
  </w:footnote>
  <w:footnote w:id="50">
    <w:p w:rsidR="00470A81" w:rsidRPr="00EF7821" w:rsidP="00AC69AE" w14:paraId="5B0DF7F2" w14:textId="5B40DB33">
      <w:pPr>
        <w:widowControl/>
        <w:autoSpaceDE w:val="0"/>
        <w:autoSpaceDN w:val="0"/>
        <w:adjustRightInd w:val="0"/>
        <w:spacing w:after="120"/>
        <w:rPr>
          <w:snapToGrid/>
          <w:kern w:val="0"/>
          <w:sz w:val="20"/>
        </w:rPr>
      </w:pPr>
      <w:r w:rsidRPr="00EF7821">
        <w:rPr>
          <w:rStyle w:val="FootnoteReference"/>
          <w:sz w:val="20"/>
        </w:rPr>
        <w:footnoteRef/>
      </w:r>
      <w:r w:rsidRPr="00EF7821">
        <w:rPr>
          <w:sz w:val="20"/>
        </w:rPr>
        <w:t xml:space="preserve"> </w:t>
      </w:r>
      <w:bookmarkStart w:id="12" w:name="_Hlk29213051"/>
      <w:r w:rsidR="00933951">
        <w:rPr>
          <w:i/>
          <w:iCs/>
          <w:sz w:val="20"/>
        </w:rPr>
        <w:t xml:space="preserve">See, e.g., </w:t>
      </w:r>
      <w:r w:rsidRPr="00EF7821">
        <w:rPr>
          <w:rStyle w:val="Emphasis"/>
          <w:rFonts w:eastAsia="Calibri"/>
          <w:sz w:val="20"/>
        </w:rPr>
        <w:t>Mobile Satellite Ventures Subsidiary LLC and SkyTerra Communications Inc.</w:t>
      </w:r>
      <w:r w:rsidRPr="00EF7821">
        <w:rPr>
          <w:rFonts w:eastAsia="Calibri"/>
          <w:sz w:val="20"/>
        </w:rPr>
        <w:t xml:space="preserve">, </w:t>
      </w:r>
      <w:r w:rsidR="00DD1A3C">
        <w:rPr>
          <w:rFonts w:eastAsia="Calibri"/>
          <w:i/>
          <w:iCs/>
          <w:sz w:val="20"/>
        </w:rPr>
        <w:t>et al</w:t>
      </w:r>
      <w:r w:rsidR="00DD1A3C">
        <w:rPr>
          <w:rFonts w:eastAsia="Calibri"/>
          <w:sz w:val="20"/>
        </w:rPr>
        <w:t>.</w:t>
      </w:r>
      <w:r w:rsidRPr="00EF7821">
        <w:rPr>
          <w:rFonts w:eastAsia="Calibri"/>
          <w:sz w:val="20"/>
        </w:rPr>
        <w:t>, Order and Declaratory Ruling, 23 FCC Rcd 4436, 4444, para. 18 (2008) (granting the petitioners authority to hold on an interim basis up to a non-controlling 49.99% equity and voting interest in SkyTerra Communications subject to and without prejudice to any action the Commission may take on the associated request for permanent authority)</w:t>
      </w:r>
      <w:r w:rsidR="00511FA0">
        <w:rPr>
          <w:rFonts w:eastAsia="Calibri"/>
          <w:sz w:val="20"/>
        </w:rPr>
        <w:t xml:space="preserve">; </w:t>
      </w:r>
      <w:r w:rsidR="00511FA0">
        <w:rPr>
          <w:i/>
          <w:iCs/>
          <w:sz w:val="20"/>
        </w:rPr>
        <w:t>Fusion Connect Grant</w:t>
      </w:r>
      <w:r w:rsidR="00511FA0">
        <w:rPr>
          <w:sz w:val="20"/>
        </w:rPr>
        <w:t>, 35 FCC Rcd at 413</w:t>
      </w:r>
      <w:r w:rsidRPr="00EF7821">
        <w:rPr>
          <w:rFonts w:eastAsia="Calibri"/>
          <w:sz w:val="20"/>
        </w:rPr>
        <w:t>.</w:t>
      </w:r>
    </w:p>
    <w:bookmarkEnd w:id="12"/>
  </w:footnote>
  <w:footnote w:id="51">
    <w:p w:rsidR="008222C3" w:rsidP="008222C3" w14:paraId="6368AAEB" w14:textId="05A3CC2D">
      <w:pPr>
        <w:pStyle w:val="FootnoteText"/>
      </w:pPr>
      <w:r>
        <w:rPr>
          <w:rStyle w:val="FootnoteReference"/>
        </w:rPr>
        <w:footnoteRef/>
      </w:r>
      <w:r>
        <w:t xml:space="preserve"> Section 1.2105(c)(2) of the Commission’s rules prohibits an auction applicant from making any major modifications to their short-form application.  47 C.F.R § 1.2105(c)(2).  Section 1.2107(c) requires an auction participant to submit a long-form application within ten business days of receiving notification that it is a winning bidder in the auction.  47 C.F.R § 1.2105(c)(2).  Section 1.927 prohibits a winning bidder from making any major modifications to their long-form application after the submission deadline.  47 C.F.R. § 1.927.</w:t>
      </w:r>
    </w:p>
  </w:footnote>
  <w:footnote w:id="52">
    <w:p w:rsidR="0001795C" w:rsidRPr="00175A87" w14:paraId="0462FDBF" w14:textId="453F4B17">
      <w:pPr>
        <w:pStyle w:val="FootnoteText"/>
        <w:rPr>
          <w:i/>
          <w:iCs/>
        </w:rPr>
      </w:pPr>
      <w:r>
        <w:rPr>
          <w:rStyle w:val="FootnoteReference"/>
        </w:rPr>
        <w:footnoteRef/>
      </w:r>
      <w:r>
        <w:t xml:space="preserve"> Because New Windstream has not yet sought Commission approval for Step Two of </w:t>
      </w:r>
      <w:r w:rsidR="00C061D9">
        <w:t>the</w:t>
      </w:r>
      <w:r>
        <w:t xml:space="preserve"> planned transaction, we need not reach the request to </w:t>
      </w:r>
      <w:r w:rsidRPr="0001795C">
        <w:t xml:space="preserve">permit </w:t>
      </w:r>
      <w:r w:rsidR="00876280">
        <w:t xml:space="preserve">it </w:t>
      </w:r>
      <w:r w:rsidRPr="0001795C">
        <w:t xml:space="preserve">to amend </w:t>
      </w:r>
      <w:r w:rsidR="008A2E7D">
        <w:t>New Windstream’</w:t>
      </w:r>
      <w:r>
        <w:t>s</w:t>
      </w:r>
      <w:r w:rsidRPr="0001795C">
        <w:t xml:space="preserve"> Auction 105 lo</w:t>
      </w:r>
      <w:r>
        <w:t>ng-</w:t>
      </w:r>
      <w:r w:rsidRPr="0001795C">
        <w:t>form application</w:t>
      </w:r>
      <w:r>
        <w:t xml:space="preserve"> </w:t>
      </w:r>
      <w:r w:rsidRPr="0001795C">
        <w:t xml:space="preserve">to reflect </w:t>
      </w:r>
      <w:r>
        <w:t>the</w:t>
      </w:r>
      <w:r w:rsidRPr="0001795C">
        <w:t xml:space="preserve"> proposed </w:t>
      </w:r>
      <w:r>
        <w:t xml:space="preserve">Step Two </w:t>
      </w:r>
      <w:r w:rsidRPr="0001795C">
        <w:t>ownership.</w:t>
      </w:r>
      <w:r>
        <w:t xml:space="preserve">  </w:t>
      </w:r>
      <w:r>
        <w:rPr>
          <w:i/>
          <w:iCs/>
        </w:rPr>
        <w:t xml:space="preserve">See </w:t>
      </w:r>
      <w:r>
        <w:t xml:space="preserve">Amendment to Pending Waiver Petition at 1. </w:t>
      </w:r>
    </w:p>
  </w:footnote>
  <w:footnote w:id="53">
    <w:p w:rsidR="008222C3" w:rsidP="008222C3" w14:paraId="4ABFE240" w14:textId="77777777">
      <w:pPr>
        <w:pStyle w:val="FootnoteText"/>
      </w:pPr>
      <w:r>
        <w:rPr>
          <w:rStyle w:val="FootnoteReference"/>
        </w:rPr>
        <w:footnoteRef/>
      </w:r>
      <w:r>
        <w:t xml:space="preserve"> </w:t>
      </w:r>
      <w:r w:rsidRPr="004D6FE5">
        <w:rPr>
          <w:i/>
        </w:rPr>
        <w:t xml:space="preserve">Auction of </w:t>
      </w:r>
      <w:r>
        <w:rPr>
          <w:i/>
        </w:rPr>
        <w:t xml:space="preserve">Priority Access </w:t>
      </w:r>
      <w:r w:rsidRPr="004D6FE5">
        <w:rPr>
          <w:i/>
        </w:rPr>
        <w:t xml:space="preserve">Licenses for </w:t>
      </w:r>
      <w:r>
        <w:rPr>
          <w:i/>
        </w:rPr>
        <w:t>the 3550-3650 MHz Band</w:t>
      </w:r>
      <w:r w:rsidRPr="004D6FE5">
        <w:rPr>
          <w:i/>
        </w:rPr>
        <w:t xml:space="preserve">; </w:t>
      </w:r>
      <w:r>
        <w:rPr>
          <w:i/>
        </w:rPr>
        <w:t xml:space="preserve">271 </w:t>
      </w:r>
      <w:r w:rsidRPr="004D6FE5">
        <w:rPr>
          <w:i/>
        </w:rPr>
        <w:t>Applicants Qualified to Bid in Auction 10</w:t>
      </w:r>
      <w:r>
        <w:rPr>
          <w:i/>
        </w:rPr>
        <w:t>5</w:t>
      </w:r>
      <w:r w:rsidRPr="004D6FE5">
        <w:t xml:space="preserve">, </w:t>
      </w:r>
      <w:r>
        <w:t xml:space="preserve">AU Docket No. 19-244, </w:t>
      </w:r>
      <w:r w:rsidRPr="004D6FE5">
        <w:t xml:space="preserve">Public Notice, DA </w:t>
      </w:r>
      <w:r>
        <w:t>20-695</w:t>
      </w:r>
      <w:r w:rsidRPr="004D6FE5">
        <w:t xml:space="preserve"> at </w:t>
      </w:r>
      <w:r>
        <w:t>9-11</w:t>
      </w:r>
      <w:r w:rsidRPr="004D6FE5">
        <w:t xml:space="preserve">, paras. </w:t>
      </w:r>
      <w:r>
        <w:t>47-51</w:t>
      </w:r>
      <w:r w:rsidRPr="004D6FE5">
        <w:t xml:space="preserve"> (WTB/OEA </w:t>
      </w:r>
      <w:r>
        <w:t>Jul. 1, 2020</w:t>
      </w:r>
      <w:r w:rsidRPr="004D6FE5">
        <w:t>)</w:t>
      </w:r>
      <w:r>
        <w:t xml:space="preserve">.  </w:t>
      </w:r>
    </w:p>
  </w:footnote>
  <w:footnote w:id="54">
    <w:p w:rsidR="008222C3" w:rsidRPr="006D65E8" w:rsidP="008222C3" w14:paraId="3E578159" w14:textId="77777777">
      <w:pPr>
        <w:pStyle w:val="FootnoteText"/>
      </w:pPr>
      <w:r w:rsidRPr="006D65E8">
        <w:rPr>
          <w:rStyle w:val="FootnoteReference"/>
        </w:rPr>
        <w:footnoteRef/>
      </w:r>
      <w:r w:rsidRPr="006D65E8">
        <w:t xml:space="preserve"> </w:t>
      </w:r>
      <w:r>
        <w:rPr>
          <w:i/>
          <w:iCs/>
        </w:rPr>
        <w:t xml:space="preserve">See </w:t>
      </w:r>
      <w:r>
        <w:rPr>
          <w:i/>
        </w:rPr>
        <w:t>Connect America Fund, Petition of Hawaii Telecom et al.</w:t>
      </w:r>
      <w:r>
        <w:rPr>
          <w:iCs/>
        </w:rPr>
        <w:t>, Order, 33 FCC Rcd 6208</w:t>
      </w:r>
      <w:r w:rsidRPr="006D65E8">
        <w:t>,</w:t>
      </w:r>
      <w:r>
        <w:t xml:space="preserve"> 6211 para. 9 (WCB/WTB 2018).</w:t>
      </w:r>
    </w:p>
  </w:footnote>
  <w:footnote w:id="55">
    <w:p w:rsidR="008222C3" w:rsidRPr="00157CC9" w:rsidP="008222C3" w14:paraId="3E0A13D7" w14:textId="77777777">
      <w:pPr>
        <w:pStyle w:val="FootnoteText"/>
      </w:pPr>
      <w:r>
        <w:rPr>
          <w:rStyle w:val="FootnoteReference"/>
        </w:rPr>
        <w:footnoteRef/>
      </w:r>
      <w:r>
        <w:t xml:space="preserve"> </w:t>
      </w:r>
      <w:r>
        <w:rPr>
          <w:i/>
          <w:iCs/>
        </w:rPr>
        <w:t>Cf.</w:t>
      </w:r>
      <w:r>
        <w:t xml:space="preserve"> </w:t>
      </w:r>
      <w:r>
        <w:rPr>
          <w:i/>
          <w:iCs/>
        </w:rPr>
        <w:t>Implementation of Section 309(j) of the Communications Act–Competitive Bidding</w:t>
      </w:r>
      <w:r>
        <w:t>, PP Docket No. 93-253, Second Report and Order, 9 FCC 2348, 2382, 2383, paras. 192, 199.</w:t>
      </w:r>
    </w:p>
  </w:footnote>
  <w:footnote w:id="56">
    <w:p w:rsidR="00A42940" w14:paraId="0755DEE4" w14:textId="661E8D6A">
      <w:pPr>
        <w:pStyle w:val="FootnoteText"/>
      </w:pPr>
      <w:r>
        <w:rPr>
          <w:rStyle w:val="FootnoteReference"/>
        </w:rPr>
        <w:footnoteRef/>
      </w:r>
      <w:r>
        <w:t xml:space="preserve"> </w:t>
      </w:r>
      <w:r w:rsidRPr="006E3CE2">
        <w:rPr>
          <w:i/>
          <w:iCs/>
        </w:rPr>
        <w:t xml:space="preserve">See </w:t>
      </w:r>
      <w:r>
        <w:t xml:space="preserve">July 21 Letter and attached </w:t>
      </w:r>
      <w:r w:rsidR="00E70B16">
        <w:t xml:space="preserve">Special </w:t>
      </w:r>
      <w:r>
        <w:t>Warrants at section 3.</w:t>
      </w:r>
    </w:p>
  </w:footnote>
  <w:footnote w:id="57">
    <w:p w:rsidR="007834C0" w:rsidP="00CE7171" w14:paraId="2EE2A7E8" w14:textId="0F9D0EE7">
      <w:pPr>
        <w:pStyle w:val="FootnoteText"/>
      </w:pPr>
      <w:r>
        <w:rPr>
          <w:rStyle w:val="FootnoteReference"/>
        </w:rPr>
        <w:footnoteRef/>
      </w:r>
      <w:r>
        <w:t xml:space="preserve"> </w:t>
      </w:r>
      <w:r w:rsidRPr="00BF5D07">
        <w:rPr>
          <w:i/>
          <w:iCs/>
        </w:rPr>
        <w:t>See, e.g</w:t>
      </w:r>
      <w:r>
        <w:t xml:space="preserve">., </w:t>
      </w:r>
      <w:r w:rsidRPr="00BF5D07" w:rsidR="009E440C">
        <w:rPr>
          <w:i/>
          <w:iCs/>
        </w:rPr>
        <w:t>Cumulus Media Inc.</w:t>
      </w:r>
      <w:r w:rsidRPr="00BF5D07" w:rsidR="00CE7171">
        <w:rPr>
          <w:i/>
          <w:iCs/>
        </w:rPr>
        <w:t xml:space="preserve"> Petition for Declaratory Ruling Under Section 310(b)(4) of the Communications Act of 1934, as Amended</w:t>
      </w:r>
      <w:r w:rsidR="009E440C">
        <w:t xml:space="preserve">, </w:t>
      </w:r>
      <w:r w:rsidR="00CE7171">
        <w:rPr>
          <w:rFonts w:ascii="TimesNewRomanPSMT" w:hAnsi="TimesNewRomanPSMT" w:cs="TimesNewRomanPSMT"/>
          <w:szCs w:val="22"/>
        </w:rPr>
        <w:t xml:space="preserve">MB Docket No. 19-143, </w:t>
      </w:r>
      <w:r w:rsidR="009E440C">
        <w:t xml:space="preserve">Declaratory Ruling, </w:t>
      </w:r>
      <w:r w:rsidR="00CE7171">
        <w:t>35 FCC Rcd 546</w:t>
      </w:r>
      <w:r w:rsidR="00BF5D07">
        <w:t>1</w:t>
      </w:r>
      <w:r w:rsidR="00F202CD">
        <w:rPr>
          <w:rFonts w:ascii="TimesNewRomanPSMT" w:hAnsi="TimesNewRomanPSMT" w:cs="TimesNewRomanPSMT"/>
          <w:szCs w:val="22"/>
        </w:rPr>
        <w:t xml:space="preserve"> (MB 2020</w:t>
      </w:r>
      <w:r w:rsidR="00746056">
        <w:rPr>
          <w:rFonts w:ascii="TimesNewRomanPSMT" w:hAnsi="TimesNewRomanPSMT" w:cs="TimesNewRomanPSMT"/>
          <w:szCs w:val="22"/>
        </w:rPr>
        <w:t>).</w:t>
      </w:r>
    </w:p>
  </w:footnote>
  <w:footnote w:id="58">
    <w:p w:rsidR="001D2F7E" w14:paraId="1ACC6306" w14:textId="172D656F">
      <w:pPr>
        <w:pStyle w:val="FootnoteText"/>
      </w:pPr>
      <w:r>
        <w:rPr>
          <w:rStyle w:val="FootnoteReference"/>
        </w:rPr>
        <w:footnoteRef/>
      </w:r>
      <w:r>
        <w:t xml:space="preserve"> </w:t>
      </w:r>
      <w:r w:rsidRPr="00BF5D07">
        <w:rPr>
          <w:i/>
          <w:iCs/>
        </w:rPr>
        <w:t>See</w:t>
      </w:r>
      <w:r>
        <w:t xml:space="preserve"> July 28 Supplement Letter.</w:t>
      </w:r>
    </w:p>
  </w:footnote>
  <w:footnote w:id="59">
    <w:p w:rsidR="001D2F7E" w14:paraId="61BA0B0D" w14:textId="74F3ACDB">
      <w:pPr>
        <w:pStyle w:val="FootnoteText"/>
      </w:pPr>
      <w:r>
        <w:rPr>
          <w:rStyle w:val="FootnoteReference"/>
        </w:rPr>
        <w:footnoteRef/>
      </w:r>
      <w:r>
        <w:t xml:space="preserve"> </w:t>
      </w:r>
      <w:r w:rsidRPr="00EF7821">
        <w:rPr>
          <w:color w:val="000000"/>
          <w:szCs w:val="22"/>
        </w:rPr>
        <w:t xml:space="preserve">47 CFR § </w:t>
      </w:r>
      <w:r>
        <w:rPr>
          <w:szCs w:val="22"/>
        </w:rPr>
        <w:t>1.5002(b)(2)(iii)</w:t>
      </w:r>
      <w:r w:rsidR="00797DC1">
        <w:rPr>
          <w:szCs w:val="22"/>
        </w:rPr>
        <w:t xml:space="preserve">; </w:t>
      </w:r>
      <w:r w:rsidRPr="006E3CE2" w:rsidR="00797DC1">
        <w:rPr>
          <w:i/>
          <w:iCs/>
          <w:szCs w:val="22"/>
        </w:rPr>
        <w:t>see also</w:t>
      </w:r>
      <w:r w:rsidRPr="00797DC1" w:rsidR="00797DC1">
        <w:rPr>
          <w:szCs w:val="22"/>
        </w:rPr>
        <w:t xml:space="preserve"> 47 CFR § 1.5003 (Insulation criteria for interests in limited partnerships, limited liability partnerships, and limited liability companies)</w:t>
      </w:r>
      <w:r>
        <w:rPr>
          <w:szCs w:val="22"/>
        </w:rPr>
        <w:t>.</w:t>
      </w:r>
    </w:p>
  </w:footnote>
  <w:footnote w:id="60">
    <w:p w:rsidR="006215D4" w:rsidRPr="00EF7821" w:rsidP="006215D4" w14:paraId="26DCE5CB" w14:textId="77777777">
      <w:pPr>
        <w:widowControl/>
        <w:autoSpaceDE w:val="0"/>
        <w:autoSpaceDN w:val="0"/>
        <w:adjustRightInd w:val="0"/>
        <w:rPr>
          <w:snapToGrid/>
          <w:kern w:val="0"/>
          <w:sz w:val="20"/>
        </w:rPr>
      </w:pPr>
      <w:r w:rsidRPr="00EF7821">
        <w:rPr>
          <w:rStyle w:val="FootnoteReference"/>
          <w:sz w:val="20"/>
        </w:rPr>
        <w:footnoteRef/>
      </w:r>
      <w:r w:rsidRPr="00EF7821">
        <w:rPr>
          <w:sz w:val="20"/>
        </w:rPr>
        <w:t xml:space="preserve"> </w:t>
      </w:r>
      <w:r w:rsidRPr="00EF7821">
        <w:rPr>
          <w:snapToGrid/>
          <w:kern w:val="0"/>
          <w:sz w:val="20"/>
        </w:rPr>
        <w:t>A list of those subsidiaries that provide international services under the section 214 authorization held by</w:t>
      </w:r>
    </w:p>
    <w:p w:rsidR="006215D4" w:rsidRPr="00EF7821" w:rsidP="006215D4" w14:paraId="78B5554D" w14:textId="29977FDD">
      <w:pPr>
        <w:pStyle w:val="FootnoteText"/>
      </w:pPr>
      <w:r w:rsidRPr="00EF7821">
        <w:t>Windstream Services, LLC are listed in Attachment 2 to the Lead Application.</w:t>
      </w:r>
    </w:p>
  </w:footnote>
  <w:footnote w:id="61">
    <w:p w:rsidR="00E74998" w:rsidRPr="007702B6" w:rsidP="00E74998" w14:paraId="56D19FA5" w14:textId="17931A5E">
      <w:pPr>
        <w:widowControl/>
        <w:autoSpaceDE w:val="0"/>
        <w:autoSpaceDN w:val="0"/>
        <w:adjustRightInd w:val="0"/>
        <w:spacing w:after="120"/>
        <w:rPr>
          <w:sz w:val="20"/>
        </w:rPr>
      </w:pPr>
      <w:r>
        <w:rPr>
          <w:rStyle w:val="FootnoteReference"/>
        </w:rPr>
        <w:footnoteRef/>
      </w:r>
      <w:r>
        <w:t xml:space="preserve"> 47 CFR § 63.03; </w:t>
      </w:r>
      <w:r w:rsidRPr="007702B6">
        <w:rPr>
          <w:i/>
          <w:sz w:val="20"/>
        </w:rPr>
        <w:t>Applications of Level 3 Communications, Inc. and CenturyLink, Inc. for Consent to Transfer Control of Licenses and Authorizations</w:t>
      </w:r>
      <w:r w:rsidRPr="007702B6">
        <w:rPr>
          <w:sz w:val="20"/>
        </w:rPr>
        <w:t>, Memorandum Opinion and Order, 32 FCC Rcd 9581, 9594, 9605, paras. 26 and 52 (2017) (finding no harm to competition in CenturyLink’s incumbent LEC territory, nor outside of CenturyLink’s incumbent LEC territory, where applicants operate as competitive LECs</w:t>
      </w:r>
      <w:r>
        <w:rPr>
          <w:sz w:val="20"/>
        </w:rPr>
        <w:t>).</w:t>
      </w:r>
    </w:p>
    <w:p w:rsidR="00E74998" w14:paraId="7DF39BDF" w14:textId="42E65F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CE323A" w14:paraId="2C302629" w14:textId="77777777">
    <w:pPr>
      <w:tabs>
        <w:tab w:val="center" w:pos="4680"/>
        <w:tab w:val="right" w:pos="9360"/>
      </w:tabs>
      <w:rPr>
        <w:spacing w:val="-2"/>
      </w:rPr>
    </w:pPr>
  </w:p>
  <w:p w:rsidR="009838BC" w:rsidRPr="009838BC" w:rsidP="009838BC" w14:paraId="4E34C1D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920AFB" w14:textId="36191B18">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E507963" w14:textId="77777777">
                    <w:pPr>
                      <w:rPr>
                        <w:rFonts w:ascii="Arial" w:hAnsi="Arial"/>
                        <w:b/>
                      </w:rPr>
                    </w:pPr>
                    <w:r>
                      <w:rPr>
                        <w:rFonts w:ascii="Arial" w:hAnsi="Arial"/>
                        <w:b/>
                      </w:rPr>
                      <w:t>Federal Communications Commission</w:t>
                    </w:r>
                  </w:p>
                  <w:p w:rsidR="009838BC" w:rsidP="009838BC" w14:paraId="504DBD4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1643A3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06057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94A6B">
      <w:rPr>
        <w:rFonts w:ascii="Arial" w:hAnsi="Arial" w:cs="Arial"/>
        <w:b/>
        <w:sz w:val="96"/>
      </w:rPr>
      <w:t>PUBLIC NOTICE</w:t>
    </w:r>
  </w:p>
  <w:p w:rsidR="009838BC" w:rsidRPr="00357D50" w:rsidP="009838BC" w14:paraId="4EBBFDF9" w14:textId="2844C29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9" w:name="_Hlt233824"/>
                          <w:hyperlink r:id="rId2" w:history="1">
                            <w:r w:rsidRPr="00D216CD">
                              <w:rPr>
                                <w:rStyle w:val="Hyperlink"/>
                                <w:rFonts w:ascii="Arial" w:hAnsi="Arial"/>
                                <w:b/>
                                <w:sz w:val="16"/>
                              </w:rPr>
                              <w:t>h</w:t>
                            </w:r>
                            <w:bookmarkEnd w:id="19"/>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4B6D5EE" w14:textId="77777777">
                    <w:pPr>
                      <w:spacing w:before="40"/>
                      <w:jc w:val="right"/>
                      <w:rPr>
                        <w:rFonts w:ascii="Arial" w:hAnsi="Arial"/>
                        <w:b/>
                        <w:sz w:val="16"/>
                      </w:rPr>
                    </w:pPr>
                    <w:r>
                      <w:rPr>
                        <w:rFonts w:ascii="Arial" w:hAnsi="Arial"/>
                        <w:b/>
                        <w:sz w:val="16"/>
                      </w:rPr>
                      <w:t>News Media Information 202 / 418-0500</w:t>
                    </w:r>
                  </w:p>
                  <w:p w:rsidR="009838BC" w:rsidP="009838BC" w14:paraId="3539D68A" w14:textId="77777777">
                    <w:pPr>
                      <w:jc w:val="right"/>
                      <w:rPr>
                        <w:rFonts w:ascii="Arial" w:hAnsi="Arial"/>
                        <w:b/>
                        <w:sz w:val="16"/>
                      </w:rPr>
                    </w:pPr>
                    <w:r>
                      <w:rPr>
                        <w:rFonts w:ascii="Arial" w:hAnsi="Arial"/>
                        <w:b/>
                        <w:sz w:val="16"/>
                      </w:rPr>
                      <w:t xml:space="preserve">Internet: </w:t>
                    </w:r>
                    <w:bookmarkStart w:id="19" w:name="_Hlt233824"/>
                    <w:hyperlink r:id="rId2" w:history="1">
                      <w:r w:rsidRPr="00D216CD">
                        <w:rPr>
                          <w:rStyle w:val="Hyperlink"/>
                          <w:rFonts w:ascii="Arial" w:hAnsi="Arial"/>
                          <w:b/>
                          <w:sz w:val="16"/>
                        </w:rPr>
                        <w:t>h</w:t>
                      </w:r>
                      <w:bookmarkEnd w:id="19"/>
                      <w:r w:rsidRPr="00D216CD">
                        <w:rPr>
                          <w:rStyle w:val="Hyperlink"/>
                          <w:rFonts w:ascii="Arial" w:hAnsi="Arial"/>
                          <w:b/>
                          <w:sz w:val="16"/>
                        </w:rPr>
                        <w:t>ttps://www.fcc.gov</w:t>
                      </w:r>
                    </w:hyperlink>
                  </w:p>
                  <w:p w:rsidR="009838BC" w:rsidP="009838BC" w14:paraId="06E84620" w14:textId="77777777">
                    <w:pPr>
                      <w:jc w:val="right"/>
                    </w:pPr>
                    <w:r>
                      <w:rPr>
                        <w:rFonts w:ascii="Arial" w:hAnsi="Arial"/>
                        <w:b/>
                        <w:sz w:val="16"/>
                      </w:rPr>
                      <w:t>TTY: 1-888-835-5322</w:t>
                    </w:r>
                  </w:p>
                </w:txbxContent>
              </v:textbox>
            </v:shape>
          </w:pict>
        </mc:Fallback>
      </mc:AlternateContent>
    </w:r>
  </w:p>
  <w:p w:rsidR="006F7393" w:rsidRPr="009838BC" w:rsidP="009838BC" w14:paraId="1D0B1B8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C35CBD"/>
    <w:multiLevelType w:val="hybridMultilevel"/>
    <w:tmpl w:val="27A8B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81"/>
    <w:rsid w:val="000051AE"/>
    <w:rsid w:val="00006298"/>
    <w:rsid w:val="000072CE"/>
    <w:rsid w:val="00013A8B"/>
    <w:rsid w:val="00015F2F"/>
    <w:rsid w:val="00016EEF"/>
    <w:rsid w:val="000171B2"/>
    <w:rsid w:val="0001788D"/>
    <w:rsid w:val="0001795C"/>
    <w:rsid w:val="00021445"/>
    <w:rsid w:val="000344E9"/>
    <w:rsid w:val="00036039"/>
    <w:rsid w:val="00037E44"/>
    <w:rsid w:val="00037F90"/>
    <w:rsid w:val="0005049B"/>
    <w:rsid w:val="00053F94"/>
    <w:rsid w:val="000557A1"/>
    <w:rsid w:val="0006231E"/>
    <w:rsid w:val="00063C94"/>
    <w:rsid w:val="0006611D"/>
    <w:rsid w:val="0006630B"/>
    <w:rsid w:val="0007649F"/>
    <w:rsid w:val="00077582"/>
    <w:rsid w:val="000875BF"/>
    <w:rsid w:val="00091444"/>
    <w:rsid w:val="00092E26"/>
    <w:rsid w:val="00096D8C"/>
    <w:rsid w:val="000A5979"/>
    <w:rsid w:val="000C05C7"/>
    <w:rsid w:val="000C0B65"/>
    <w:rsid w:val="000C1911"/>
    <w:rsid w:val="000C58DC"/>
    <w:rsid w:val="000C7198"/>
    <w:rsid w:val="000D60FE"/>
    <w:rsid w:val="000E3D42"/>
    <w:rsid w:val="000E5884"/>
    <w:rsid w:val="000F3238"/>
    <w:rsid w:val="000F7F23"/>
    <w:rsid w:val="00100434"/>
    <w:rsid w:val="001028AC"/>
    <w:rsid w:val="00110C6D"/>
    <w:rsid w:val="00110F17"/>
    <w:rsid w:val="0011177D"/>
    <w:rsid w:val="00116F94"/>
    <w:rsid w:val="00122BD5"/>
    <w:rsid w:val="00127B50"/>
    <w:rsid w:val="001338A9"/>
    <w:rsid w:val="001359B6"/>
    <w:rsid w:val="00140134"/>
    <w:rsid w:val="00142B17"/>
    <w:rsid w:val="00150FE1"/>
    <w:rsid w:val="00155F9F"/>
    <w:rsid w:val="00157328"/>
    <w:rsid w:val="00157CC9"/>
    <w:rsid w:val="00164040"/>
    <w:rsid w:val="001648B5"/>
    <w:rsid w:val="00170E2D"/>
    <w:rsid w:val="0017305F"/>
    <w:rsid w:val="00175A87"/>
    <w:rsid w:val="00182BC8"/>
    <w:rsid w:val="00190EF0"/>
    <w:rsid w:val="00192F9F"/>
    <w:rsid w:val="00193F4D"/>
    <w:rsid w:val="001979D9"/>
    <w:rsid w:val="001A4609"/>
    <w:rsid w:val="001B0530"/>
    <w:rsid w:val="001B1CCA"/>
    <w:rsid w:val="001B3011"/>
    <w:rsid w:val="001C17CC"/>
    <w:rsid w:val="001C7135"/>
    <w:rsid w:val="001C7439"/>
    <w:rsid w:val="001D2F7E"/>
    <w:rsid w:val="001D4B01"/>
    <w:rsid w:val="001D5CB6"/>
    <w:rsid w:val="001D6BCF"/>
    <w:rsid w:val="001D7C7D"/>
    <w:rsid w:val="001E01CA"/>
    <w:rsid w:val="001E0DB3"/>
    <w:rsid w:val="001E2CEC"/>
    <w:rsid w:val="001E6C42"/>
    <w:rsid w:val="001F326C"/>
    <w:rsid w:val="002001C4"/>
    <w:rsid w:val="002046F8"/>
    <w:rsid w:val="00205634"/>
    <w:rsid w:val="002060D9"/>
    <w:rsid w:val="00215055"/>
    <w:rsid w:val="00221D09"/>
    <w:rsid w:val="002231B3"/>
    <w:rsid w:val="00223A08"/>
    <w:rsid w:val="00224DA4"/>
    <w:rsid w:val="00226822"/>
    <w:rsid w:val="0022766C"/>
    <w:rsid w:val="00255D1A"/>
    <w:rsid w:val="00260594"/>
    <w:rsid w:val="0026744D"/>
    <w:rsid w:val="002731BC"/>
    <w:rsid w:val="002802C9"/>
    <w:rsid w:val="002809D2"/>
    <w:rsid w:val="0028102D"/>
    <w:rsid w:val="00282DBA"/>
    <w:rsid w:val="00285017"/>
    <w:rsid w:val="00291643"/>
    <w:rsid w:val="00294A6B"/>
    <w:rsid w:val="002978ED"/>
    <w:rsid w:val="00297DCB"/>
    <w:rsid w:val="002A2D2E"/>
    <w:rsid w:val="002B1A6F"/>
    <w:rsid w:val="002B69BF"/>
    <w:rsid w:val="002B7BE9"/>
    <w:rsid w:val="002C1B60"/>
    <w:rsid w:val="002D3F6F"/>
    <w:rsid w:val="002D729B"/>
    <w:rsid w:val="002D7947"/>
    <w:rsid w:val="002E5916"/>
    <w:rsid w:val="002F79FA"/>
    <w:rsid w:val="00303881"/>
    <w:rsid w:val="00307030"/>
    <w:rsid w:val="0031237C"/>
    <w:rsid w:val="00316418"/>
    <w:rsid w:val="00316B6F"/>
    <w:rsid w:val="00317639"/>
    <w:rsid w:val="00320E3D"/>
    <w:rsid w:val="00333DC0"/>
    <w:rsid w:val="00343749"/>
    <w:rsid w:val="0034397F"/>
    <w:rsid w:val="00344A21"/>
    <w:rsid w:val="0034693B"/>
    <w:rsid w:val="0034765A"/>
    <w:rsid w:val="00351202"/>
    <w:rsid w:val="0035731F"/>
    <w:rsid w:val="00357D50"/>
    <w:rsid w:val="0036014D"/>
    <w:rsid w:val="00374BD7"/>
    <w:rsid w:val="00380198"/>
    <w:rsid w:val="0038296F"/>
    <w:rsid w:val="00382B84"/>
    <w:rsid w:val="00385F1C"/>
    <w:rsid w:val="003925DC"/>
    <w:rsid w:val="00393247"/>
    <w:rsid w:val="003A1CE5"/>
    <w:rsid w:val="003A256C"/>
    <w:rsid w:val="003A3461"/>
    <w:rsid w:val="003A558B"/>
    <w:rsid w:val="003B0550"/>
    <w:rsid w:val="003B2206"/>
    <w:rsid w:val="003B694F"/>
    <w:rsid w:val="003C48D5"/>
    <w:rsid w:val="003D0478"/>
    <w:rsid w:val="003E0C63"/>
    <w:rsid w:val="003F0252"/>
    <w:rsid w:val="003F0683"/>
    <w:rsid w:val="003F171C"/>
    <w:rsid w:val="003F62FC"/>
    <w:rsid w:val="0040169F"/>
    <w:rsid w:val="00412FC5"/>
    <w:rsid w:val="00421378"/>
    <w:rsid w:val="00422276"/>
    <w:rsid w:val="004242F1"/>
    <w:rsid w:val="00424537"/>
    <w:rsid w:val="00425763"/>
    <w:rsid w:val="0043438C"/>
    <w:rsid w:val="004367A0"/>
    <w:rsid w:val="00441561"/>
    <w:rsid w:val="00444AD9"/>
    <w:rsid w:val="00445A00"/>
    <w:rsid w:val="00451B0F"/>
    <w:rsid w:val="0046125F"/>
    <w:rsid w:val="00470A81"/>
    <w:rsid w:val="00483015"/>
    <w:rsid w:val="00483840"/>
    <w:rsid w:val="00487524"/>
    <w:rsid w:val="00496106"/>
    <w:rsid w:val="004A0AE0"/>
    <w:rsid w:val="004A6365"/>
    <w:rsid w:val="004B5170"/>
    <w:rsid w:val="004B5A33"/>
    <w:rsid w:val="004C12D0"/>
    <w:rsid w:val="004C2EE3"/>
    <w:rsid w:val="004C44BF"/>
    <w:rsid w:val="004C686B"/>
    <w:rsid w:val="004D3DAA"/>
    <w:rsid w:val="004D6DF4"/>
    <w:rsid w:val="004D6FE5"/>
    <w:rsid w:val="004E0BB2"/>
    <w:rsid w:val="004E4A22"/>
    <w:rsid w:val="004E626F"/>
    <w:rsid w:val="004F2C3C"/>
    <w:rsid w:val="004F7368"/>
    <w:rsid w:val="005017C1"/>
    <w:rsid w:val="005062E0"/>
    <w:rsid w:val="00511968"/>
    <w:rsid w:val="00511FA0"/>
    <w:rsid w:val="0051311D"/>
    <w:rsid w:val="005155E4"/>
    <w:rsid w:val="005204B8"/>
    <w:rsid w:val="00527B9F"/>
    <w:rsid w:val="00533ED8"/>
    <w:rsid w:val="00535CF8"/>
    <w:rsid w:val="00536D20"/>
    <w:rsid w:val="00541981"/>
    <w:rsid w:val="005547A4"/>
    <w:rsid w:val="0055614C"/>
    <w:rsid w:val="0056396A"/>
    <w:rsid w:val="005669F9"/>
    <w:rsid w:val="005721CA"/>
    <w:rsid w:val="00573EB2"/>
    <w:rsid w:val="00584263"/>
    <w:rsid w:val="00590358"/>
    <w:rsid w:val="00591213"/>
    <w:rsid w:val="00595FA9"/>
    <w:rsid w:val="00596832"/>
    <w:rsid w:val="00596C6B"/>
    <w:rsid w:val="0059779E"/>
    <w:rsid w:val="005A37DB"/>
    <w:rsid w:val="005A655F"/>
    <w:rsid w:val="005B242B"/>
    <w:rsid w:val="005B67A2"/>
    <w:rsid w:val="005C210A"/>
    <w:rsid w:val="005C23C5"/>
    <w:rsid w:val="005D472D"/>
    <w:rsid w:val="005D4ADB"/>
    <w:rsid w:val="005D5704"/>
    <w:rsid w:val="005D6D67"/>
    <w:rsid w:val="005E1A13"/>
    <w:rsid w:val="005E28B1"/>
    <w:rsid w:val="005F3F4E"/>
    <w:rsid w:val="005F42A8"/>
    <w:rsid w:val="00606070"/>
    <w:rsid w:val="006078BD"/>
    <w:rsid w:val="00607BA5"/>
    <w:rsid w:val="006215D4"/>
    <w:rsid w:val="00626EB6"/>
    <w:rsid w:val="00631502"/>
    <w:rsid w:val="0063342E"/>
    <w:rsid w:val="00634FB2"/>
    <w:rsid w:val="006353A3"/>
    <w:rsid w:val="00644060"/>
    <w:rsid w:val="00647E75"/>
    <w:rsid w:val="00655D03"/>
    <w:rsid w:val="00680944"/>
    <w:rsid w:val="006814A4"/>
    <w:rsid w:val="00683626"/>
    <w:rsid w:val="00683F84"/>
    <w:rsid w:val="006843EC"/>
    <w:rsid w:val="00684DFE"/>
    <w:rsid w:val="006926C5"/>
    <w:rsid w:val="00692DAE"/>
    <w:rsid w:val="006951E6"/>
    <w:rsid w:val="006A6777"/>
    <w:rsid w:val="006A6A81"/>
    <w:rsid w:val="006A6FCB"/>
    <w:rsid w:val="006B134F"/>
    <w:rsid w:val="006B7178"/>
    <w:rsid w:val="006C36A9"/>
    <w:rsid w:val="006C65DC"/>
    <w:rsid w:val="006C7F2C"/>
    <w:rsid w:val="006C7F75"/>
    <w:rsid w:val="006D65E8"/>
    <w:rsid w:val="006E26AF"/>
    <w:rsid w:val="006E3CE2"/>
    <w:rsid w:val="006E7854"/>
    <w:rsid w:val="006F1A60"/>
    <w:rsid w:val="006F2D54"/>
    <w:rsid w:val="006F68A7"/>
    <w:rsid w:val="006F6EAD"/>
    <w:rsid w:val="006F7393"/>
    <w:rsid w:val="0070224F"/>
    <w:rsid w:val="007040C6"/>
    <w:rsid w:val="00706FA0"/>
    <w:rsid w:val="007115F7"/>
    <w:rsid w:val="00720E04"/>
    <w:rsid w:val="0072446F"/>
    <w:rsid w:val="0072601C"/>
    <w:rsid w:val="00726D41"/>
    <w:rsid w:val="00730D06"/>
    <w:rsid w:val="007344C5"/>
    <w:rsid w:val="00735571"/>
    <w:rsid w:val="0073557D"/>
    <w:rsid w:val="00746056"/>
    <w:rsid w:val="007537F7"/>
    <w:rsid w:val="007573C8"/>
    <w:rsid w:val="00761C09"/>
    <w:rsid w:val="007702B6"/>
    <w:rsid w:val="00773B8C"/>
    <w:rsid w:val="00777FCD"/>
    <w:rsid w:val="007803F2"/>
    <w:rsid w:val="007834C0"/>
    <w:rsid w:val="00784B5B"/>
    <w:rsid w:val="00785689"/>
    <w:rsid w:val="00785EE9"/>
    <w:rsid w:val="007928E0"/>
    <w:rsid w:val="0079754B"/>
    <w:rsid w:val="00797DC1"/>
    <w:rsid w:val="007A1E6D"/>
    <w:rsid w:val="007A2907"/>
    <w:rsid w:val="007B0E3B"/>
    <w:rsid w:val="007B61AE"/>
    <w:rsid w:val="007D3846"/>
    <w:rsid w:val="007D66F4"/>
    <w:rsid w:val="007E7B91"/>
    <w:rsid w:val="007F7D51"/>
    <w:rsid w:val="008000C1"/>
    <w:rsid w:val="00806958"/>
    <w:rsid w:val="008222C3"/>
    <w:rsid w:val="00822CE0"/>
    <w:rsid w:val="00834AA1"/>
    <w:rsid w:val="00837C62"/>
    <w:rsid w:val="00841AB1"/>
    <w:rsid w:val="0084567A"/>
    <w:rsid w:val="00845AC0"/>
    <w:rsid w:val="0084763B"/>
    <w:rsid w:val="00852A3F"/>
    <w:rsid w:val="008557BA"/>
    <w:rsid w:val="00864029"/>
    <w:rsid w:val="0087263C"/>
    <w:rsid w:val="00873657"/>
    <w:rsid w:val="00876280"/>
    <w:rsid w:val="00886999"/>
    <w:rsid w:val="00894143"/>
    <w:rsid w:val="008945C2"/>
    <w:rsid w:val="008A2E7D"/>
    <w:rsid w:val="008C0496"/>
    <w:rsid w:val="008C09E4"/>
    <w:rsid w:val="008C22FD"/>
    <w:rsid w:val="008D06A5"/>
    <w:rsid w:val="008D1AC0"/>
    <w:rsid w:val="008D3067"/>
    <w:rsid w:val="008D7588"/>
    <w:rsid w:val="008E1CCA"/>
    <w:rsid w:val="008E40C6"/>
    <w:rsid w:val="008F3E9B"/>
    <w:rsid w:val="008F47FB"/>
    <w:rsid w:val="008F556F"/>
    <w:rsid w:val="009028FD"/>
    <w:rsid w:val="00910F12"/>
    <w:rsid w:val="009200E7"/>
    <w:rsid w:val="0092013A"/>
    <w:rsid w:val="00926503"/>
    <w:rsid w:val="009275F3"/>
    <w:rsid w:val="00930ECF"/>
    <w:rsid w:val="00933218"/>
    <w:rsid w:val="00933951"/>
    <w:rsid w:val="00934D0A"/>
    <w:rsid w:val="00944AC6"/>
    <w:rsid w:val="00944B12"/>
    <w:rsid w:val="009463B9"/>
    <w:rsid w:val="009519D9"/>
    <w:rsid w:val="00954CA0"/>
    <w:rsid w:val="00954E66"/>
    <w:rsid w:val="00955279"/>
    <w:rsid w:val="009665B6"/>
    <w:rsid w:val="009732EE"/>
    <w:rsid w:val="00983593"/>
    <w:rsid w:val="009838BC"/>
    <w:rsid w:val="00985408"/>
    <w:rsid w:val="009859FA"/>
    <w:rsid w:val="00993C29"/>
    <w:rsid w:val="009A43DF"/>
    <w:rsid w:val="009A6155"/>
    <w:rsid w:val="009B6F75"/>
    <w:rsid w:val="009C4F22"/>
    <w:rsid w:val="009C773A"/>
    <w:rsid w:val="009D15F9"/>
    <w:rsid w:val="009D18B7"/>
    <w:rsid w:val="009D245C"/>
    <w:rsid w:val="009D3311"/>
    <w:rsid w:val="009D3A6C"/>
    <w:rsid w:val="009E440C"/>
    <w:rsid w:val="009E79EE"/>
    <w:rsid w:val="009F2D4C"/>
    <w:rsid w:val="00A06460"/>
    <w:rsid w:val="00A17E28"/>
    <w:rsid w:val="00A24083"/>
    <w:rsid w:val="00A262DE"/>
    <w:rsid w:val="00A26B73"/>
    <w:rsid w:val="00A408A6"/>
    <w:rsid w:val="00A42940"/>
    <w:rsid w:val="00A45711"/>
    <w:rsid w:val="00A45F4F"/>
    <w:rsid w:val="00A50704"/>
    <w:rsid w:val="00A517FC"/>
    <w:rsid w:val="00A600A9"/>
    <w:rsid w:val="00A643FD"/>
    <w:rsid w:val="00A653F0"/>
    <w:rsid w:val="00A70B8A"/>
    <w:rsid w:val="00A76574"/>
    <w:rsid w:val="00A866AC"/>
    <w:rsid w:val="00A87A4A"/>
    <w:rsid w:val="00A92CE0"/>
    <w:rsid w:val="00A92EEB"/>
    <w:rsid w:val="00A944A2"/>
    <w:rsid w:val="00A94E81"/>
    <w:rsid w:val="00AA55B7"/>
    <w:rsid w:val="00AA5B9E"/>
    <w:rsid w:val="00AB2407"/>
    <w:rsid w:val="00AB494A"/>
    <w:rsid w:val="00AB53DF"/>
    <w:rsid w:val="00AC69AE"/>
    <w:rsid w:val="00AD51FA"/>
    <w:rsid w:val="00AE1432"/>
    <w:rsid w:val="00AE4151"/>
    <w:rsid w:val="00AE50BE"/>
    <w:rsid w:val="00AF0373"/>
    <w:rsid w:val="00B061AC"/>
    <w:rsid w:val="00B06480"/>
    <w:rsid w:val="00B07114"/>
    <w:rsid w:val="00B07E5C"/>
    <w:rsid w:val="00B106E1"/>
    <w:rsid w:val="00B20363"/>
    <w:rsid w:val="00B3222F"/>
    <w:rsid w:val="00B326E3"/>
    <w:rsid w:val="00B417AD"/>
    <w:rsid w:val="00B4432B"/>
    <w:rsid w:val="00B46898"/>
    <w:rsid w:val="00B6081D"/>
    <w:rsid w:val="00B673CA"/>
    <w:rsid w:val="00B73C0C"/>
    <w:rsid w:val="00B758DE"/>
    <w:rsid w:val="00B7729A"/>
    <w:rsid w:val="00B80486"/>
    <w:rsid w:val="00B811F7"/>
    <w:rsid w:val="00B915AE"/>
    <w:rsid w:val="00BA14DC"/>
    <w:rsid w:val="00BA5DC6"/>
    <w:rsid w:val="00BA6196"/>
    <w:rsid w:val="00BA6B60"/>
    <w:rsid w:val="00BC03A6"/>
    <w:rsid w:val="00BC1188"/>
    <w:rsid w:val="00BC3B6A"/>
    <w:rsid w:val="00BC6D8C"/>
    <w:rsid w:val="00BD5E79"/>
    <w:rsid w:val="00BD6A37"/>
    <w:rsid w:val="00BD7DB3"/>
    <w:rsid w:val="00BE7D68"/>
    <w:rsid w:val="00BF153D"/>
    <w:rsid w:val="00BF5D07"/>
    <w:rsid w:val="00C01CD4"/>
    <w:rsid w:val="00C061D9"/>
    <w:rsid w:val="00C07140"/>
    <w:rsid w:val="00C07E70"/>
    <w:rsid w:val="00C141E3"/>
    <w:rsid w:val="00C16AF2"/>
    <w:rsid w:val="00C20838"/>
    <w:rsid w:val="00C25CE8"/>
    <w:rsid w:val="00C31830"/>
    <w:rsid w:val="00C3250D"/>
    <w:rsid w:val="00C34006"/>
    <w:rsid w:val="00C370A8"/>
    <w:rsid w:val="00C426B1"/>
    <w:rsid w:val="00C46044"/>
    <w:rsid w:val="00C520C2"/>
    <w:rsid w:val="00C55481"/>
    <w:rsid w:val="00C55E93"/>
    <w:rsid w:val="00C57140"/>
    <w:rsid w:val="00C61584"/>
    <w:rsid w:val="00C63365"/>
    <w:rsid w:val="00C7200D"/>
    <w:rsid w:val="00C7708A"/>
    <w:rsid w:val="00C82B6B"/>
    <w:rsid w:val="00C90D6A"/>
    <w:rsid w:val="00C91350"/>
    <w:rsid w:val="00C91E53"/>
    <w:rsid w:val="00C92339"/>
    <w:rsid w:val="00C929C8"/>
    <w:rsid w:val="00C93C3E"/>
    <w:rsid w:val="00C956DC"/>
    <w:rsid w:val="00C975A4"/>
    <w:rsid w:val="00CA3F4E"/>
    <w:rsid w:val="00CA55DF"/>
    <w:rsid w:val="00CB0B1D"/>
    <w:rsid w:val="00CB2DB7"/>
    <w:rsid w:val="00CB37E3"/>
    <w:rsid w:val="00CB56AF"/>
    <w:rsid w:val="00CC0080"/>
    <w:rsid w:val="00CC70DF"/>
    <w:rsid w:val="00CC72B6"/>
    <w:rsid w:val="00CD3936"/>
    <w:rsid w:val="00CD4B1B"/>
    <w:rsid w:val="00CE323A"/>
    <w:rsid w:val="00CE7171"/>
    <w:rsid w:val="00CF2295"/>
    <w:rsid w:val="00CF4FEA"/>
    <w:rsid w:val="00CF6E7F"/>
    <w:rsid w:val="00CF6EDB"/>
    <w:rsid w:val="00D00426"/>
    <w:rsid w:val="00D0218D"/>
    <w:rsid w:val="00D04FC9"/>
    <w:rsid w:val="00D159EC"/>
    <w:rsid w:val="00D216CD"/>
    <w:rsid w:val="00D3040B"/>
    <w:rsid w:val="00D4352D"/>
    <w:rsid w:val="00D43C87"/>
    <w:rsid w:val="00D50180"/>
    <w:rsid w:val="00D506C4"/>
    <w:rsid w:val="00D52CB3"/>
    <w:rsid w:val="00D626F3"/>
    <w:rsid w:val="00D62E62"/>
    <w:rsid w:val="00D64369"/>
    <w:rsid w:val="00D70066"/>
    <w:rsid w:val="00D77A76"/>
    <w:rsid w:val="00D8294E"/>
    <w:rsid w:val="00D843E3"/>
    <w:rsid w:val="00D85231"/>
    <w:rsid w:val="00D92128"/>
    <w:rsid w:val="00D954DF"/>
    <w:rsid w:val="00DA2529"/>
    <w:rsid w:val="00DA53B5"/>
    <w:rsid w:val="00DB0754"/>
    <w:rsid w:val="00DB130A"/>
    <w:rsid w:val="00DB3AEA"/>
    <w:rsid w:val="00DB54CA"/>
    <w:rsid w:val="00DB773E"/>
    <w:rsid w:val="00DC10A1"/>
    <w:rsid w:val="00DC655F"/>
    <w:rsid w:val="00DC6B1F"/>
    <w:rsid w:val="00DC7055"/>
    <w:rsid w:val="00DD1A3C"/>
    <w:rsid w:val="00DD2374"/>
    <w:rsid w:val="00DD2D47"/>
    <w:rsid w:val="00DD317B"/>
    <w:rsid w:val="00DD78C4"/>
    <w:rsid w:val="00DD7EBD"/>
    <w:rsid w:val="00DE1296"/>
    <w:rsid w:val="00DE19D4"/>
    <w:rsid w:val="00DE2BD2"/>
    <w:rsid w:val="00DE6F2C"/>
    <w:rsid w:val="00DF1B24"/>
    <w:rsid w:val="00DF3B91"/>
    <w:rsid w:val="00DF62B6"/>
    <w:rsid w:val="00E07225"/>
    <w:rsid w:val="00E07C39"/>
    <w:rsid w:val="00E144C9"/>
    <w:rsid w:val="00E155B7"/>
    <w:rsid w:val="00E15B4E"/>
    <w:rsid w:val="00E21718"/>
    <w:rsid w:val="00E2509B"/>
    <w:rsid w:val="00E26456"/>
    <w:rsid w:val="00E31B9F"/>
    <w:rsid w:val="00E43630"/>
    <w:rsid w:val="00E5409F"/>
    <w:rsid w:val="00E55AB6"/>
    <w:rsid w:val="00E5793B"/>
    <w:rsid w:val="00E662D1"/>
    <w:rsid w:val="00E70B16"/>
    <w:rsid w:val="00E713CD"/>
    <w:rsid w:val="00E72974"/>
    <w:rsid w:val="00E73330"/>
    <w:rsid w:val="00E7394C"/>
    <w:rsid w:val="00E74998"/>
    <w:rsid w:val="00E81C13"/>
    <w:rsid w:val="00E85058"/>
    <w:rsid w:val="00E85170"/>
    <w:rsid w:val="00E9069D"/>
    <w:rsid w:val="00EA4C89"/>
    <w:rsid w:val="00EB5C29"/>
    <w:rsid w:val="00EC0185"/>
    <w:rsid w:val="00EC1855"/>
    <w:rsid w:val="00EC2026"/>
    <w:rsid w:val="00EC43FD"/>
    <w:rsid w:val="00EC5845"/>
    <w:rsid w:val="00ED08F3"/>
    <w:rsid w:val="00ED0E2C"/>
    <w:rsid w:val="00ED14C5"/>
    <w:rsid w:val="00ED2B7F"/>
    <w:rsid w:val="00ED4A6D"/>
    <w:rsid w:val="00ED59E9"/>
    <w:rsid w:val="00EE153A"/>
    <w:rsid w:val="00EE1879"/>
    <w:rsid w:val="00EE34D7"/>
    <w:rsid w:val="00EF1FFC"/>
    <w:rsid w:val="00EF2D7A"/>
    <w:rsid w:val="00EF7821"/>
    <w:rsid w:val="00F021FA"/>
    <w:rsid w:val="00F04D3A"/>
    <w:rsid w:val="00F0747F"/>
    <w:rsid w:val="00F155AE"/>
    <w:rsid w:val="00F202CD"/>
    <w:rsid w:val="00F21CFB"/>
    <w:rsid w:val="00F26E6D"/>
    <w:rsid w:val="00F34EA5"/>
    <w:rsid w:val="00F37790"/>
    <w:rsid w:val="00F570B6"/>
    <w:rsid w:val="00F57ACA"/>
    <w:rsid w:val="00F616DC"/>
    <w:rsid w:val="00F62E97"/>
    <w:rsid w:val="00F64209"/>
    <w:rsid w:val="00F7391D"/>
    <w:rsid w:val="00F86E2B"/>
    <w:rsid w:val="00F90BCA"/>
    <w:rsid w:val="00F93BF5"/>
    <w:rsid w:val="00F96F63"/>
    <w:rsid w:val="00FA168C"/>
    <w:rsid w:val="00FA1F0A"/>
    <w:rsid w:val="00FB059D"/>
    <w:rsid w:val="00FC565D"/>
    <w:rsid w:val="00FD7898"/>
    <w:rsid w:val="00FE1367"/>
    <w:rsid w:val="00FE5E5D"/>
    <w:rsid w:val="00FF3A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470A81"/>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locked/>
    <w:rsid w:val="00470A81"/>
  </w:style>
  <w:style w:type="character" w:styleId="Emphasis">
    <w:name w:val="Emphasis"/>
    <w:uiPriority w:val="20"/>
    <w:qFormat/>
    <w:rsid w:val="00470A81"/>
    <w:rPr>
      <w:i/>
      <w:iCs/>
    </w:rPr>
  </w:style>
  <w:style w:type="paragraph" w:styleId="BalloonText">
    <w:name w:val="Balloon Text"/>
    <w:basedOn w:val="Normal"/>
    <w:link w:val="BalloonTextChar"/>
    <w:uiPriority w:val="99"/>
    <w:semiHidden/>
    <w:unhideWhenUsed/>
    <w:rsid w:val="0043438C"/>
    <w:rPr>
      <w:rFonts w:ascii="Segoe UI" w:hAnsi="Segoe UI" w:cs="Segoe UI"/>
      <w:sz w:val="18"/>
      <w:szCs w:val="18"/>
    </w:rPr>
  </w:style>
  <w:style w:type="character" w:customStyle="1" w:styleId="BalloonTextChar">
    <w:name w:val="Balloon Text Char"/>
    <w:link w:val="BalloonText"/>
    <w:uiPriority w:val="99"/>
    <w:semiHidden/>
    <w:rsid w:val="0043438C"/>
    <w:rPr>
      <w:rFonts w:ascii="Segoe UI" w:hAnsi="Segoe UI" w:cs="Segoe UI"/>
      <w:snapToGrid w:val="0"/>
      <w:kern w:val="28"/>
      <w:sz w:val="18"/>
      <w:szCs w:val="18"/>
    </w:rPr>
  </w:style>
  <w:style w:type="paragraph" w:styleId="Revision">
    <w:name w:val="Revision"/>
    <w:hidden/>
    <w:uiPriority w:val="99"/>
    <w:semiHidden/>
    <w:rsid w:val="00FE1367"/>
    <w:rPr>
      <w:snapToGrid w:val="0"/>
      <w:kern w:val="28"/>
      <w:sz w:val="22"/>
    </w:rPr>
  </w:style>
  <w:style w:type="character" w:styleId="CommentReference">
    <w:name w:val="annotation reference"/>
    <w:basedOn w:val="DefaultParagraphFont"/>
    <w:uiPriority w:val="99"/>
    <w:semiHidden/>
    <w:unhideWhenUsed/>
    <w:rsid w:val="003C48D5"/>
    <w:rPr>
      <w:sz w:val="16"/>
      <w:szCs w:val="16"/>
    </w:rPr>
  </w:style>
  <w:style w:type="paragraph" w:styleId="CommentText">
    <w:name w:val="annotation text"/>
    <w:basedOn w:val="Normal"/>
    <w:link w:val="CommentTextChar"/>
    <w:uiPriority w:val="99"/>
    <w:semiHidden/>
    <w:unhideWhenUsed/>
    <w:rsid w:val="003C48D5"/>
    <w:rPr>
      <w:sz w:val="20"/>
    </w:rPr>
  </w:style>
  <w:style w:type="character" w:customStyle="1" w:styleId="CommentTextChar">
    <w:name w:val="Comment Text Char"/>
    <w:basedOn w:val="DefaultParagraphFont"/>
    <w:link w:val="CommentText"/>
    <w:uiPriority w:val="99"/>
    <w:semiHidden/>
    <w:rsid w:val="003C48D5"/>
    <w:rPr>
      <w:snapToGrid w:val="0"/>
      <w:kern w:val="28"/>
    </w:rPr>
  </w:style>
  <w:style w:type="paragraph" w:styleId="CommentSubject">
    <w:name w:val="annotation subject"/>
    <w:basedOn w:val="CommentText"/>
    <w:next w:val="CommentText"/>
    <w:link w:val="CommentSubjectChar"/>
    <w:uiPriority w:val="99"/>
    <w:semiHidden/>
    <w:unhideWhenUsed/>
    <w:rsid w:val="003C48D5"/>
    <w:rPr>
      <w:b/>
      <w:bCs/>
    </w:rPr>
  </w:style>
  <w:style w:type="character" w:customStyle="1" w:styleId="CommentSubjectChar">
    <w:name w:val="Comment Subject Char"/>
    <w:basedOn w:val="CommentTextChar"/>
    <w:link w:val="CommentSubject"/>
    <w:uiPriority w:val="99"/>
    <w:semiHidden/>
    <w:rsid w:val="003C48D5"/>
    <w:rPr>
      <w:b/>
      <w:bCs/>
      <w:snapToGrid w:val="0"/>
      <w:kern w:val="28"/>
    </w:rPr>
  </w:style>
  <w:style w:type="paragraph" w:styleId="ListParagraph">
    <w:name w:val="List Paragraph"/>
    <w:basedOn w:val="Normal"/>
    <w:uiPriority w:val="34"/>
    <w:qFormat/>
    <w:rsid w:val="00A9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