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C76D7A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63CD22E" w14:textId="77777777">
      <w:pPr>
        <w:pStyle w:val="StyleBoldCentered"/>
      </w:pPr>
      <w:r>
        <w:t>F</w:t>
      </w:r>
      <w:r>
        <w:rPr>
          <w:caps w:val="0"/>
        </w:rPr>
        <w:t>ederal Communications Commission</w:t>
      </w:r>
    </w:p>
    <w:p w:rsidR="004C2EE3" w:rsidP="00096D8C" w14:paraId="6657E961" w14:textId="77777777">
      <w:pPr>
        <w:pStyle w:val="StyleBoldCentered"/>
      </w:pPr>
      <w:r>
        <w:rPr>
          <w:caps w:val="0"/>
        </w:rPr>
        <w:t>Washington, D.C. 20554</w:t>
      </w:r>
    </w:p>
    <w:p w:rsidR="004C2EE3" w:rsidP="0070224F" w14:paraId="55A110B1" w14:textId="77777777"/>
    <w:p w:rsidR="004C2EE3" w:rsidP="0070224F" w14:paraId="1F0A4A11" w14:textId="77777777"/>
    <w:tbl>
      <w:tblPr>
        <w:tblW w:w="13824" w:type="dxa"/>
        <w:tblLayout w:type="fixed"/>
        <w:tblLook w:val="0000"/>
      </w:tblPr>
      <w:tblGrid>
        <w:gridCol w:w="4698"/>
        <w:gridCol w:w="630"/>
        <w:gridCol w:w="4248"/>
        <w:gridCol w:w="4248"/>
      </w:tblGrid>
      <w:tr w14:paraId="486F4619" w14:textId="77777777" w:rsidTr="00AB3096">
        <w:tblPrEx>
          <w:tblW w:w="13824" w:type="dxa"/>
          <w:tblLayout w:type="fixed"/>
          <w:tblLook w:val="0000"/>
        </w:tblPrEx>
        <w:tc>
          <w:tcPr>
            <w:tcW w:w="4698" w:type="dxa"/>
          </w:tcPr>
          <w:p w:rsidR="00AB3096" w:rsidP="00AB3096" w14:paraId="68C83A00" w14:textId="77777777">
            <w:pPr>
              <w:tabs>
                <w:tab w:val="center" w:pos="4680"/>
              </w:tabs>
              <w:suppressAutoHyphens/>
              <w:rPr>
                <w:spacing w:val="-2"/>
              </w:rPr>
            </w:pPr>
            <w:r>
              <w:rPr>
                <w:spacing w:val="-2"/>
              </w:rPr>
              <w:t>In the Matter of</w:t>
            </w:r>
          </w:p>
          <w:p w:rsidR="00AB3096" w:rsidP="00AB3096" w14:paraId="64660B4F" w14:textId="77777777">
            <w:pPr>
              <w:tabs>
                <w:tab w:val="center" w:pos="4680"/>
              </w:tabs>
              <w:suppressAutoHyphens/>
              <w:rPr>
                <w:spacing w:val="-2"/>
              </w:rPr>
            </w:pPr>
          </w:p>
          <w:p w:rsidR="00AB3096" w:rsidRPr="003031DC" w:rsidP="00AB3096" w14:paraId="4370855B" w14:textId="77777777">
            <w:r w:rsidRPr="003031DC">
              <w:t xml:space="preserve">BellSouth Telecommunications, LLC </w:t>
            </w:r>
          </w:p>
          <w:p w:rsidR="00AB3096" w:rsidRPr="003031DC" w:rsidP="00AB3096" w14:paraId="4EB8CCFF" w14:textId="77777777">
            <w:r w:rsidRPr="003031DC">
              <w:t>d/b/a AT&amp;T Florida,</w:t>
            </w:r>
          </w:p>
          <w:p w:rsidR="00AB3096" w:rsidRPr="003031DC" w:rsidP="00AB3096" w14:paraId="229D43C8" w14:textId="77777777"/>
          <w:p w:rsidR="00AB3096" w:rsidRPr="003031DC" w:rsidP="00AB3096" w14:paraId="063E0DC7" w14:textId="77777777">
            <w:r w:rsidRPr="003031DC">
              <w:t xml:space="preserve">                         Complainant,</w:t>
            </w:r>
          </w:p>
          <w:p w:rsidR="00AB3096" w:rsidRPr="003031DC" w:rsidP="00AB3096" w14:paraId="15A32EA9" w14:textId="77777777"/>
          <w:p w:rsidR="00AB3096" w:rsidRPr="003031DC" w:rsidP="00AB3096" w14:paraId="3041D90B" w14:textId="77777777">
            <w:r w:rsidRPr="003031DC">
              <w:t xml:space="preserve">       v.</w:t>
            </w:r>
          </w:p>
          <w:p w:rsidR="00AB3096" w:rsidRPr="003031DC" w:rsidP="00AB3096" w14:paraId="6930580E" w14:textId="77777777"/>
          <w:p w:rsidR="00AB3096" w:rsidRPr="003031DC" w:rsidP="00AB3096" w14:paraId="7EAF01D9" w14:textId="77777777">
            <w:r w:rsidRPr="003031DC">
              <w:t>Florida Power &amp; Light Company,</w:t>
            </w:r>
          </w:p>
          <w:p w:rsidR="00AB3096" w:rsidRPr="003031DC" w:rsidP="00AB3096" w14:paraId="1AE6F033" w14:textId="77777777">
            <w:pPr>
              <w:tabs>
                <w:tab w:val="center" w:pos="4680"/>
              </w:tabs>
              <w:suppressAutoHyphens/>
            </w:pPr>
          </w:p>
          <w:p w:rsidR="00AB3096" w:rsidRPr="007115F7" w:rsidP="00AB3096" w14:paraId="39CCB276" w14:textId="28998C80">
            <w:pPr>
              <w:tabs>
                <w:tab w:val="center" w:pos="4680"/>
              </w:tabs>
              <w:suppressAutoHyphens/>
              <w:rPr>
                <w:spacing w:val="-2"/>
              </w:rPr>
            </w:pPr>
            <w:r w:rsidRPr="003031DC">
              <w:t xml:space="preserve">                         Defendant.</w:t>
            </w:r>
          </w:p>
        </w:tc>
        <w:tc>
          <w:tcPr>
            <w:tcW w:w="630" w:type="dxa"/>
          </w:tcPr>
          <w:p w:rsidR="00AB3096" w:rsidP="00AB3096" w14:paraId="7CE72DC2" w14:textId="77777777">
            <w:pPr>
              <w:tabs>
                <w:tab w:val="center" w:pos="4680"/>
              </w:tabs>
              <w:suppressAutoHyphens/>
              <w:rPr>
                <w:b/>
                <w:spacing w:val="-2"/>
              </w:rPr>
            </w:pPr>
            <w:r>
              <w:rPr>
                <w:b/>
                <w:spacing w:val="-2"/>
              </w:rPr>
              <w:t>)</w:t>
            </w:r>
          </w:p>
          <w:p w:rsidR="00AB3096" w:rsidP="00AB3096" w14:paraId="4BD363F6" w14:textId="77777777">
            <w:pPr>
              <w:tabs>
                <w:tab w:val="center" w:pos="4680"/>
              </w:tabs>
              <w:suppressAutoHyphens/>
              <w:rPr>
                <w:b/>
                <w:spacing w:val="-2"/>
              </w:rPr>
            </w:pPr>
            <w:r>
              <w:rPr>
                <w:b/>
                <w:spacing w:val="-2"/>
              </w:rPr>
              <w:t>)</w:t>
            </w:r>
          </w:p>
          <w:p w:rsidR="00AB3096" w:rsidP="00AB3096" w14:paraId="07AEB135" w14:textId="77777777">
            <w:pPr>
              <w:tabs>
                <w:tab w:val="center" w:pos="4680"/>
              </w:tabs>
              <w:suppressAutoHyphens/>
              <w:rPr>
                <w:b/>
                <w:spacing w:val="-2"/>
              </w:rPr>
            </w:pPr>
            <w:r>
              <w:rPr>
                <w:b/>
                <w:spacing w:val="-2"/>
              </w:rPr>
              <w:t>)</w:t>
            </w:r>
          </w:p>
          <w:p w:rsidR="00AB3096" w:rsidP="00AB3096" w14:paraId="53D0F3C0" w14:textId="77777777">
            <w:pPr>
              <w:tabs>
                <w:tab w:val="center" w:pos="4680"/>
              </w:tabs>
              <w:suppressAutoHyphens/>
              <w:rPr>
                <w:b/>
                <w:spacing w:val="-2"/>
              </w:rPr>
            </w:pPr>
            <w:r>
              <w:rPr>
                <w:b/>
                <w:spacing w:val="-2"/>
              </w:rPr>
              <w:t>)</w:t>
            </w:r>
          </w:p>
          <w:p w:rsidR="00AB3096" w:rsidP="00AB3096" w14:paraId="1224011E" w14:textId="77777777">
            <w:pPr>
              <w:tabs>
                <w:tab w:val="center" w:pos="4680"/>
              </w:tabs>
              <w:suppressAutoHyphens/>
              <w:rPr>
                <w:b/>
                <w:spacing w:val="-2"/>
              </w:rPr>
            </w:pPr>
            <w:r>
              <w:rPr>
                <w:b/>
                <w:spacing w:val="-2"/>
              </w:rPr>
              <w:t>)</w:t>
            </w:r>
          </w:p>
          <w:p w:rsidR="00AB3096" w:rsidP="00AB3096" w14:paraId="0A4B92C0" w14:textId="77777777">
            <w:pPr>
              <w:tabs>
                <w:tab w:val="center" w:pos="4680"/>
              </w:tabs>
              <w:suppressAutoHyphens/>
              <w:rPr>
                <w:b/>
                <w:spacing w:val="-2"/>
              </w:rPr>
            </w:pPr>
            <w:r>
              <w:rPr>
                <w:b/>
                <w:spacing w:val="-2"/>
              </w:rPr>
              <w:t>)</w:t>
            </w:r>
          </w:p>
          <w:p w:rsidR="00AB3096" w:rsidP="00AB3096" w14:paraId="104981BB" w14:textId="77777777">
            <w:pPr>
              <w:tabs>
                <w:tab w:val="center" w:pos="4680"/>
              </w:tabs>
              <w:suppressAutoHyphens/>
              <w:rPr>
                <w:b/>
                <w:spacing w:val="-2"/>
              </w:rPr>
            </w:pPr>
            <w:r>
              <w:rPr>
                <w:b/>
                <w:spacing w:val="-2"/>
              </w:rPr>
              <w:t>)</w:t>
            </w:r>
          </w:p>
          <w:p w:rsidR="00AB3096" w:rsidP="00AB3096" w14:paraId="6F029C53" w14:textId="77777777">
            <w:pPr>
              <w:tabs>
                <w:tab w:val="center" w:pos="4680"/>
              </w:tabs>
              <w:suppressAutoHyphens/>
              <w:rPr>
                <w:b/>
                <w:spacing w:val="-2"/>
              </w:rPr>
            </w:pPr>
            <w:r>
              <w:rPr>
                <w:b/>
                <w:spacing w:val="-2"/>
              </w:rPr>
              <w:t>)</w:t>
            </w:r>
          </w:p>
          <w:p w:rsidR="00AB3096" w:rsidP="00AB3096" w14:paraId="31B738A8" w14:textId="77777777">
            <w:pPr>
              <w:tabs>
                <w:tab w:val="center" w:pos="4680"/>
              </w:tabs>
              <w:suppressAutoHyphens/>
              <w:rPr>
                <w:b/>
                <w:spacing w:val="-2"/>
              </w:rPr>
            </w:pPr>
            <w:r>
              <w:rPr>
                <w:b/>
                <w:spacing w:val="-2"/>
              </w:rPr>
              <w:t>)</w:t>
            </w:r>
          </w:p>
          <w:p w:rsidR="00AB3096" w:rsidP="00AB3096" w14:paraId="3EF395C4" w14:textId="77777777">
            <w:pPr>
              <w:tabs>
                <w:tab w:val="center" w:pos="4680"/>
              </w:tabs>
              <w:suppressAutoHyphens/>
              <w:rPr>
                <w:b/>
                <w:spacing w:val="-2"/>
              </w:rPr>
            </w:pPr>
            <w:r>
              <w:rPr>
                <w:b/>
                <w:spacing w:val="-2"/>
              </w:rPr>
              <w:t>)</w:t>
            </w:r>
          </w:p>
          <w:p w:rsidR="00AB3096" w:rsidP="00AB3096" w14:paraId="2FBC2586" w14:textId="77777777">
            <w:pPr>
              <w:tabs>
                <w:tab w:val="center" w:pos="4680"/>
              </w:tabs>
              <w:suppressAutoHyphens/>
              <w:rPr>
                <w:b/>
                <w:spacing w:val="-2"/>
              </w:rPr>
            </w:pPr>
            <w:r>
              <w:rPr>
                <w:b/>
                <w:spacing w:val="-2"/>
              </w:rPr>
              <w:t>)</w:t>
            </w:r>
          </w:p>
          <w:p w:rsidR="00AB3096" w:rsidP="00AB3096" w14:paraId="52342199" w14:textId="5FF84DAF">
            <w:pPr>
              <w:tabs>
                <w:tab w:val="center" w:pos="4680"/>
              </w:tabs>
              <w:suppressAutoHyphens/>
              <w:rPr>
                <w:spacing w:val="-2"/>
              </w:rPr>
            </w:pPr>
            <w:r>
              <w:rPr>
                <w:b/>
                <w:spacing w:val="-2"/>
              </w:rPr>
              <w:t>)</w:t>
            </w:r>
          </w:p>
        </w:tc>
        <w:tc>
          <w:tcPr>
            <w:tcW w:w="4248" w:type="dxa"/>
          </w:tcPr>
          <w:p w:rsidR="00AB3096" w:rsidRPr="003031DC" w:rsidP="00AB3096" w14:paraId="7D749E36" w14:textId="77777777">
            <w:r w:rsidRPr="003031DC">
              <w:t>Proceeding No. 20-214</w:t>
            </w:r>
          </w:p>
          <w:p w:rsidR="00AB3096" w:rsidP="00AB3096" w14:paraId="7DE6811D" w14:textId="77777777">
            <w:pPr>
              <w:tabs>
                <w:tab w:val="center" w:pos="4680"/>
              </w:tabs>
              <w:suppressAutoHyphens/>
              <w:rPr>
                <w:spacing w:val="-2"/>
              </w:rPr>
            </w:pPr>
            <w:r w:rsidRPr="003031DC">
              <w:t>Bureau ID No. EB-20-MD-002</w:t>
            </w:r>
          </w:p>
          <w:p w:rsidR="00AB3096" w:rsidP="00AB3096" w14:paraId="0EF42D59" w14:textId="77777777">
            <w:pPr>
              <w:pStyle w:val="TOAHeading"/>
              <w:tabs>
                <w:tab w:val="center" w:pos="4680"/>
                <w:tab w:val="clear" w:pos="9360"/>
              </w:tabs>
              <w:rPr>
                <w:spacing w:val="-2"/>
              </w:rPr>
            </w:pPr>
          </w:p>
          <w:p w:rsidR="00AB3096" w:rsidP="00AB3096" w14:paraId="52011037" w14:textId="77777777">
            <w:pPr>
              <w:tabs>
                <w:tab w:val="center" w:pos="4680"/>
              </w:tabs>
              <w:suppressAutoHyphens/>
              <w:rPr>
                <w:spacing w:val="-2"/>
              </w:rPr>
            </w:pPr>
          </w:p>
        </w:tc>
        <w:tc>
          <w:tcPr>
            <w:tcW w:w="4248" w:type="dxa"/>
          </w:tcPr>
          <w:p w:rsidR="00AB3096" w:rsidP="00AB3096" w14:paraId="34F9D7C1" w14:textId="1C71BA34">
            <w:pPr>
              <w:tabs>
                <w:tab w:val="center" w:pos="4680"/>
              </w:tabs>
              <w:suppressAutoHyphens/>
              <w:rPr>
                <w:spacing w:val="-2"/>
              </w:rPr>
            </w:pPr>
          </w:p>
          <w:p w:rsidR="00AB3096" w:rsidP="00AB3096" w14:paraId="6FD6D38A" w14:textId="77777777">
            <w:pPr>
              <w:pStyle w:val="TOAHeading"/>
              <w:tabs>
                <w:tab w:val="center" w:pos="4680"/>
                <w:tab w:val="clear" w:pos="9360"/>
              </w:tabs>
              <w:rPr>
                <w:spacing w:val="-2"/>
              </w:rPr>
            </w:pPr>
          </w:p>
          <w:p w:rsidR="00AB3096" w:rsidP="00AB3096" w14:paraId="1F7E3977" w14:textId="03B94B0F">
            <w:pPr>
              <w:tabs>
                <w:tab w:val="center" w:pos="4680"/>
              </w:tabs>
              <w:suppressAutoHyphens/>
              <w:rPr>
                <w:spacing w:val="-2"/>
              </w:rPr>
            </w:pPr>
          </w:p>
        </w:tc>
      </w:tr>
    </w:tbl>
    <w:p w:rsidR="004C2EE3" w:rsidP="0070224F" w14:paraId="6FE10BF0" w14:textId="77777777"/>
    <w:p w:rsidR="00AB3096" w:rsidRPr="003031DC" w:rsidP="00AB3096" w14:paraId="0E98437A" w14:textId="77777777">
      <w:pPr>
        <w:pStyle w:val="StyleBoldCentered"/>
        <w:rPr>
          <w:rFonts w:ascii="Times New Roman" w:hAnsi="Times New Roman"/>
        </w:rPr>
      </w:pPr>
      <w:r w:rsidRPr="003031DC">
        <w:rPr>
          <w:rFonts w:ascii="Times New Roman" w:hAnsi="Times New Roman"/>
        </w:rPr>
        <w:t>memorandum opinion and order</w:t>
      </w:r>
    </w:p>
    <w:p w:rsidR="004C2EE3" w14:paraId="7220EEEB" w14:textId="77777777">
      <w:pPr>
        <w:tabs>
          <w:tab w:val="left" w:pos="-720"/>
        </w:tabs>
        <w:suppressAutoHyphens/>
        <w:spacing w:line="227" w:lineRule="auto"/>
        <w:rPr>
          <w:spacing w:val="-2"/>
        </w:rPr>
      </w:pPr>
    </w:p>
    <w:p w:rsidR="004C2EE3" w:rsidP="00133F79" w14:paraId="747A9BAA" w14:textId="2E8B9639">
      <w:pPr>
        <w:tabs>
          <w:tab w:val="left" w:pos="720"/>
          <w:tab w:val="right" w:pos="9360"/>
        </w:tabs>
        <w:suppressAutoHyphens/>
        <w:spacing w:line="227" w:lineRule="auto"/>
        <w:rPr>
          <w:spacing w:val="-2"/>
        </w:rPr>
      </w:pPr>
      <w:r>
        <w:rPr>
          <w:b/>
          <w:spacing w:val="-2"/>
        </w:rPr>
        <w:t xml:space="preserve">Adopted:  </w:t>
      </w:r>
      <w:r w:rsidR="0077565D">
        <w:rPr>
          <w:b/>
          <w:spacing w:val="-2"/>
        </w:rPr>
        <w:t>August 16,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7565D">
        <w:rPr>
          <w:b/>
          <w:spacing w:val="-2"/>
        </w:rPr>
        <w:t>August 16, 2021</w:t>
      </w:r>
    </w:p>
    <w:p w:rsidR="00822CE0" w14:paraId="1EB2B0FC" w14:textId="77777777"/>
    <w:p w:rsidR="004C2EE3" w14:paraId="483C8080" w14:textId="57F72B29">
      <w:pPr>
        <w:rPr>
          <w:spacing w:val="-2"/>
        </w:rPr>
      </w:pPr>
      <w:r>
        <w:t xml:space="preserve">By </w:t>
      </w:r>
      <w:r w:rsidR="004E4A22">
        <w:t>the</w:t>
      </w:r>
      <w:r w:rsidR="00AB3096">
        <w:t xml:space="preserve"> </w:t>
      </w:r>
      <w:r w:rsidR="00AB3096">
        <w:rPr>
          <w:spacing w:val="-2"/>
        </w:rPr>
        <w:t>Chief, Enforcement Bureau:</w:t>
      </w:r>
    </w:p>
    <w:p w:rsidR="00822CE0" w14:paraId="541A76E1" w14:textId="77777777">
      <w:pPr>
        <w:rPr>
          <w:spacing w:val="-2"/>
        </w:rPr>
      </w:pPr>
    </w:p>
    <w:p w:rsidR="00AB3096" w:rsidP="00AB3096" w14:paraId="00AE15B0" w14:textId="77777777">
      <w:pPr>
        <w:pStyle w:val="Heading1"/>
      </w:pPr>
      <w:r>
        <w:t>introduction</w:t>
      </w:r>
    </w:p>
    <w:p w:rsidR="00AB3096" w:rsidP="00AB3096" w14:paraId="3182B1F1" w14:textId="17CFB167">
      <w:pPr>
        <w:pStyle w:val="ParaNum"/>
      </w:pPr>
      <w:bookmarkStart w:id="0" w:name="_Hlk57881003"/>
      <w:r>
        <w:t xml:space="preserve">This Memorandum Opinion and Order addresses the second of two related complaints that </w:t>
      </w:r>
      <w:r w:rsidRPr="1D1DEB0C">
        <w:t>BellSouth Telecommunications, LLC d/b/a AT&amp;T Florida</w:t>
      </w:r>
      <w:r>
        <w:t xml:space="preserve"> (AT&amp;T)</w:t>
      </w:r>
      <w:r w:rsidRPr="1D1DEB0C">
        <w:t xml:space="preserve">, an incumbent </w:t>
      </w:r>
      <w:r>
        <w:t xml:space="preserve">local exchange carrier (LEC) </w:t>
      </w:r>
      <w:r w:rsidRPr="1D1DEB0C">
        <w:t xml:space="preserve">in Florida, </w:t>
      </w:r>
      <w:r>
        <w:t xml:space="preserve">filed </w:t>
      </w:r>
      <w:r w:rsidRPr="1D1DEB0C">
        <w:t xml:space="preserve">against Florida Power </w:t>
      </w:r>
      <w:r>
        <w:t>&amp;</w:t>
      </w:r>
      <w:r w:rsidRPr="1D1DEB0C">
        <w:t xml:space="preserve"> Light Company</w:t>
      </w:r>
      <w:r>
        <w:t xml:space="preserve"> (FPL)</w:t>
      </w:r>
      <w:r w:rsidRPr="1D1DEB0C">
        <w:t>, an electric utility</w:t>
      </w:r>
      <w:r>
        <w:t>.  In its First Complaint,</w:t>
      </w:r>
      <w:r>
        <w:rPr>
          <w:rStyle w:val="FootnoteReference"/>
        </w:rPr>
        <w:footnoteReference w:id="3"/>
      </w:r>
      <w:r>
        <w:t xml:space="preserve"> which is still pending before the Commission, AT&amp;T </w:t>
      </w:r>
      <w:r w:rsidR="0008042D">
        <w:t xml:space="preserve">alleged </w:t>
      </w:r>
      <w:r>
        <w:t xml:space="preserve">that the rate it pays to attach its facilities to FPL’s poles under the parties’ joint use agreement (JUA) is </w:t>
      </w:r>
      <w:r w:rsidRPr="1D1DEB0C">
        <w:t>unjust and unreasonable</w:t>
      </w:r>
      <w:r>
        <w:t xml:space="preserve"> within the meaning of</w:t>
      </w:r>
      <w:r w:rsidRPr="00ED7E66">
        <w:t xml:space="preserve"> </w:t>
      </w:r>
      <w:r>
        <w:t>Section 224</w:t>
      </w:r>
      <w:r>
        <w:t xml:space="preserve">(b)(1) </w:t>
      </w:r>
      <w:r>
        <w:t>of the Telecommunications Act of 1934, as amended (Act)</w:t>
      </w:r>
      <w:r>
        <w:t>.</w:t>
      </w:r>
      <w:r>
        <w:rPr>
          <w:rStyle w:val="FootnoteReference"/>
        </w:rPr>
        <w:footnoteReference w:id="4"/>
      </w:r>
      <w:r w:rsidRPr="1D1DEB0C">
        <w:t xml:space="preserve">  </w:t>
      </w:r>
      <w:r>
        <w:t>In this Second Complaint, AT&amp;T alleges that two clauses in the JUA—a Payment Default Clause and a pole Abandonment Clause</w:t>
      </w:r>
      <w:bookmarkStart w:id="1" w:name="_Hlk78451279"/>
      <w:r>
        <w:t>—</w:t>
      </w:r>
      <w:bookmarkEnd w:id="1"/>
      <w:r>
        <w:t xml:space="preserve">and FPL’s implementation of those clauses are </w:t>
      </w:r>
      <w:r w:rsidRPr="1D1DEB0C">
        <w:t>unjust and unreasonable</w:t>
      </w:r>
      <w:r>
        <w:t xml:space="preserve"> within the meaning of Section 224(b)(1).</w:t>
      </w:r>
      <w:r>
        <w:rPr>
          <w:rStyle w:val="FootnoteReference"/>
        </w:rPr>
        <w:footnoteReference w:id="5"/>
      </w:r>
      <w:r w:rsidRPr="1D1DEB0C">
        <w:t xml:space="preserve">  </w:t>
      </w:r>
      <w:r>
        <w:t>We dismiss AT&amp;T’s Payment Default Clause claim with prejudice because we find that AT&amp;T violated the Commission’s rules by failing to assert the claim in its First Complaint.  We deny in part AT&amp;T’s Abandonment Clause claim.  Although we find that, properly construed, the clause is not unjust and unreasonable, we conclude that FPL’s practices with respect to the clause were unjust and unreasonable.</w:t>
      </w:r>
    </w:p>
    <w:p w:rsidR="00AB3096" w:rsidP="00AB3096" w14:paraId="7DF13C72" w14:textId="77777777">
      <w:pPr>
        <w:pStyle w:val="Heading1"/>
      </w:pPr>
      <w:r>
        <w:t>Background</w:t>
      </w:r>
    </w:p>
    <w:p w:rsidR="00AB3096" w:rsidP="00AB3096" w14:paraId="2AA8DB36" w14:textId="77777777">
      <w:pPr>
        <w:pStyle w:val="Heading2"/>
      </w:pPr>
      <w:r>
        <w:t>Legal Background</w:t>
      </w:r>
    </w:p>
    <w:p w:rsidR="00AB3096" w:rsidRPr="00301888" w:rsidP="00AB3096" w14:paraId="2AEE772B" w14:textId="77777777">
      <w:pPr>
        <w:pStyle w:val="ParaNum"/>
      </w:pPr>
      <w:bookmarkStart w:id="2" w:name="_Hlk69382154"/>
      <w:r w:rsidRPr="1D1DEB0C">
        <w:t>Section 224(b)(1) of the Act</w:t>
      </w:r>
      <w:r>
        <w:t xml:space="preserve"> </w:t>
      </w:r>
      <w:r w:rsidRPr="1D1DEB0C">
        <w:t xml:space="preserve">requires the </w:t>
      </w:r>
      <w:r w:rsidRPr="00634E95">
        <w:t>Commission</w:t>
      </w:r>
      <w:r w:rsidRPr="1D1DEB0C">
        <w:t xml:space="preserve"> to “regulate the rates, terms, and conditions for pole attachments to provide that such rates, terms, and conditions are just and reasonable</w:t>
      </w:r>
      <w:r>
        <w:t>.</w:t>
      </w:r>
      <w:r w:rsidRPr="1D1DEB0C">
        <w:t>”</w:t>
      </w:r>
      <w:r>
        <w:rPr>
          <w:rStyle w:val="FootnoteReference"/>
        </w:rPr>
        <w:footnoteReference w:id="6"/>
      </w:r>
      <w:r>
        <w:t xml:space="preserve">  </w:t>
      </w:r>
      <w:r w:rsidRPr="00292702">
        <w:rPr>
          <w:szCs w:val="22"/>
        </w:rPr>
        <w:t xml:space="preserve">In the </w:t>
      </w:r>
      <w:r w:rsidRPr="00292702">
        <w:rPr>
          <w:i/>
          <w:iCs/>
          <w:szCs w:val="22"/>
        </w:rPr>
        <w:t>2011 Pole Attachment Order</w:t>
      </w:r>
      <w:r w:rsidRPr="00292702">
        <w:rPr>
          <w:szCs w:val="22"/>
        </w:rPr>
        <w:t>, the Commission concluded for the first time that</w:t>
      </w:r>
      <w:r w:rsidRPr="1D1DEB0C">
        <w:t xml:space="preserve"> </w:t>
      </w:r>
      <w:r>
        <w:t xml:space="preserve">Section 224(b)(1) </w:t>
      </w:r>
      <w:r w:rsidRPr="00292702">
        <w:rPr>
          <w:szCs w:val="22"/>
        </w:rPr>
        <w:t>authorizes it to regulate pole attachment agreements</w:t>
      </w:r>
      <w:r>
        <w:rPr>
          <w:szCs w:val="22"/>
        </w:rPr>
        <w:t xml:space="preserve"> between incumbent LECs and other utilities</w:t>
      </w:r>
      <w:r w:rsidRPr="00292702">
        <w:rPr>
          <w:szCs w:val="22"/>
        </w:rPr>
        <w:t>.</w:t>
      </w:r>
      <w:r>
        <w:rPr>
          <w:rStyle w:val="FootnoteReference"/>
          <w:szCs w:val="22"/>
        </w:rPr>
        <w:footnoteReference w:id="7"/>
      </w:r>
      <w:r w:rsidRPr="00292702">
        <w:rPr>
          <w:szCs w:val="22"/>
        </w:rPr>
        <w:t xml:space="preserve">  </w:t>
      </w:r>
      <w:r>
        <w:rPr>
          <w:szCs w:val="22"/>
        </w:rPr>
        <w:t xml:space="preserve">Where the incumbent LEC was a party to a joint use agreement entered into before the </w:t>
      </w:r>
      <w:r>
        <w:rPr>
          <w:i/>
          <w:iCs/>
          <w:szCs w:val="22"/>
        </w:rPr>
        <w:t xml:space="preserve">2011 Pole Attachment </w:t>
      </w:r>
      <w:r w:rsidRPr="00A97801">
        <w:rPr>
          <w:i/>
          <w:iCs/>
          <w:szCs w:val="22"/>
        </w:rPr>
        <w:t>Order</w:t>
      </w:r>
      <w:r>
        <w:rPr>
          <w:szCs w:val="22"/>
        </w:rPr>
        <w:t>, the Commission explained that it would review the agreement only if the incumbent LEC could show that “it genuinely lacks the ability to terminate [the] existing agreement and obtain a new arrangement.”</w:t>
      </w:r>
      <w:r>
        <w:rPr>
          <w:rStyle w:val="FootnoteReference"/>
          <w:szCs w:val="22"/>
        </w:rPr>
        <w:footnoteReference w:id="8"/>
      </w:r>
      <w:r>
        <w:rPr>
          <w:szCs w:val="22"/>
        </w:rPr>
        <w:t xml:space="preserve">  The Commission </w:t>
      </w:r>
      <w:r w:rsidRPr="00292702">
        <w:rPr>
          <w:szCs w:val="22"/>
        </w:rPr>
        <w:t xml:space="preserve">did not specify the rate that would apply </w:t>
      </w:r>
      <w:r>
        <w:rPr>
          <w:szCs w:val="22"/>
        </w:rPr>
        <w:t xml:space="preserve">to such </w:t>
      </w:r>
      <w:r w:rsidRPr="00292702">
        <w:rPr>
          <w:szCs w:val="22"/>
        </w:rPr>
        <w:t>agreement</w:t>
      </w:r>
      <w:r>
        <w:rPr>
          <w:szCs w:val="22"/>
        </w:rPr>
        <w:t xml:space="preserve">s.  However, it did state </w:t>
      </w:r>
      <w:r w:rsidRPr="00292702">
        <w:rPr>
          <w:szCs w:val="22"/>
        </w:rPr>
        <w:t xml:space="preserve">that, if a joint use agreement was entered into after the </w:t>
      </w:r>
      <w:r>
        <w:rPr>
          <w:i/>
          <w:iCs/>
          <w:szCs w:val="22"/>
        </w:rPr>
        <w:t xml:space="preserve">2011 Pole Attachment </w:t>
      </w:r>
      <w:r w:rsidRPr="00875BE1">
        <w:rPr>
          <w:i/>
          <w:iCs/>
          <w:szCs w:val="22"/>
        </w:rPr>
        <w:t>Order</w:t>
      </w:r>
      <w:r w:rsidRPr="00292702">
        <w:rPr>
          <w:szCs w:val="22"/>
        </w:rPr>
        <w:t xml:space="preserve">, and the incumbent LEC established that the agreement did not materially advantage it in relation to the utility’s competitive LEC or cable company attachers, the incumbent LEC should pay the same rate as those attachers.  Conversely, </w:t>
      </w:r>
      <w:r>
        <w:rPr>
          <w:szCs w:val="22"/>
        </w:rPr>
        <w:t xml:space="preserve">the Commission further found that, </w:t>
      </w:r>
      <w:r w:rsidRPr="00292702">
        <w:rPr>
          <w:szCs w:val="22"/>
        </w:rPr>
        <w:t>if the agreement provided the incumbent LEC material advantages over other attachers, the incumbent LEC should pay a higher rate than those attachers.</w:t>
      </w:r>
      <w:r>
        <w:rPr>
          <w:rStyle w:val="FootnoteReference"/>
          <w:szCs w:val="22"/>
        </w:rPr>
        <w:footnoteReference w:id="9"/>
      </w:r>
    </w:p>
    <w:bookmarkEnd w:id="2"/>
    <w:p w:rsidR="00AB3096" w:rsidRPr="00EF24E6" w:rsidP="00AB3096" w14:paraId="195E6A37" w14:textId="77777777">
      <w:pPr>
        <w:pStyle w:val="ParaNum"/>
      </w:pPr>
      <w:r>
        <w:rPr>
          <w:szCs w:val="22"/>
        </w:rPr>
        <w:t xml:space="preserve">The Commission subsequently </w:t>
      </w:r>
      <w:r w:rsidRPr="00634E95">
        <w:t>modified</w:t>
      </w:r>
      <w:r>
        <w:rPr>
          <w:szCs w:val="22"/>
        </w:rPr>
        <w:t xml:space="preserve"> the framework for reviewing joint use agreements between incumbent LECs and utilities.  In the </w:t>
      </w:r>
      <w:r w:rsidRPr="00890E7B">
        <w:rPr>
          <w:i/>
          <w:iCs/>
          <w:szCs w:val="22"/>
        </w:rPr>
        <w:t>2018 Pole Attachment Order</w:t>
      </w:r>
      <w:r>
        <w:rPr>
          <w:szCs w:val="22"/>
        </w:rPr>
        <w:t>, the Commission established a rebuttable presumption, effective March 11, 2019, that an incumbent LEC that is a party to a joint use agreement entered into or “newly-renewed” after that Order is “similarly situated” to the utility’s competitive LEC attachers.  In those circumstances, the Commission said, the incumbent LEC is entitled to the same attachment rate.</w:t>
      </w:r>
      <w:r>
        <w:rPr>
          <w:rStyle w:val="FootnoteReference"/>
          <w:szCs w:val="22"/>
        </w:rPr>
        <w:footnoteReference w:id="10"/>
      </w:r>
    </w:p>
    <w:p w:rsidR="00AB3096" w:rsidRPr="00EF24E6" w:rsidP="00AB3096" w14:paraId="561D7F4B" w14:textId="77777777">
      <w:pPr>
        <w:pStyle w:val="Heading2"/>
      </w:pPr>
      <w:r w:rsidRPr="00054588">
        <w:t>Factual</w:t>
      </w:r>
      <w:r>
        <w:rPr>
          <w:szCs w:val="22"/>
        </w:rPr>
        <w:t xml:space="preserve"> Background</w:t>
      </w:r>
    </w:p>
    <w:p w:rsidR="00AB3096" w:rsidRPr="00A26176" w:rsidP="00AB3096" w14:paraId="44A94CBE" w14:textId="77777777">
      <w:pPr>
        <w:pStyle w:val="ParaNum"/>
        <w:rPr>
          <w:szCs w:val="22"/>
        </w:rPr>
      </w:pPr>
      <w:r w:rsidRPr="00A26176">
        <w:rPr>
          <w:szCs w:val="22"/>
        </w:rPr>
        <w:t xml:space="preserve">AT&amp;T and FPL </w:t>
      </w:r>
      <w:r w:rsidRPr="00A26176">
        <w:rPr>
          <w:szCs w:val="22"/>
        </w:rPr>
        <w:t>entered into</w:t>
      </w:r>
      <w:r w:rsidRPr="00A26176">
        <w:rPr>
          <w:szCs w:val="22"/>
        </w:rPr>
        <w:t xml:space="preserve"> </w:t>
      </w:r>
      <w:r>
        <w:rPr>
          <w:szCs w:val="22"/>
        </w:rPr>
        <w:t>the JUA in</w:t>
      </w:r>
      <w:r w:rsidRPr="00A26176">
        <w:rPr>
          <w:szCs w:val="22"/>
        </w:rPr>
        <w:t xml:space="preserve"> 1975</w:t>
      </w:r>
      <w:r>
        <w:rPr>
          <w:szCs w:val="22"/>
        </w:rPr>
        <w:t xml:space="preserve"> and </w:t>
      </w:r>
      <w:r w:rsidRPr="00054588">
        <w:rPr>
          <w:szCs w:val="22"/>
        </w:rPr>
        <w:t>amended</w:t>
      </w:r>
      <w:r>
        <w:rPr>
          <w:szCs w:val="22"/>
        </w:rPr>
        <w:t xml:space="preserve"> it in 2007 to include a</w:t>
      </w:r>
      <w:r w:rsidRPr="00A26176">
        <w:rPr>
          <w:szCs w:val="22"/>
        </w:rPr>
        <w:t xml:space="preserve"> </w:t>
      </w:r>
      <w:r>
        <w:rPr>
          <w:szCs w:val="22"/>
        </w:rPr>
        <w:t xml:space="preserve">mandatory </w:t>
      </w:r>
      <w:r w:rsidRPr="00A26176">
        <w:rPr>
          <w:szCs w:val="22"/>
        </w:rPr>
        <w:t xml:space="preserve">dispute </w:t>
      </w:r>
      <w:r>
        <w:rPr>
          <w:szCs w:val="22"/>
        </w:rPr>
        <w:t>resolution process that culminates in non-binding mediation.  The JUA prohibits the parties from commencing litigation until sixty days after the first day of the mediation</w:t>
      </w:r>
      <w:r w:rsidRPr="00A26176">
        <w:rPr>
          <w:szCs w:val="22"/>
        </w:rPr>
        <w:t>.</w:t>
      </w:r>
      <w:r>
        <w:rPr>
          <w:rStyle w:val="FootnoteReference"/>
          <w:sz w:val="22"/>
          <w:szCs w:val="22"/>
        </w:rPr>
        <w:footnoteReference w:id="11"/>
      </w:r>
    </w:p>
    <w:p w:rsidR="004C3355" w:rsidP="00AB3096" w14:paraId="751F5E39" w14:textId="77777777">
      <w:pPr>
        <w:pStyle w:val="ParaNum"/>
        <w:rPr>
          <w:szCs w:val="22"/>
        </w:rPr>
      </w:pPr>
      <w:r w:rsidRPr="00B8245B">
        <w:rPr>
          <w:szCs w:val="22"/>
        </w:rPr>
        <w:t xml:space="preserve">In March 2018, FPL submitted an invoice for </w:t>
      </w:r>
      <w:r w:rsidRPr="005218D9">
        <w:t>approximately</w:t>
      </w:r>
      <w:r w:rsidRPr="00B8245B">
        <w:rPr>
          <w:szCs w:val="22"/>
        </w:rPr>
        <w:t xml:space="preserve"> $9 million for the 2017 pole rental year, which ended December 31, 2017.</w:t>
      </w:r>
      <w:r>
        <w:rPr>
          <w:rStyle w:val="FootnoteReference"/>
          <w:szCs w:val="22"/>
        </w:rPr>
        <w:footnoteReference w:id="12"/>
      </w:r>
      <w:r w:rsidRPr="00B8245B">
        <w:rPr>
          <w:szCs w:val="22"/>
        </w:rPr>
        <w:t xml:space="preserve">  AT&amp;T refused to pay, arguing that it was entitled to a lower rate under the </w:t>
      </w:r>
      <w:r w:rsidRPr="00B8245B">
        <w:rPr>
          <w:i/>
          <w:iCs/>
          <w:szCs w:val="22"/>
        </w:rPr>
        <w:t xml:space="preserve">2011 </w:t>
      </w:r>
      <w:r w:rsidRPr="00B8245B">
        <w:rPr>
          <w:szCs w:val="22"/>
        </w:rPr>
        <w:t>and</w:t>
      </w:r>
      <w:r w:rsidRPr="00B8245B">
        <w:rPr>
          <w:i/>
          <w:iCs/>
          <w:szCs w:val="22"/>
        </w:rPr>
        <w:t xml:space="preserve"> 2018 Pole Attachment Orders</w:t>
      </w:r>
      <w:r w:rsidRPr="00B8245B">
        <w:rPr>
          <w:szCs w:val="22"/>
        </w:rPr>
        <w:t>.</w:t>
      </w:r>
      <w:r>
        <w:rPr>
          <w:rStyle w:val="FootnoteReference"/>
          <w:szCs w:val="22"/>
        </w:rPr>
        <w:footnoteReference w:id="13"/>
      </w:r>
      <w:r w:rsidRPr="00B8245B">
        <w:rPr>
          <w:szCs w:val="22"/>
        </w:rPr>
        <w:t xml:space="preserve">  </w:t>
      </w:r>
    </w:p>
    <w:p w:rsidR="00AB3096" w:rsidRPr="00B8245B" w:rsidP="0077565D" w14:paraId="2DF1EF77" w14:textId="60301E4F">
      <w:pPr>
        <w:pStyle w:val="ParaNum"/>
        <w:widowControl/>
        <w:rPr>
          <w:szCs w:val="22"/>
        </w:rPr>
      </w:pPr>
      <w:r>
        <w:rPr>
          <w:szCs w:val="22"/>
        </w:rPr>
        <w:t xml:space="preserve">In August 2018, </w:t>
      </w:r>
      <w:r>
        <w:t>FPL notified AT&amp;T that it was in default under the JUA and initiated the JUA’s dispute resolution process.</w:t>
      </w:r>
      <w:r>
        <w:rPr>
          <w:rStyle w:val="FootnoteReference"/>
        </w:rPr>
        <w:footnoteReference w:id="14"/>
      </w:r>
      <w:r>
        <w:t xml:space="preserve">  </w:t>
      </w:r>
      <w:r w:rsidR="004C3355">
        <w:t>Pursuant to</w:t>
      </w:r>
      <w:r>
        <w:t xml:space="preserve"> that process, the parties met in December 2018 to discuss resolution of their dispute.</w:t>
      </w:r>
      <w:r>
        <w:rPr>
          <w:rStyle w:val="FootnoteReference"/>
        </w:rPr>
        <w:footnoteReference w:id="15"/>
      </w:r>
      <w:r>
        <w:t xml:space="preserve">  </w:t>
      </w:r>
      <w:r w:rsidRPr="00B8245B">
        <w:rPr>
          <w:szCs w:val="22"/>
        </w:rPr>
        <w:t xml:space="preserve">On March 25, 2019, FPL sent AT&amp;T a </w:t>
      </w:r>
      <w:r>
        <w:rPr>
          <w:szCs w:val="22"/>
        </w:rPr>
        <w:t xml:space="preserve">Notice of Termination </w:t>
      </w:r>
      <w:r w:rsidRPr="00B8245B">
        <w:rPr>
          <w:szCs w:val="22"/>
        </w:rPr>
        <w:t>stating that</w:t>
      </w:r>
      <w:r>
        <w:rPr>
          <w:szCs w:val="22"/>
        </w:rPr>
        <w:t xml:space="preserve">, </w:t>
      </w:r>
      <w:r w:rsidRPr="00B8245B">
        <w:rPr>
          <w:szCs w:val="22"/>
        </w:rPr>
        <w:t xml:space="preserve">pursuant to </w:t>
      </w:r>
      <w:r>
        <w:rPr>
          <w:szCs w:val="22"/>
        </w:rPr>
        <w:t>the JUA’s</w:t>
      </w:r>
      <w:r w:rsidRPr="00B8245B">
        <w:rPr>
          <w:szCs w:val="22"/>
        </w:rPr>
        <w:t xml:space="preserve"> Payment Default Clause</w:t>
      </w:r>
      <w:r>
        <w:rPr>
          <w:szCs w:val="22"/>
        </w:rPr>
        <w:t>,</w:t>
      </w:r>
      <w:r w:rsidRPr="00B8245B">
        <w:rPr>
          <w:szCs w:val="22"/>
        </w:rPr>
        <w:t xml:space="preserve"> </w:t>
      </w:r>
      <w:r>
        <w:rPr>
          <w:szCs w:val="22"/>
        </w:rPr>
        <w:t>it</w:t>
      </w:r>
      <w:r w:rsidRPr="00B8245B">
        <w:rPr>
          <w:szCs w:val="22"/>
        </w:rPr>
        <w:t xml:space="preserve"> was </w:t>
      </w:r>
      <w:r>
        <w:rPr>
          <w:szCs w:val="22"/>
        </w:rPr>
        <w:t xml:space="preserve">immediately </w:t>
      </w:r>
      <w:r w:rsidRPr="00B8245B">
        <w:rPr>
          <w:szCs w:val="22"/>
        </w:rPr>
        <w:t>terminating AT&amp;T’s right to attach to FPL’s existing poles and</w:t>
      </w:r>
      <w:r>
        <w:rPr>
          <w:szCs w:val="22"/>
        </w:rPr>
        <w:t>, pursuant to a different JUA clause,</w:t>
      </w:r>
      <w:r w:rsidRPr="00B8245B">
        <w:rPr>
          <w:szCs w:val="22"/>
        </w:rPr>
        <w:t xml:space="preserve"> </w:t>
      </w:r>
      <w:r>
        <w:rPr>
          <w:szCs w:val="22"/>
        </w:rPr>
        <w:t xml:space="preserve">was </w:t>
      </w:r>
      <w:r w:rsidRPr="00B8245B">
        <w:rPr>
          <w:szCs w:val="22"/>
        </w:rPr>
        <w:t xml:space="preserve">terminating AT&amp;T’s right to attach to </w:t>
      </w:r>
      <w:r w:rsidRPr="00B8245B">
        <w:rPr>
          <w:szCs w:val="22"/>
        </w:rPr>
        <w:t xml:space="preserve">new FPL poles effective </w:t>
      </w:r>
      <w:r>
        <w:rPr>
          <w:szCs w:val="22"/>
        </w:rPr>
        <w:t>August</w:t>
      </w:r>
      <w:r w:rsidRPr="00B8245B">
        <w:rPr>
          <w:szCs w:val="22"/>
        </w:rPr>
        <w:t xml:space="preserve"> 26, 2019.</w:t>
      </w:r>
      <w:r>
        <w:rPr>
          <w:rStyle w:val="FootnoteReference"/>
          <w:sz w:val="22"/>
          <w:szCs w:val="22"/>
        </w:rPr>
        <w:footnoteReference w:id="16"/>
      </w:r>
      <w:r w:rsidR="004C3355">
        <w:rPr>
          <w:szCs w:val="22"/>
        </w:rPr>
        <w:t xml:space="preserve">  On May 1, 2019, the parties conducted a half-day mediation that was unsuccessful.</w:t>
      </w:r>
      <w:r>
        <w:rPr>
          <w:rStyle w:val="FootnoteReference"/>
        </w:rPr>
        <w:footnoteReference w:id="17"/>
      </w:r>
      <w:r w:rsidR="004C3355">
        <w:rPr>
          <w:szCs w:val="22"/>
        </w:rPr>
        <w:t xml:space="preserve">  </w:t>
      </w:r>
    </w:p>
    <w:p w:rsidR="00C4758D" w:rsidP="00AB3096" w14:paraId="2681D316" w14:textId="00540E15">
      <w:pPr>
        <w:pStyle w:val="ParaNum"/>
        <w:rPr>
          <w:snapToGrid/>
          <w:szCs w:val="22"/>
        </w:rPr>
      </w:pPr>
      <w:r w:rsidRPr="00A26176">
        <w:rPr>
          <w:snapToGrid/>
          <w:szCs w:val="22"/>
        </w:rPr>
        <w:t xml:space="preserve">On July 1, 2019, AT&amp;T filed </w:t>
      </w:r>
      <w:r>
        <w:rPr>
          <w:snapToGrid/>
          <w:szCs w:val="22"/>
        </w:rPr>
        <w:t xml:space="preserve">its First </w:t>
      </w:r>
      <w:r w:rsidRPr="00054588">
        <w:rPr>
          <w:szCs w:val="22"/>
        </w:rPr>
        <w:t>Complaint</w:t>
      </w:r>
      <w:r w:rsidRPr="00A26176">
        <w:rPr>
          <w:snapToGrid/>
          <w:szCs w:val="22"/>
        </w:rPr>
        <w:t xml:space="preserve">, alleging that the attachment rate under the JUA is </w:t>
      </w:r>
      <w:r>
        <w:rPr>
          <w:snapToGrid/>
          <w:szCs w:val="22"/>
        </w:rPr>
        <w:t xml:space="preserve">unjust and unreasonable and seeking a reduced rate under the </w:t>
      </w:r>
      <w:r w:rsidRPr="00890E7B">
        <w:rPr>
          <w:i/>
          <w:iCs/>
          <w:snapToGrid/>
          <w:szCs w:val="22"/>
        </w:rPr>
        <w:t>2011</w:t>
      </w:r>
      <w:r>
        <w:rPr>
          <w:snapToGrid/>
          <w:szCs w:val="22"/>
        </w:rPr>
        <w:t xml:space="preserve"> and </w:t>
      </w:r>
      <w:r w:rsidRPr="00890E7B">
        <w:rPr>
          <w:i/>
          <w:iCs/>
          <w:snapToGrid/>
          <w:szCs w:val="22"/>
        </w:rPr>
        <w:t>2018 Pole Attachment Orders</w:t>
      </w:r>
      <w:r w:rsidRPr="00A26176">
        <w:rPr>
          <w:snapToGrid/>
          <w:szCs w:val="22"/>
        </w:rPr>
        <w:t>.</w:t>
      </w:r>
      <w:r>
        <w:rPr>
          <w:snapToGrid/>
          <w:szCs w:val="22"/>
        </w:rPr>
        <w:t xml:space="preserve">  On the same day, it paid the principal amount of the 2017 invoice.</w:t>
      </w:r>
      <w:r>
        <w:rPr>
          <w:rStyle w:val="FootnoteReference"/>
          <w:snapToGrid/>
          <w:szCs w:val="22"/>
        </w:rPr>
        <w:footnoteReference w:id="18"/>
      </w:r>
      <w:r>
        <w:rPr>
          <w:snapToGrid/>
          <w:szCs w:val="22"/>
        </w:rPr>
        <w:t xml:space="preserve">  </w:t>
      </w:r>
      <w:r>
        <w:rPr>
          <w:snapToGrid/>
          <w:szCs w:val="22"/>
        </w:rPr>
        <w:t xml:space="preserve">In its Answer, FPL argued that it had lawfully terminated AT&amp;T’s right to attach to </w:t>
      </w:r>
      <w:r w:rsidR="003506A1">
        <w:rPr>
          <w:snapToGrid/>
          <w:szCs w:val="22"/>
        </w:rPr>
        <w:t>FPL’s existing poles effective March 25, 2019.</w:t>
      </w:r>
      <w:r>
        <w:rPr>
          <w:rStyle w:val="FootnoteReference"/>
          <w:snapToGrid/>
          <w:szCs w:val="22"/>
        </w:rPr>
        <w:footnoteReference w:id="19"/>
      </w:r>
    </w:p>
    <w:p w:rsidR="00AB3096" w:rsidRPr="00A26176" w:rsidP="00AB3096" w14:paraId="357C64EC" w14:textId="27CE0AD2">
      <w:pPr>
        <w:pStyle w:val="ParaNum"/>
        <w:rPr>
          <w:snapToGrid/>
          <w:szCs w:val="22"/>
        </w:rPr>
      </w:pPr>
      <w:r>
        <w:rPr>
          <w:snapToGrid/>
          <w:szCs w:val="22"/>
        </w:rPr>
        <w:t xml:space="preserve">Also on the same day, </w:t>
      </w:r>
      <w:r w:rsidRPr="00A26176">
        <w:rPr>
          <w:snapToGrid/>
          <w:szCs w:val="22"/>
        </w:rPr>
        <w:t>FPL filed a complaint in Florida state court a</w:t>
      </w:r>
      <w:r>
        <w:rPr>
          <w:snapToGrid/>
          <w:szCs w:val="22"/>
        </w:rPr>
        <w:t>llegin</w:t>
      </w:r>
      <w:r w:rsidRPr="00A26176">
        <w:rPr>
          <w:snapToGrid/>
          <w:szCs w:val="22"/>
        </w:rPr>
        <w:t xml:space="preserve">g that AT&amp;T was in breach of the JUA, </w:t>
      </w:r>
      <w:r>
        <w:rPr>
          <w:snapToGrid/>
          <w:szCs w:val="22"/>
        </w:rPr>
        <w:t xml:space="preserve">asserting </w:t>
      </w:r>
      <w:r w:rsidRPr="00A26176">
        <w:rPr>
          <w:snapToGrid/>
          <w:szCs w:val="22"/>
        </w:rPr>
        <w:t xml:space="preserve">that </w:t>
      </w:r>
      <w:r>
        <w:rPr>
          <w:snapToGrid/>
          <w:szCs w:val="22"/>
        </w:rPr>
        <w:t>FPL’s</w:t>
      </w:r>
      <w:r w:rsidRPr="00A26176">
        <w:rPr>
          <w:snapToGrid/>
          <w:szCs w:val="22"/>
        </w:rPr>
        <w:t xml:space="preserve"> Notice of Termination was valid, and asking the court to declare AT&amp;T a trespasser on FPL’s poles.  AT&amp;T removed the case to the United States District Court for the Southern District of Florida, which stayed the proceeding under the doctrine of primary jurisdiction.</w:t>
      </w:r>
      <w:r>
        <w:rPr>
          <w:rStyle w:val="FootnoteReference"/>
          <w:snapToGrid/>
          <w:szCs w:val="22"/>
        </w:rPr>
        <w:footnoteReference w:id="20"/>
      </w:r>
    </w:p>
    <w:p w:rsidR="00AB3096" w:rsidRPr="00A26176" w:rsidP="00AB3096" w14:paraId="00389086" w14:textId="77777777">
      <w:pPr>
        <w:pStyle w:val="ParaNum"/>
        <w:rPr>
          <w:snapToGrid/>
          <w:szCs w:val="22"/>
        </w:rPr>
      </w:pPr>
      <w:r>
        <w:rPr>
          <w:snapToGrid/>
          <w:szCs w:val="22"/>
        </w:rPr>
        <w:t xml:space="preserve">On May 20, 2020, we issued the </w:t>
      </w:r>
      <w:r w:rsidRPr="00A26176">
        <w:rPr>
          <w:i/>
          <w:iCs/>
          <w:snapToGrid/>
          <w:szCs w:val="22"/>
        </w:rPr>
        <w:t>Bureau Order</w:t>
      </w:r>
      <w:r w:rsidRPr="00A26176">
        <w:rPr>
          <w:snapToGrid/>
          <w:szCs w:val="22"/>
        </w:rPr>
        <w:t xml:space="preserve">, </w:t>
      </w:r>
      <w:r w:rsidRPr="00054588">
        <w:rPr>
          <w:szCs w:val="22"/>
        </w:rPr>
        <w:t>granting</w:t>
      </w:r>
      <w:r w:rsidRPr="00A26176">
        <w:rPr>
          <w:snapToGrid/>
          <w:szCs w:val="22"/>
        </w:rPr>
        <w:t xml:space="preserve"> </w:t>
      </w:r>
      <w:r>
        <w:rPr>
          <w:snapToGrid/>
          <w:szCs w:val="22"/>
        </w:rPr>
        <w:t xml:space="preserve">the First </w:t>
      </w:r>
      <w:r w:rsidRPr="005218D9">
        <w:t>Complaint</w:t>
      </w:r>
      <w:r w:rsidRPr="00A26176">
        <w:rPr>
          <w:snapToGrid/>
          <w:szCs w:val="22"/>
        </w:rPr>
        <w:t xml:space="preserve"> in part</w:t>
      </w:r>
      <w:r>
        <w:rPr>
          <w:snapToGrid/>
          <w:szCs w:val="22"/>
        </w:rPr>
        <w:t xml:space="preserve"> and</w:t>
      </w:r>
      <w:r w:rsidRPr="00A26176">
        <w:rPr>
          <w:snapToGrid/>
          <w:szCs w:val="22"/>
        </w:rPr>
        <w:t xml:space="preserve"> finding that AT&amp;T was entitled to </w:t>
      </w:r>
      <w:r>
        <w:rPr>
          <w:snapToGrid/>
          <w:szCs w:val="22"/>
        </w:rPr>
        <w:t>a lower rate</w:t>
      </w:r>
      <w:r w:rsidRPr="00A26176">
        <w:rPr>
          <w:snapToGrid/>
          <w:szCs w:val="22"/>
        </w:rPr>
        <w:t xml:space="preserve"> under the </w:t>
      </w:r>
      <w:r w:rsidRPr="00A26176">
        <w:rPr>
          <w:i/>
          <w:iCs/>
          <w:snapToGrid/>
          <w:szCs w:val="22"/>
        </w:rPr>
        <w:t>2011 Pole Attachment Order</w:t>
      </w:r>
      <w:r w:rsidRPr="00A26176">
        <w:rPr>
          <w:snapToGrid/>
          <w:szCs w:val="22"/>
        </w:rPr>
        <w:t>.</w:t>
      </w:r>
      <w:r>
        <w:rPr>
          <w:rStyle w:val="FootnoteReference"/>
        </w:rPr>
        <w:footnoteReference w:id="21"/>
      </w:r>
      <w:r w:rsidRPr="00A26176">
        <w:rPr>
          <w:snapToGrid/>
          <w:szCs w:val="22"/>
        </w:rPr>
        <w:t xml:space="preserve">  </w:t>
      </w:r>
      <w:bookmarkStart w:id="3" w:name="_Hlk61336048"/>
      <w:r w:rsidRPr="00A26176">
        <w:rPr>
          <w:snapToGrid/>
          <w:szCs w:val="22"/>
        </w:rPr>
        <w:t xml:space="preserve">The </w:t>
      </w:r>
      <w:r w:rsidRPr="00A26176">
        <w:rPr>
          <w:i/>
          <w:iCs/>
          <w:snapToGrid/>
          <w:szCs w:val="22"/>
        </w:rPr>
        <w:t>Bureau Order</w:t>
      </w:r>
      <w:r w:rsidRPr="00A26176">
        <w:rPr>
          <w:snapToGrid/>
          <w:szCs w:val="22"/>
        </w:rPr>
        <w:t xml:space="preserve"> stayed </w:t>
      </w:r>
      <w:r>
        <w:rPr>
          <w:snapToGrid/>
          <w:szCs w:val="22"/>
        </w:rPr>
        <w:t xml:space="preserve">the First </w:t>
      </w:r>
      <w:r w:rsidRPr="00A26176">
        <w:rPr>
          <w:snapToGrid/>
          <w:szCs w:val="22"/>
        </w:rPr>
        <w:t xml:space="preserve">Complaint </w:t>
      </w:r>
      <w:r>
        <w:rPr>
          <w:snapToGrid/>
          <w:szCs w:val="22"/>
        </w:rPr>
        <w:t>as to</w:t>
      </w:r>
      <w:r w:rsidRPr="00A26176">
        <w:rPr>
          <w:snapToGrid/>
          <w:szCs w:val="22"/>
        </w:rPr>
        <w:t xml:space="preserve"> the period after December 31, 2018</w:t>
      </w:r>
      <w:r>
        <w:rPr>
          <w:snapToGrid/>
          <w:szCs w:val="22"/>
        </w:rPr>
        <w:t xml:space="preserve">, because, </w:t>
      </w:r>
      <w:r w:rsidRPr="00362A96">
        <w:rPr>
          <w:i/>
          <w:iCs/>
          <w:snapToGrid/>
          <w:szCs w:val="22"/>
        </w:rPr>
        <w:t>inter alia</w:t>
      </w:r>
      <w:r>
        <w:rPr>
          <w:snapToGrid/>
          <w:szCs w:val="22"/>
        </w:rPr>
        <w:t xml:space="preserve">, </w:t>
      </w:r>
      <w:r w:rsidRPr="00A26176">
        <w:rPr>
          <w:snapToGrid/>
          <w:szCs w:val="22"/>
        </w:rPr>
        <w:t xml:space="preserve">FPL’s Notice of Termination purported to end AT&amp;T’s right to attach to existing </w:t>
      </w:r>
      <w:r>
        <w:rPr>
          <w:snapToGrid/>
          <w:szCs w:val="22"/>
        </w:rPr>
        <w:t xml:space="preserve">FPL </w:t>
      </w:r>
      <w:r w:rsidRPr="00A26176">
        <w:rPr>
          <w:snapToGrid/>
          <w:szCs w:val="22"/>
        </w:rPr>
        <w:t xml:space="preserve">poles </w:t>
      </w:r>
      <w:r>
        <w:rPr>
          <w:szCs w:val="22"/>
        </w:rPr>
        <w:t>on</w:t>
      </w:r>
      <w:r w:rsidRPr="00A26176">
        <w:rPr>
          <w:szCs w:val="22"/>
        </w:rPr>
        <w:t xml:space="preserve"> </w:t>
      </w:r>
      <w:r>
        <w:rPr>
          <w:szCs w:val="22"/>
        </w:rPr>
        <w:t>March 25,</w:t>
      </w:r>
      <w:r w:rsidRPr="00A26176">
        <w:rPr>
          <w:szCs w:val="22"/>
        </w:rPr>
        <w:t xml:space="preserve"> 2019</w:t>
      </w:r>
      <w:r>
        <w:rPr>
          <w:szCs w:val="22"/>
        </w:rPr>
        <w:t>, and AT&amp;T admitted that the Notice terminated its right to attach to new FPL poles</w:t>
      </w:r>
      <w:r w:rsidRPr="00A26176">
        <w:rPr>
          <w:snapToGrid/>
          <w:szCs w:val="22"/>
        </w:rPr>
        <w:t>.  “The validity of the Notice of Termination</w:t>
      </w:r>
      <w:r>
        <w:rPr>
          <w:snapToGrid/>
          <w:szCs w:val="22"/>
        </w:rPr>
        <w:t xml:space="preserve"> insofar as it applies to existing joint use poles is </w:t>
      </w:r>
      <w:r w:rsidRPr="00A26176">
        <w:rPr>
          <w:snapToGrid/>
          <w:szCs w:val="22"/>
        </w:rPr>
        <w:t>squarely before th</w:t>
      </w:r>
      <w:r>
        <w:rPr>
          <w:snapToGrid/>
          <w:szCs w:val="22"/>
        </w:rPr>
        <w:t xml:space="preserve">e </w:t>
      </w:r>
      <w:r w:rsidRPr="00A26176">
        <w:rPr>
          <w:snapToGrid/>
          <w:szCs w:val="22"/>
        </w:rPr>
        <w:t xml:space="preserve">district court and is purely a matter of state contract law, as AT&amp;T does not argue that the [Payment Default </w:t>
      </w:r>
      <w:r>
        <w:rPr>
          <w:snapToGrid/>
          <w:szCs w:val="22"/>
        </w:rPr>
        <w:t>Clause</w:t>
      </w:r>
      <w:r w:rsidRPr="00A26176">
        <w:rPr>
          <w:snapToGrid/>
          <w:szCs w:val="22"/>
        </w:rPr>
        <w:t xml:space="preserve">] is unjust or unreasonable under </w:t>
      </w:r>
      <w:r>
        <w:rPr>
          <w:snapToGrid/>
          <w:szCs w:val="22"/>
        </w:rPr>
        <w:t>S</w:t>
      </w:r>
      <w:r w:rsidRPr="00A26176">
        <w:rPr>
          <w:snapToGrid/>
          <w:szCs w:val="22"/>
        </w:rPr>
        <w:t>ection 224 of the Act.”</w:t>
      </w:r>
      <w:r>
        <w:rPr>
          <w:rStyle w:val="FootnoteReference"/>
          <w:sz w:val="22"/>
          <w:szCs w:val="22"/>
        </w:rPr>
        <w:footnoteReference w:id="22"/>
      </w:r>
      <w:bookmarkEnd w:id="3"/>
    </w:p>
    <w:p w:rsidR="00AB3096" w:rsidRPr="000E7D00" w:rsidP="00AB3096" w14:paraId="150D0F8B" w14:textId="77777777">
      <w:pPr>
        <w:pStyle w:val="ParaNum"/>
        <w:rPr>
          <w:snapToGrid/>
          <w:szCs w:val="22"/>
        </w:rPr>
      </w:pPr>
      <w:r w:rsidRPr="41E6FD29">
        <w:rPr>
          <w:snapToGrid/>
          <w:color w:val="000000"/>
          <w:kern w:val="0"/>
        </w:rPr>
        <w:t xml:space="preserve">After the </w:t>
      </w:r>
      <w:r w:rsidRPr="41E6FD29">
        <w:rPr>
          <w:i/>
          <w:iCs/>
          <w:snapToGrid/>
          <w:color w:val="000000"/>
          <w:kern w:val="0"/>
        </w:rPr>
        <w:t>Bureau Order</w:t>
      </w:r>
      <w:r w:rsidRPr="41E6FD29">
        <w:rPr>
          <w:snapToGrid/>
          <w:color w:val="000000"/>
          <w:kern w:val="0"/>
        </w:rPr>
        <w:t xml:space="preserve"> f</w:t>
      </w:r>
      <w:r>
        <w:rPr>
          <w:snapToGrid/>
          <w:color w:val="000000"/>
          <w:kern w:val="0"/>
        </w:rPr>
        <w:t>ound</w:t>
      </w:r>
      <w:r w:rsidRPr="41E6FD29">
        <w:rPr>
          <w:snapToGrid/>
          <w:color w:val="000000"/>
          <w:kern w:val="0"/>
        </w:rPr>
        <w:t xml:space="preserve"> that the effect of the Notice</w:t>
      </w:r>
      <w:r>
        <w:rPr>
          <w:snapToGrid/>
          <w:color w:val="000000"/>
          <w:kern w:val="0"/>
        </w:rPr>
        <w:t xml:space="preserve"> of </w:t>
      </w:r>
      <w:r w:rsidRPr="005218D9">
        <w:t>Termination</w:t>
      </w:r>
      <w:r w:rsidRPr="41E6FD29">
        <w:rPr>
          <w:snapToGrid/>
          <w:color w:val="000000"/>
          <w:kern w:val="0"/>
        </w:rPr>
        <w:t xml:space="preserve"> </w:t>
      </w:r>
      <w:r>
        <w:rPr>
          <w:snapToGrid/>
          <w:color w:val="000000"/>
          <w:kern w:val="0"/>
        </w:rPr>
        <w:t>was a question of state law to</w:t>
      </w:r>
      <w:r w:rsidRPr="41E6FD29">
        <w:rPr>
          <w:snapToGrid/>
          <w:color w:val="000000"/>
          <w:kern w:val="0"/>
        </w:rPr>
        <w:t xml:space="preserve"> be decided by the Florida district court, </w:t>
      </w:r>
      <w:r>
        <w:rPr>
          <w:snapToGrid/>
          <w:color w:val="000000"/>
          <w:kern w:val="0"/>
        </w:rPr>
        <w:t>FPL asked the district court to lift its stay, noting that the Commission had “expressly declined to address the contractual issues that remain pending” before the court.</w:t>
      </w:r>
      <w:r>
        <w:rPr>
          <w:rStyle w:val="FootnoteReference"/>
          <w:kern w:val="0"/>
        </w:rPr>
        <w:footnoteReference w:id="23"/>
      </w:r>
      <w:r w:rsidRPr="00ED4BF1">
        <w:rPr>
          <w:snapToGrid/>
          <w:kern w:val="0"/>
        </w:rPr>
        <w:t xml:space="preserve">  In opposing FPL’s motion, AT&amp;T admitted that it had not challenged the Notice of Termination as unjust and unreasonable</w:t>
      </w:r>
      <w:r>
        <w:rPr>
          <w:snapToGrid/>
          <w:kern w:val="0"/>
        </w:rPr>
        <w:t xml:space="preserve"> </w:t>
      </w:r>
      <w:r w:rsidRPr="00ED4BF1">
        <w:rPr>
          <w:snapToGrid/>
          <w:kern w:val="0"/>
        </w:rPr>
        <w:t xml:space="preserve">in </w:t>
      </w:r>
      <w:r>
        <w:rPr>
          <w:snapToGrid/>
          <w:kern w:val="0"/>
        </w:rPr>
        <w:t xml:space="preserve">the First </w:t>
      </w:r>
      <w:r w:rsidRPr="00ED4BF1">
        <w:rPr>
          <w:snapToGrid/>
          <w:kern w:val="0"/>
        </w:rPr>
        <w:t>Complaint</w:t>
      </w:r>
      <w:r>
        <w:rPr>
          <w:snapToGrid/>
          <w:kern w:val="0"/>
        </w:rPr>
        <w:t xml:space="preserve"> proceeding</w:t>
      </w:r>
      <w:r w:rsidRPr="00ED4BF1">
        <w:rPr>
          <w:snapToGrid/>
          <w:kern w:val="0"/>
        </w:rPr>
        <w:t>.</w:t>
      </w:r>
      <w:r>
        <w:rPr>
          <w:rStyle w:val="FootnoteReference"/>
          <w:kern w:val="0"/>
        </w:rPr>
        <w:footnoteReference w:id="24"/>
      </w:r>
      <w:r>
        <w:rPr>
          <w:snapToGrid/>
          <w:kern w:val="0"/>
        </w:rPr>
        <w:t xml:space="preserve">  The district court declined to lift its stay.</w:t>
      </w:r>
      <w:r>
        <w:rPr>
          <w:rStyle w:val="FootnoteReference"/>
          <w:snapToGrid/>
          <w:kern w:val="0"/>
        </w:rPr>
        <w:footnoteReference w:id="25"/>
      </w:r>
      <w:r>
        <w:rPr>
          <w:snapToGrid/>
          <w:kern w:val="0"/>
        </w:rPr>
        <w:t xml:space="preserve">   </w:t>
      </w:r>
    </w:p>
    <w:p w:rsidR="00AB3096" w:rsidP="00AB3096" w14:paraId="3119F714" w14:textId="7C1B2B0F">
      <w:pPr>
        <w:pStyle w:val="ParaNum"/>
        <w:rPr>
          <w:snapToGrid/>
          <w:szCs w:val="22"/>
        </w:rPr>
      </w:pPr>
      <w:r>
        <w:rPr>
          <w:snapToGrid/>
          <w:kern w:val="0"/>
        </w:rPr>
        <w:t xml:space="preserve">On July 6, 2020, </w:t>
      </w:r>
      <w:r w:rsidRPr="41E6FD29">
        <w:rPr>
          <w:snapToGrid/>
          <w:color w:val="000000"/>
          <w:kern w:val="0"/>
        </w:rPr>
        <w:t xml:space="preserve">AT&amp;T filed </w:t>
      </w:r>
      <w:r>
        <w:rPr>
          <w:snapToGrid/>
          <w:color w:val="000000"/>
          <w:kern w:val="0"/>
        </w:rPr>
        <w:t xml:space="preserve">the Second </w:t>
      </w:r>
      <w:r w:rsidRPr="005218D9">
        <w:t>Complaint</w:t>
      </w:r>
      <w:r w:rsidR="00592C4B">
        <w:t xml:space="preserve">.  </w:t>
      </w:r>
      <w:r>
        <w:rPr>
          <w:snapToGrid/>
          <w:szCs w:val="22"/>
        </w:rPr>
        <w:t xml:space="preserve">Count I challenges the </w:t>
      </w:r>
      <w:r w:rsidRPr="00A26176">
        <w:rPr>
          <w:snapToGrid/>
          <w:szCs w:val="22"/>
        </w:rPr>
        <w:t>Payment Default Clause</w:t>
      </w:r>
      <w:r>
        <w:rPr>
          <w:snapToGrid/>
          <w:szCs w:val="22"/>
        </w:rPr>
        <w:t xml:space="preserve">—that </w:t>
      </w:r>
      <w:r w:rsidRPr="00A26176">
        <w:rPr>
          <w:snapToGrid/>
          <w:szCs w:val="22"/>
        </w:rPr>
        <w:t xml:space="preserve">is, the provision </w:t>
      </w:r>
      <w:r>
        <w:rPr>
          <w:snapToGrid/>
          <w:szCs w:val="22"/>
        </w:rPr>
        <w:t xml:space="preserve">FPL </w:t>
      </w:r>
      <w:r w:rsidRPr="00A26176">
        <w:rPr>
          <w:snapToGrid/>
          <w:szCs w:val="22"/>
        </w:rPr>
        <w:t>invoked in its Notice of Termination</w:t>
      </w:r>
      <w:r>
        <w:rPr>
          <w:snapToGrid/>
          <w:szCs w:val="22"/>
        </w:rPr>
        <w:t xml:space="preserve">—as unjust and </w:t>
      </w:r>
      <w:r>
        <w:rPr>
          <w:snapToGrid/>
          <w:szCs w:val="22"/>
        </w:rPr>
        <w:t>unreasonable.</w:t>
      </w:r>
      <w:r>
        <w:rPr>
          <w:rStyle w:val="FootnoteReference"/>
          <w:snapToGrid/>
          <w:szCs w:val="22"/>
        </w:rPr>
        <w:footnoteReference w:id="26"/>
      </w:r>
      <w:r>
        <w:rPr>
          <w:snapToGrid/>
          <w:szCs w:val="22"/>
        </w:rPr>
        <w:t xml:space="preserve">  Count II challenges</w:t>
      </w:r>
      <w:r w:rsidRPr="00A26176">
        <w:rPr>
          <w:snapToGrid/>
          <w:szCs w:val="22"/>
        </w:rPr>
        <w:t xml:space="preserve"> the JUA’s Abandonment Clause</w:t>
      </w:r>
      <w:r>
        <w:rPr>
          <w:snapToGrid/>
          <w:szCs w:val="22"/>
        </w:rPr>
        <w:t>, under which one party may abandon its JUA poles to the other</w:t>
      </w:r>
      <w:r w:rsidRPr="00A26176">
        <w:rPr>
          <w:snapToGrid/>
          <w:szCs w:val="22"/>
        </w:rPr>
        <w:t>.</w:t>
      </w:r>
      <w:r>
        <w:rPr>
          <w:rStyle w:val="FootnoteReference"/>
          <w:snapToGrid/>
          <w:szCs w:val="22"/>
        </w:rPr>
        <w:footnoteReference w:id="27"/>
      </w:r>
      <w:r w:rsidRPr="00A26176">
        <w:rPr>
          <w:snapToGrid/>
          <w:szCs w:val="22"/>
        </w:rPr>
        <w:t xml:space="preserve">  AT&amp;T requests that</w:t>
      </w:r>
      <w:r>
        <w:rPr>
          <w:snapToGrid/>
          <w:szCs w:val="22"/>
        </w:rPr>
        <w:t xml:space="preserve"> the Commission amend</w:t>
      </w:r>
      <w:r w:rsidRPr="00A26176">
        <w:rPr>
          <w:snapToGrid/>
          <w:szCs w:val="22"/>
        </w:rPr>
        <w:t xml:space="preserve"> both provisions “effective consistent with the applicable statute of limitations” </w:t>
      </w:r>
      <w:r>
        <w:rPr>
          <w:snapToGrid/>
          <w:szCs w:val="22"/>
        </w:rPr>
        <w:t>and “</w:t>
      </w:r>
      <w:r w:rsidRPr="00A26176">
        <w:rPr>
          <w:snapToGrid/>
          <w:szCs w:val="22"/>
        </w:rPr>
        <w:t xml:space="preserve">order FPL to cease and desist from its </w:t>
      </w:r>
      <w:r>
        <w:rPr>
          <w:snapToGrid/>
          <w:szCs w:val="22"/>
        </w:rPr>
        <w:t xml:space="preserve">. . . </w:t>
      </w:r>
      <w:r w:rsidRPr="00A26176">
        <w:rPr>
          <w:snapToGrid/>
          <w:szCs w:val="22"/>
        </w:rPr>
        <w:t>imposition of unjust and unreasonable pole attachment terms and conditions on AT&amp;T.”</w:t>
      </w:r>
      <w:r>
        <w:rPr>
          <w:rStyle w:val="FootnoteReference"/>
          <w:sz w:val="22"/>
          <w:szCs w:val="22"/>
        </w:rPr>
        <w:footnoteReference w:id="28"/>
      </w:r>
    </w:p>
    <w:p w:rsidR="00AB3096" w:rsidP="00AB3096" w14:paraId="4C288939" w14:textId="77777777">
      <w:pPr>
        <w:pStyle w:val="ParaNum"/>
        <w:rPr>
          <w:snapToGrid/>
          <w:szCs w:val="22"/>
        </w:rPr>
      </w:pPr>
      <w:r>
        <w:t xml:space="preserve">Subsequently, in </w:t>
      </w:r>
      <w:r>
        <w:rPr>
          <w:snapToGrid/>
          <w:szCs w:val="22"/>
        </w:rPr>
        <w:t xml:space="preserve">the </w:t>
      </w:r>
      <w:r w:rsidRPr="001D2D89">
        <w:rPr>
          <w:i/>
          <w:iCs/>
          <w:snapToGrid/>
          <w:szCs w:val="22"/>
        </w:rPr>
        <w:t>Second Bureau Order</w:t>
      </w:r>
      <w:r>
        <w:rPr>
          <w:szCs w:val="22"/>
        </w:rPr>
        <w:t xml:space="preserve">, we </w:t>
      </w:r>
      <w:r w:rsidRPr="00054588">
        <w:rPr>
          <w:snapToGrid/>
          <w:color w:val="000000"/>
          <w:kern w:val="0"/>
        </w:rPr>
        <w:t>resolved</w:t>
      </w:r>
      <w:r>
        <w:rPr>
          <w:snapToGrid/>
          <w:szCs w:val="22"/>
        </w:rPr>
        <w:t xml:space="preserve"> the parties’ remaining disputes in the First Complaint proceeding for the period ending December 31, 2018.  Because AT&amp;T had filed Count I of the Second Complaint, we further stayed the First Complaint proceeding for the period after December 31, 2018.  The </w:t>
      </w:r>
      <w:r>
        <w:rPr>
          <w:i/>
          <w:iCs/>
          <w:snapToGrid/>
          <w:szCs w:val="22"/>
        </w:rPr>
        <w:t>Second Bureau Order</w:t>
      </w:r>
      <w:r>
        <w:rPr>
          <w:snapToGrid/>
          <w:szCs w:val="22"/>
        </w:rPr>
        <w:t xml:space="preserve"> explained, “Resolution of AT&amp;T’s post-2018 claims </w:t>
      </w:r>
      <w:r>
        <w:rPr>
          <w:snapToGrid/>
          <w:szCs w:val="22"/>
        </w:rPr>
        <w:t>turns</w:t>
      </w:r>
      <w:r>
        <w:rPr>
          <w:snapToGrid/>
          <w:szCs w:val="22"/>
        </w:rPr>
        <w:t xml:space="preserve"> on the validity of FPL’s Notice of Termination.”</w:t>
      </w:r>
      <w:r>
        <w:rPr>
          <w:rStyle w:val="FootnoteReference"/>
          <w:szCs w:val="22"/>
        </w:rPr>
        <w:footnoteReference w:id="29"/>
      </w:r>
      <w:r>
        <w:rPr>
          <w:snapToGrid/>
          <w:szCs w:val="22"/>
        </w:rPr>
        <w:t xml:space="preserve">  </w:t>
      </w:r>
    </w:p>
    <w:p w:rsidR="00AB3096" w:rsidRPr="00A26176" w:rsidP="00AB3096" w14:paraId="4A251C49" w14:textId="77777777">
      <w:pPr>
        <w:pStyle w:val="Heading1"/>
        <w:rPr>
          <w:rStyle w:val="Hyperlink"/>
          <w:rFonts w:ascii="Times New Roman" w:hAnsi="Times New Roman"/>
          <w:color w:val="auto"/>
          <w:szCs w:val="22"/>
          <w:u w:val="none"/>
        </w:rPr>
      </w:pPr>
      <w:r w:rsidRPr="00A26176">
        <w:rPr>
          <w:rStyle w:val="Hyperlink"/>
          <w:rFonts w:ascii="Times New Roman" w:hAnsi="Times New Roman"/>
          <w:color w:val="auto"/>
          <w:szCs w:val="22"/>
          <w:u w:val="none"/>
        </w:rPr>
        <w:t>discussion</w:t>
      </w:r>
    </w:p>
    <w:p w:rsidR="00AB3096" w:rsidRPr="00C6547E" w:rsidP="00AB3096" w14:paraId="0CBAE86D" w14:textId="77777777">
      <w:pPr>
        <w:pStyle w:val="Heading2"/>
        <w:rPr>
          <w:szCs w:val="22"/>
        </w:rPr>
      </w:pPr>
      <w:r>
        <w:rPr>
          <w:szCs w:val="22"/>
        </w:rPr>
        <w:t>We Dismiss with Prejudice AT&amp;T’s Challenge to the Payment Default Clause</w:t>
      </w:r>
      <w:bookmarkStart w:id="4" w:name="_Hlk70348246"/>
      <w:bookmarkStart w:id="5" w:name="_Hlk70339120"/>
      <w:bookmarkStart w:id="6" w:name="_Hlk58343036"/>
    </w:p>
    <w:p w:rsidR="00AB3096" w:rsidP="00AB3096" w14:paraId="79735125" w14:textId="784E9590">
      <w:pPr>
        <w:pStyle w:val="ParaNum"/>
      </w:pPr>
      <w:bookmarkStart w:id="7" w:name="_Hlk68784701"/>
      <w:bookmarkEnd w:id="4"/>
      <w:bookmarkEnd w:id="5"/>
      <w:r>
        <w:rPr>
          <w:color w:val="FF0000"/>
          <w:szCs w:val="22"/>
        </w:rPr>
        <w:t xml:space="preserve"> </w:t>
      </w:r>
      <w:r>
        <w:t>Section 4(j) of the Act empowers the Commission to “conduct its proceedings in such manner as will best conduce to the proper dispatch of business and to the ends of justice.”</w:t>
      </w:r>
      <w:r>
        <w:rPr>
          <w:rStyle w:val="FootnoteReference"/>
        </w:rPr>
        <w:footnoteReference w:id="30"/>
      </w:r>
      <w:r>
        <w:t xml:space="preserve">  The United States Supreme Court has interpreted section 4(j) as “‘explicitly and by implication’ delegating to the Commission power to resolve ‘subordinate questions of procedure … (such as) the scope of the inquiry, whether applications should be heard contemporaneously or successively, whether parties should be allowed to intervene in one another’s proceedings, and similar questions.’”</w:t>
      </w:r>
      <w:r>
        <w:rPr>
          <w:rStyle w:val="FootnoteReference"/>
        </w:rPr>
        <w:footnoteReference w:id="31"/>
      </w:r>
      <w:r>
        <w:t xml:space="preserve">  The statute does not “merely confer power to promulgate rules generally applicable to all Commission proceedings, … it also delegates broad discretion to prescribe rules for specific investigations … and to make ad hoc procedural rulings in specific instances.”</w:t>
      </w:r>
      <w:r>
        <w:rPr>
          <w:rStyle w:val="FootnoteReference"/>
        </w:rPr>
        <w:footnoteReference w:id="32"/>
      </w:r>
      <w:r>
        <w:t xml:space="preserve">  To effectuate this discretion, the Commission adopted rule 1.735</w:t>
      </w:r>
      <w:r w:rsidR="00592C4B">
        <w:t>, which dovetails with the statute</w:t>
      </w:r>
      <w:r>
        <w:t>.</w:t>
      </w:r>
      <w:r>
        <w:rPr>
          <w:rStyle w:val="FootnoteReference"/>
        </w:rPr>
        <w:footnoteReference w:id="33"/>
      </w:r>
      <w:r>
        <w:t xml:space="preserve">  For the reasons explained below and exercising our discretion under section 4(j) and rule 1.735, we find that AT&amp;T improperly brought its challenge to the Payment Default Clause in the Second Complaint.  We therefore dismiss Count I of the Second Complaint with prejudice.</w:t>
      </w:r>
    </w:p>
    <w:p w:rsidR="00AB3096" w:rsidRPr="00BD31A4" w:rsidP="00AB3096" w14:paraId="57FCF772" w14:textId="3097F893">
      <w:pPr>
        <w:pStyle w:val="ParaNum"/>
        <w:rPr>
          <w:snapToGrid/>
          <w:color w:val="000000"/>
          <w:kern w:val="0"/>
        </w:rPr>
      </w:pPr>
      <w:r>
        <w:rPr>
          <w:snapToGrid/>
          <w:color w:val="000000"/>
          <w:kern w:val="0"/>
        </w:rPr>
        <w:t xml:space="preserve">  </w:t>
      </w:r>
      <w:r w:rsidRPr="00C6547E">
        <w:rPr>
          <w:snapToGrid/>
          <w:color w:val="000000"/>
          <w:kern w:val="0"/>
        </w:rPr>
        <w:t>I</w:t>
      </w:r>
      <w:r>
        <w:t>n the First Complaint, in which AT&amp;T alleged that the JUA rate was unjust and unreasonable under Section 224(b)(1), AT&amp;T argued that it was not in default under the Payment Default Clause and that the Notice of Termination was therefore ineffective.</w:t>
      </w:r>
      <w:r>
        <w:rPr>
          <w:rStyle w:val="FootnoteReference"/>
        </w:rPr>
        <w:footnoteReference w:id="34"/>
      </w:r>
      <w:r>
        <w:t xml:space="preserve">  This argument was central to AT&amp;T’s affirmative case</w:t>
      </w:r>
      <w:r w:rsidR="00B235A6">
        <w:t xml:space="preserve"> for the period after the Notice of Termination</w:t>
      </w:r>
      <w:r>
        <w:t xml:space="preserve">, because AT&amp;T bore the burden </w:t>
      </w:r>
      <w:r>
        <w:t>of establishing a right under the JUA to attach to FPL’s poles.</w:t>
      </w:r>
      <w:r>
        <w:rPr>
          <w:rStyle w:val="FootnoteReference"/>
        </w:rPr>
        <w:footnoteReference w:id="35"/>
      </w:r>
      <w:r>
        <w:t xml:space="preserve">  </w:t>
      </w:r>
      <w:bookmarkStart w:id="8" w:name="_Hlk76727602"/>
      <w:r>
        <w:t xml:space="preserve">In addition, in order to show (as required under the </w:t>
      </w:r>
      <w:r w:rsidRPr="007E1CAB">
        <w:rPr>
          <w:i/>
          <w:iCs/>
        </w:rPr>
        <w:t>2011 Pole Attachment Order</w:t>
      </w:r>
      <w:r>
        <w:t>) that it “genuinely lack[ed] the ability” to obtain a lower rate through negotiations, AT&amp;T contended that the Notice of Termination was “gamesmanship” by FPL aimed at deterring AT&amp;T from seeking a lower rate.</w:t>
      </w:r>
      <w:r>
        <w:rPr>
          <w:rStyle w:val="FootnoteReference"/>
        </w:rPr>
        <w:footnoteReference w:id="36"/>
      </w:r>
      <w:r>
        <w:rPr>
          <w:snapToGrid/>
          <w:kern w:val="0"/>
        </w:rPr>
        <w:t xml:space="preserve">  </w:t>
      </w:r>
      <w:r>
        <w:t>AT&amp;T also cited the Notice of Termination to establish that</w:t>
      </w:r>
      <w:bookmarkEnd w:id="8"/>
      <w:r>
        <w:t xml:space="preserve"> the JUA was “newly-renewed” within the meaning of the </w:t>
      </w:r>
      <w:r w:rsidRPr="00BE1B64">
        <w:rPr>
          <w:i/>
          <w:iCs/>
        </w:rPr>
        <w:t>2018 Pole Attachment Order</w:t>
      </w:r>
      <w:r>
        <w:t>.</w:t>
      </w:r>
      <w:r>
        <w:rPr>
          <w:rStyle w:val="FootnoteReference"/>
        </w:rPr>
        <w:footnoteReference w:id="37"/>
      </w:r>
      <w:r>
        <w:t xml:space="preserve">  AT&amp;T made these arguments, all of which were central to its affirmative case, under ordinary principles of contract law, but did not assert that the Payment Default Clause or the Notice of Termination were unjust and unreasonable under section 224(b)(1).  </w:t>
      </w:r>
    </w:p>
    <w:p w:rsidR="00AB3096" w:rsidRPr="00B97BE0" w:rsidP="00B97BE0" w14:paraId="06BCD90C" w14:textId="613CF398">
      <w:pPr>
        <w:pStyle w:val="ParaNum"/>
        <w:rPr>
          <w:snapToGrid/>
          <w:color w:val="000000"/>
          <w:kern w:val="0"/>
        </w:rPr>
      </w:pPr>
      <w:r>
        <w:rPr>
          <w:color w:val="000000"/>
        </w:rPr>
        <w:t xml:space="preserve">In its Answer, </w:t>
      </w:r>
      <w:r w:rsidRPr="00C6547E">
        <w:rPr>
          <w:color w:val="000000"/>
        </w:rPr>
        <w:t xml:space="preserve">FPL </w:t>
      </w:r>
      <w:r w:rsidRPr="00C0700D">
        <w:t>argued</w:t>
      </w:r>
      <w:r>
        <w:rPr>
          <w:color w:val="000000"/>
        </w:rPr>
        <w:t xml:space="preserve"> that </w:t>
      </w:r>
      <w:r w:rsidRPr="00C6547E">
        <w:rPr>
          <w:snapToGrid/>
          <w:color w:val="000000"/>
          <w:kern w:val="0"/>
        </w:rPr>
        <w:t>AT&amp;T was indeed in default</w:t>
      </w:r>
      <w:r>
        <w:rPr>
          <w:snapToGrid/>
          <w:color w:val="000000"/>
          <w:kern w:val="0"/>
        </w:rPr>
        <w:t xml:space="preserve"> under the Payment Default Clause</w:t>
      </w:r>
      <w:r w:rsidRPr="00C6547E">
        <w:rPr>
          <w:snapToGrid/>
          <w:color w:val="000000"/>
          <w:kern w:val="0"/>
        </w:rPr>
        <w:t xml:space="preserve">, that the Notice of Termination ended AT&amp;T’s right to attach to existing poles on March 25, 2019, and that AT&amp;T’s claim for a lower rate after that date was </w:t>
      </w:r>
      <w:r>
        <w:rPr>
          <w:snapToGrid/>
          <w:color w:val="000000"/>
          <w:kern w:val="0"/>
        </w:rPr>
        <w:t xml:space="preserve">therefore </w:t>
      </w:r>
      <w:r w:rsidRPr="00C6547E">
        <w:rPr>
          <w:snapToGrid/>
          <w:color w:val="000000"/>
          <w:kern w:val="0"/>
        </w:rPr>
        <w:t>moot.</w:t>
      </w:r>
      <w:r>
        <w:rPr>
          <w:rStyle w:val="FootnoteReference"/>
          <w:snapToGrid/>
          <w:kern w:val="0"/>
        </w:rPr>
        <w:footnoteReference w:id="38"/>
      </w:r>
      <w:r>
        <w:rPr>
          <w:snapToGrid/>
          <w:color w:val="000000"/>
          <w:kern w:val="0"/>
        </w:rPr>
        <w:t xml:space="preserve">  FPL’s Answer clearly demanded AT&amp;T to raise any and all defenses that it had to those claims.  But in its Reply, AT&amp;T made no mention of its current view that the Payment Default Clause and Notice of Termination are not just and reasonable.</w:t>
      </w:r>
      <w:r>
        <w:rPr>
          <w:rStyle w:val="FootnoteReference"/>
          <w:snapToGrid/>
          <w:kern w:val="0"/>
        </w:rPr>
        <w:footnoteReference w:id="39"/>
      </w:r>
      <w:r w:rsidR="002C154A">
        <w:rPr>
          <w:snapToGrid/>
          <w:color w:val="000000"/>
          <w:kern w:val="0"/>
        </w:rPr>
        <w:t xml:space="preserve">  </w:t>
      </w:r>
      <w:r w:rsidRPr="00B97BE0">
        <w:rPr>
          <w:snapToGrid/>
          <w:color w:val="000000"/>
          <w:kern w:val="0"/>
        </w:rPr>
        <w:t xml:space="preserve">The Bureau </w:t>
      </w:r>
      <w:r w:rsidRPr="00C0700D">
        <w:t>decided</w:t>
      </w:r>
      <w:r w:rsidRPr="00B97BE0">
        <w:rPr>
          <w:snapToGrid/>
          <w:color w:val="000000"/>
          <w:kern w:val="0"/>
        </w:rPr>
        <w:t xml:space="preserve"> the First Complaint on the facts and the law presented to it.  AT&amp;T does not argue that the provision under which FPL gave notice is unjust or unreasonable under section 224 of the Act.”</w:t>
      </w:r>
      <w:r>
        <w:rPr>
          <w:rStyle w:val="FootnoteReference"/>
          <w:snapToGrid/>
          <w:kern w:val="0"/>
        </w:rPr>
        <w:footnoteReference w:id="40"/>
      </w:r>
    </w:p>
    <w:p w:rsidR="00AB3096" w:rsidRPr="00BE1B64" w:rsidP="00AB3096" w14:paraId="15DF6579" w14:textId="1219FBDF">
      <w:pPr>
        <w:pStyle w:val="ParaNum"/>
        <w:rPr>
          <w:snapToGrid/>
          <w:color w:val="000000"/>
          <w:kern w:val="0"/>
        </w:rPr>
      </w:pPr>
      <w:r>
        <w:t xml:space="preserve">After release of the </w:t>
      </w:r>
      <w:r w:rsidRPr="00BE1B64">
        <w:rPr>
          <w:i/>
          <w:iCs/>
        </w:rPr>
        <w:t xml:space="preserve">Bureau Order, </w:t>
      </w:r>
      <w:r w:rsidRPr="0055301E">
        <w:t>and</w:t>
      </w:r>
      <w:r w:rsidRPr="00BE1B64">
        <w:rPr>
          <w:i/>
          <w:iCs/>
        </w:rPr>
        <w:t xml:space="preserve"> </w:t>
      </w:r>
      <w:r>
        <w:t xml:space="preserve">more than a year after the First Complaint was filed, AT&amp;T filed this Second Complaint.  In </w:t>
      </w:r>
      <w:r w:rsidRPr="00BE1B64">
        <w:rPr>
          <w:snapToGrid/>
          <w:color w:val="000000"/>
          <w:kern w:val="0"/>
        </w:rPr>
        <w:t xml:space="preserve">Count I, AT&amp;T alleges for the first time that the Payment Default Clause is an unjust and unreasonable term, and the Notice of Termination an unreasonable practice, under </w:t>
      </w:r>
      <w:r>
        <w:rPr>
          <w:snapToGrid/>
          <w:color w:val="000000"/>
          <w:kern w:val="0"/>
        </w:rPr>
        <w:t xml:space="preserve">Section </w:t>
      </w:r>
      <w:r w:rsidRPr="00BE1B64">
        <w:rPr>
          <w:snapToGrid/>
          <w:color w:val="000000"/>
          <w:kern w:val="0"/>
        </w:rPr>
        <w:t>224(b)(1).  AT&amp;T asks the Commission to order FPL to “cease and desist” from enforcing the Payment Default Clause and to amend the clause retroactively.</w:t>
      </w:r>
      <w:r>
        <w:rPr>
          <w:rStyle w:val="FootnoteReference"/>
          <w:snapToGrid/>
          <w:kern w:val="0"/>
        </w:rPr>
        <w:footnoteReference w:id="41"/>
      </w:r>
      <w:r w:rsidRPr="00BE1B64">
        <w:rPr>
          <w:snapToGrid/>
          <w:color w:val="000000"/>
          <w:kern w:val="0"/>
        </w:rPr>
        <w:t xml:space="preserve">  Thus, AT&amp;T seeks to have the Commission find the Notice of Termination ineffective</w:t>
      </w:r>
      <w:r w:rsidR="00C4758D">
        <w:t>—</w:t>
      </w:r>
      <w:r w:rsidRPr="00BE1B64">
        <w:rPr>
          <w:snapToGrid/>
          <w:color w:val="000000"/>
          <w:kern w:val="0"/>
        </w:rPr>
        <w:t xml:space="preserve">regardless of whether it was valid under state law. </w:t>
      </w:r>
    </w:p>
    <w:p w:rsidR="00C4758D" w:rsidP="00543330" w14:paraId="4FCD3E0A" w14:textId="74B598D1">
      <w:pPr>
        <w:pStyle w:val="ParaNum"/>
        <w:widowControl/>
        <w:rPr>
          <w:snapToGrid/>
          <w:color w:val="000000"/>
          <w:kern w:val="0"/>
        </w:rPr>
      </w:pPr>
      <w:r>
        <w:rPr>
          <w:snapToGrid/>
          <w:color w:val="000000"/>
          <w:kern w:val="0"/>
        </w:rPr>
        <w:t xml:space="preserve">AT&amp;T’s </w:t>
      </w:r>
      <w:r w:rsidRPr="00C0700D">
        <w:t>decision</w:t>
      </w:r>
      <w:r>
        <w:rPr>
          <w:snapToGrid/>
          <w:color w:val="000000"/>
          <w:kern w:val="0"/>
        </w:rPr>
        <w:t xml:space="preserve"> not to bring its challenge to the Payment Default Clause earlier contravenes the Commission’s rules governing complaints filed under Section 224.  </w:t>
      </w:r>
      <w:r w:rsidRPr="41E6FD29">
        <w:rPr>
          <w:snapToGrid/>
          <w:color w:val="000000"/>
          <w:kern w:val="0"/>
        </w:rPr>
        <w:t>The Commission has explained that</w:t>
      </w:r>
      <w:r>
        <w:rPr>
          <w:snapToGrid/>
          <w:color w:val="000000"/>
          <w:kern w:val="0"/>
        </w:rPr>
        <w:t xml:space="preserve"> the “</w:t>
      </w:r>
      <w:r w:rsidRPr="41E6FD29">
        <w:rPr>
          <w:snapToGrid/>
          <w:color w:val="000000"/>
          <w:kern w:val="0"/>
        </w:rPr>
        <w:t xml:space="preserve">parties’ initial pleadings should contain </w:t>
      </w:r>
      <w:r w:rsidRPr="00597DA2">
        <w:rPr>
          <w:i/>
          <w:iCs/>
          <w:snapToGrid/>
          <w:color w:val="000000"/>
          <w:kern w:val="0"/>
        </w:rPr>
        <w:t>every</w:t>
      </w:r>
      <w:r w:rsidRPr="41E6FD29">
        <w:rPr>
          <w:snapToGrid/>
          <w:color w:val="000000"/>
          <w:kern w:val="0"/>
        </w:rPr>
        <w:t xml:space="preserve"> allegation, fact, argument, affidavit, and supporting paper that the parties can muster at that time.”</w:t>
      </w:r>
      <w:r>
        <w:rPr>
          <w:rStyle w:val="FootnoteReference"/>
          <w:snapToGrid/>
          <w:kern w:val="0"/>
        </w:rPr>
        <w:footnoteReference w:id="42"/>
      </w:r>
      <w:r w:rsidRPr="41E6FD29">
        <w:rPr>
          <w:snapToGrid/>
          <w:color w:val="000000"/>
          <w:kern w:val="0"/>
        </w:rPr>
        <w:t xml:space="preserve">  </w:t>
      </w:r>
      <w:r>
        <w:rPr>
          <w:snapToGrid/>
          <w:color w:val="000000"/>
          <w:kern w:val="0"/>
        </w:rPr>
        <w:t xml:space="preserve">Thus, </w:t>
      </w:r>
      <w:r w:rsidRPr="41E6FD29">
        <w:rPr>
          <w:snapToGrid/>
          <w:color w:val="000000"/>
          <w:kern w:val="0"/>
        </w:rPr>
        <w:t>Commission rule 1.721(b) states</w:t>
      </w:r>
      <w:r>
        <w:rPr>
          <w:snapToGrid/>
          <w:color w:val="000000"/>
          <w:kern w:val="0"/>
        </w:rPr>
        <w:t>:</w:t>
      </w:r>
      <w:r w:rsidRPr="41E6FD29">
        <w:rPr>
          <w:snapToGrid/>
          <w:color w:val="000000"/>
          <w:kern w:val="0"/>
        </w:rPr>
        <w:t xml:space="preserve"> “</w:t>
      </w:r>
      <w:r w:rsidRPr="41E6FD29">
        <w:rPr>
          <w:i/>
          <w:iCs/>
          <w:snapToGrid/>
          <w:color w:val="000000"/>
          <w:kern w:val="0"/>
        </w:rPr>
        <w:t>All</w:t>
      </w:r>
      <w:r w:rsidRPr="41E6FD29">
        <w:rPr>
          <w:snapToGrid/>
          <w:color w:val="000000"/>
          <w:kern w:val="0"/>
        </w:rPr>
        <w:t xml:space="preserve"> </w:t>
      </w:r>
      <w:r w:rsidRPr="00EF78B5">
        <w:rPr>
          <w:snapToGrid/>
          <w:color w:val="000000"/>
          <w:kern w:val="0"/>
        </w:rPr>
        <w:t>matters</w:t>
      </w:r>
      <w:r w:rsidRPr="41E6FD29">
        <w:rPr>
          <w:snapToGrid/>
          <w:color w:val="000000"/>
          <w:kern w:val="0"/>
        </w:rPr>
        <w:t xml:space="preserve"> concerning a claim, defense or requested remedy … should be pleaded fully</w:t>
      </w:r>
      <w:r w:rsidR="00CD4E94">
        <w:rPr>
          <w:snapToGrid/>
          <w:color w:val="000000"/>
          <w:kern w:val="0"/>
        </w:rPr>
        <w:t xml:space="preserve"> …</w:t>
      </w:r>
      <w:r w:rsidRPr="41E6FD29">
        <w:rPr>
          <w:snapToGrid/>
          <w:color w:val="000000"/>
          <w:kern w:val="0"/>
        </w:rPr>
        <w:t>.</w:t>
      </w:r>
      <w:r w:rsidR="00CD4E94">
        <w:rPr>
          <w:snapToGrid/>
          <w:color w:val="000000"/>
          <w:kern w:val="0"/>
        </w:rPr>
        <w:t xml:space="preserve"> </w:t>
      </w:r>
      <w:r w:rsidRPr="41E6FD29">
        <w:rPr>
          <w:snapToGrid/>
          <w:color w:val="000000"/>
          <w:kern w:val="0"/>
        </w:rPr>
        <w:t>”</w:t>
      </w:r>
      <w:r>
        <w:rPr>
          <w:rStyle w:val="FootnoteReference"/>
          <w:snapToGrid/>
          <w:kern w:val="0"/>
        </w:rPr>
        <w:footnoteReference w:id="43"/>
      </w:r>
      <w:r w:rsidRPr="41E6FD29">
        <w:rPr>
          <w:snapToGrid/>
          <w:color w:val="000000"/>
          <w:kern w:val="0"/>
        </w:rPr>
        <w:t xml:space="preserve">  </w:t>
      </w:r>
      <w:r>
        <w:rPr>
          <w:snapToGrid/>
          <w:color w:val="000000"/>
          <w:kern w:val="0"/>
        </w:rPr>
        <w:t>Rule 1.721(i) provides that “[s]</w:t>
      </w:r>
      <w:r w:rsidRPr="008E2382">
        <w:rPr>
          <w:color w:val="333333"/>
          <w:shd w:val="clear" w:color="auto" w:fill="FFFFFF"/>
        </w:rPr>
        <w:t>pecific</w:t>
      </w:r>
      <w:r w:rsidRPr="008E2382">
        <w:rPr>
          <w:color w:val="333333"/>
          <w:shd w:val="clear" w:color="auto" w:fill="FFFFFF"/>
        </w:rPr>
        <w:t xml:space="preserve"> reference shall be made to any tariff or contract provision relied on in support of a claim or defense</w:t>
      </w:r>
      <w:r>
        <w:rPr>
          <w:color w:val="333333"/>
          <w:shd w:val="clear" w:color="auto" w:fill="FFFFFF"/>
        </w:rPr>
        <w:t xml:space="preserve">,” and </w:t>
      </w:r>
      <w:r>
        <w:rPr>
          <w:snapToGrid/>
          <w:color w:val="000000"/>
          <w:kern w:val="0"/>
        </w:rPr>
        <w:t>rule 1.721(p) prohibits “</w:t>
      </w:r>
      <w:r w:rsidR="00CD4E94">
        <w:rPr>
          <w:snapToGrid/>
          <w:color w:val="000000"/>
          <w:kern w:val="0"/>
        </w:rPr>
        <w:t>[</w:t>
      </w:r>
      <w:r>
        <w:rPr>
          <w:snapToGrid/>
          <w:color w:val="000000"/>
          <w:kern w:val="0"/>
        </w:rPr>
        <w:t>a</w:t>
      </w:r>
      <w:r w:rsidR="00CD4E94">
        <w:rPr>
          <w:snapToGrid/>
          <w:color w:val="000000"/>
          <w:kern w:val="0"/>
        </w:rPr>
        <w:t>]</w:t>
      </w:r>
      <w:r>
        <w:rPr>
          <w:snapToGrid/>
          <w:color w:val="000000"/>
          <w:kern w:val="0"/>
        </w:rPr>
        <w:t>mendments</w:t>
      </w:r>
      <w:r>
        <w:rPr>
          <w:snapToGrid/>
          <w:color w:val="000000"/>
          <w:kern w:val="0"/>
        </w:rPr>
        <w:t xml:space="preserve"> or supplements to complaints to add new </w:t>
      </w:r>
      <w:r>
        <w:rPr>
          <w:snapToGrid/>
          <w:color w:val="000000"/>
          <w:kern w:val="0"/>
        </w:rPr>
        <w:t>claims or requests for relief.”</w:t>
      </w:r>
      <w:r>
        <w:rPr>
          <w:rStyle w:val="FootnoteReference"/>
          <w:snapToGrid/>
          <w:kern w:val="0"/>
        </w:rPr>
        <w:footnoteReference w:id="44"/>
      </w:r>
      <w:r>
        <w:rPr>
          <w:snapToGrid/>
          <w:color w:val="000000"/>
          <w:kern w:val="0"/>
        </w:rPr>
        <w:t xml:space="preserve">  Rule 1.722(d) requires complainants to identify each alleged violation of law in a separate count.</w:t>
      </w:r>
      <w:r>
        <w:rPr>
          <w:rStyle w:val="FootnoteReference"/>
          <w:snapToGrid/>
          <w:kern w:val="0"/>
        </w:rPr>
        <w:footnoteReference w:id="45"/>
      </w:r>
      <w:r>
        <w:rPr>
          <w:snapToGrid/>
          <w:color w:val="000000"/>
          <w:kern w:val="0"/>
        </w:rPr>
        <w:t xml:space="preserve">  </w:t>
      </w:r>
    </w:p>
    <w:p w:rsidR="00AB3096" w:rsidP="00AB3096" w14:paraId="36448AB4" w14:textId="2A010B0D">
      <w:pPr>
        <w:pStyle w:val="ParaNum"/>
        <w:rPr>
          <w:snapToGrid/>
          <w:color w:val="000000"/>
          <w:kern w:val="0"/>
        </w:rPr>
      </w:pPr>
      <w:r>
        <w:rPr>
          <w:snapToGrid/>
          <w:color w:val="000000"/>
          <w:kern w:val="0"/>
        </w:rPr>
        <w:t>The facts that form the basis for AT&amp;T’s First Complaint and Count I are not only inextricably linked, but identical</w:t>
      </w:r>
      <w:r w:rsidR="00C4758D">
        <w:rPr>
          <w:snapToGrid/>
          <w:color w:val="000000"/>
          <w:kern w:val="0"/>
        </w:rPr>
        <w:t xml:space="preserve">.  </w:t>
      </w:r>
      <w:bookmarkStart w:id="10" w:name="_Hlk76730464"/>
      <w:r>
        <w:rPr>
          <w:snapToGrid/>
          <w:color w:val="000000"/>
          <w:kern w:val="0"/>
        </w:rPr>
        <w:t>AT&amp;T’s First Complaint depends on the existence of AT&amp;T’s right to attach under the JUA, and therefore depends in part on the effect of the Notice of Termination.</w:t>
      </w:r>
      <w:bookmarkEnd w:id="10"/>
      <w:r>
        <w:rPr>
          <w:rStyle w:val="FootnoteReference"/>
          <w:snapToGrid/>
          <w:kern w:val="0"/>
        </w:rPr>
        <w:footnoteReference w:id="46"/>
      </w:r>
      <w:r>
        <w:rPr>
          <w:snapToGrid/>
          <w:color w:val="000000"/>
          <w:kern w:val="0"/>
        </w:rPr>
        <w:t xml:space="preserve">  All relevant facts in Count I were known to AT&amp;T when it filed the First Complaint.  Consequently, </w:t>
      </w:r>
      <w:r w:rsidRPr="41E6FD29">
        <w:rPr>
          <w:snapToGrid/>
          <w:color w:val="000000"/>
          <w:kern w:val="0"/>
        </w:rPr>
        <w:t xml:space="preserve">AT&amp;T </w:t>
      </w:r>
      <w:r>
        <w:rPr>
          <w:snapToGrid/>
          <w:color w:val="000000"/>
          <w:kern w:val="0"/>
        </w:rPr>
        <w:t xml:space="preserve">should have alleged in its First Complaint that FPL’s invocation of the Payment Default Clause in </w:t>
      </w:r>
      <w:r w:rsidRPr="41E6FD29">
        <w:rPr>
          <w:snapToGrid/>
          <w:color w:val="000000"/>
          <w:kern w:val="0"/>
        </w:rPr>
        <w:t xml:space="preserve">the </w:t>
      </w:r>
      <w:r>
        <w:rPr>
          <w:snapToGrid/>
          <w:color w:val="000000"/>
          <w:kern w:val="0"/>
        </w:rPr>
        <w:t xml:space="preserve">Notice of Termination </w:t>
      </w:r>
      <w:r w:rsidRPr="41E6FD29">
        <w:rPr>
          <w:snapToGrid/>
          <w:color w:val="000000"/>
          <w:kern w:val="0"/>
        </w:rPr>
        <w:t>was an unjust and unreasonable practice</w:t>
      </w:r>
      <w:r>
        <w:rPr>
          <w:snapToGrid/>
          <w:color w:val="000000"/>
          <w:kern w:val="0"/>
        </w:rPr>
        <w:t xml:space="preserve">.  </w:t>
      </w:r>
    </w:p>
    <w:p w:rsidR="00AB3096" w:rsidRPr="000846EB" w:rsidP="00AB3096" w14:paraId="7E89FA9F" w14:textId="179F9C54">
      <w:pPr>
        <w:pStyle w:val="ParaNum"/>
        <w:rPr>
          <w:snapToGrid/>
          <w:color w:val="000000"/>
          <w:kern w:val="0"/>
        </w:rPr>
      </w:pPr>
      <w:r>
        <w:rPr>
          <w:snapToGrid/>
          <w:color w:val="000000"/>
          <w:kern w:val="0"/>
        </w:rPr>
        <w:t xml:space="preserve">Moreover, </w:t>
      </w:r>
      <w:r w:rsidRPr="00C0700D">
        <w:t>Commission</w:t>
      </w:r>
      <w:r>
        <w:rPr>
          <w:snapToGrid/>
          <w:color w:val="000000"/>
          <w:kern w:val="0"/>
        </w:rPr>
        <w:t xml:space="preserve"> </w:t>
      </w:r>
      <w:r w:rsidRPr="41E6FD29">
        <w:rPr>
          <w:snapToGrid/>
          <w:color w:val="000000"/>
          <w:kern w:val="0"/>
        </w:rPr>
        <w:t>rule 1.728</w:t>
      </w:r>
      <w:r>
        <w:rPr>
          <w:snapToGrid/>
          <w:color w:val="000000"/>
          <w:kern w:val="0"/>
        </w:rPr>
        <w:t xml:space="preserve"> states that the reply “</w:t>
      </w:r>
      <w:r w:rsidRPr="41E6FD29">
        <w:rPr>
          <w:snapToGrid/>
          <w:color w:val="000000"/>
          <w:kern w:val="0"/>
        </w:rPr>
        <w:t>shall contain statements of relevant, material facts and legal arguments that respond to the factual allegations and legal arguments made by the defendant.”</w:t>
      </w:r>
      <w:r>
        <w:rPr>
          <w:rStyle w:val="FootnoteReference"/>
          <w:snapToGrid/>
          <w:kern w:val="0"/>
        </w:rPr>
        <w:footnoteReference w:id="47"/>
      </w:r>
      <w:r w:rsidRPr="41E6FD29">
        <w:rPr>
          <w:snapToGrid/>
          <w:color w:val="000000"/>
          <w:kern w:val="0"/>
        </w:rPr>
        <w:t xml:space="preserve">  </w:t>
      </w:r>
      <w:r>
        <w:rPr>
          <w:snapToGrid/>
          <w:color w:val="000000"/>
          <w:kern w:val="0"/>
        </w:rPr>
        <w:t>FPL asserted in its Answer to the First Complaint (even asserting an affirmative defense) that AT&amp;T had violated the Payment Default Clause, that the Notice of Termination ended AT&amp;T’s right to attach on March 25, 2019, and that AT&amp;T’s claim for a lower rate after that date was therefore moot.</w:t>
      </w:r>
      <w:r>
        <w:rPr>
          <w:rStyle w:val="FootnoteReference"/>
          <w:snapToGrid/>
          <w:kern w:val="0"/>
        </w:rPr>
        <w:footnoteReference w:id="48"/>
      </w:r>
      <w:r>
        <w:rPr>
          <w:snapToGrid/>
          <w:color w:val="000000"/>
          <w:kern w:val="0"/>
        </w:rPr>
        <w:t xml:space="preserve">  Inexplicably, AT&amp;T did not assert in its Reply that the Payment Default Clause was an unjust and unreasonable term, or that the Notice of Termination was an unjust and unreasonable practice, under section 224(b)(1).  </w:t>
      </w:r>
    </w:p>
    <w:p w:rsidR="00AB3096" w:rsidRPr="008E2382" w:rsidP="00AB3096" w14:paraId="0E60A0CC" w14:textId="7AE7D622">
      <w:pPr>
        <w:pStyle w:val="ParaNum"/>
        <w:rPr>
          <w:szCs w:val="22"/>
        </w:rPr>
      </w:pPr>
      <w:r>
        <w:rPr>
          <w:color w:val="000000"/>
          <w:szCs w:val="22"/>
        </w:rPr>
        <w:t xml:space="preserve">AT&amp;T argues that we </w:t>
      </w:r>
      <w:r w:rsidRPr="00C0700D">
        <w:t>are</w:t>
      </w:r>
      <w:r>
        <w:rPr>
          <w:color w:val="000000"/>
          <w:szCs w:val="22"/>
        </w:rPr>
        <w:t xml:space="preserve"> obligated to address the merits of Count I of the Second Complaint because </w:t>
      </w:r>
      <w:r w:rsidR="00097822">
        <w:rPr>
          <w:color w:val="000000"/>
          <w:szCs w:val="22"/>
        </w:rPr>
        <w:t>s</w:t>
      </w:r>
      <w:r>
        <w:rPr>
          <w:color w:val="000000"/>
          <w:szCs w:val="22"/>
        </w:rPr>
        <w:t>ection 224(b)(1) states that the Commission “</w:t>
      </w:r>
      <w:r w:rsidRPr="00F65BDA">
        <w:rPr>
          <w:i/>
          <w:iCs/>
          <w:color w:val="000000"/>
          <w:szCs w:val="22"/>
        </w:rPr>
        <w:t>shall</w:t>
      </w:r>
      <w:r>
        <w:rPr>
          <w:color w:val="000000"/>
          <w:szCs w:val="22"/>
        </w:rPr>
        <w:t xml:space="preserve"> regulate the rates, terms and conditions of pole attachment agreements.”</w:t>
      </w:r>
      <w:r>
        <w:rPr>
          <w:rStyle w:val="FootnoteReference"/>
          <w:szCs w:val="22"/>
        </w:rPr>
        <w:footnoteReference w:id="49"/>
      </w:r>
      <w:r>
        <w:rPr>
          <w:color w:val="000000"/>
          <w:szCs w:val="22"/>
        </w:rPr>
        <w:t xml:space="preserve">  But </w:t>
      </w:r>
      <w:r w:rsidR="00097822">
        <w:rPr>
          <w:color w:val="000000"/>
          <w:szCs w:val="22"/>
        </w:rPr>
        <w:t>s</w:t>
      </w:r>
      <w:r>
        <w:rPr>
          <w:color w:val="000000"/>
          <w:szCs w:val="22"/>
        </w:rPr>
        <w:t>ection 224(b)(1) also obligates the Commission to “adopt procedures necessary and appropriate to hear and resolve complaints concerning such rates, terms and conditions,”</w:t>
      </w:r>
      <w:r>
        <w:rPr>
          <w:rStyle w:val="FootnoteReference"/>
          <w:szCs w:val="22"/>
        </w:rPr>
        <w:footnoteReference w:id="50"/>
      </w:r>
      <w:r>
        <w:rPr>
          <w:color w:val="000000"/>
          <w:szCs w:val="22"/>
        </w:rPr>
        <w:t xml:space="preserve"> and as explained above, </w:t>
      </w:r>
      <w:r w:rsidR="00097822">
        <w:rPr>
          <w:snapToGrid/>
          <w:color w:val="000000"/>
          <w:kern w:val="0"/>
        </w:rPr>
        <w:t>s</w:t>
      </w:r>
      <w:r>
        <w:rPr>
          <w:snapToGrid/>
          <w:color w:val="000000"/>
          <w:kern w:val="0"/>
        </w:rPr>
        <w:t>ection 4(j) of the Act and Commission rule 1.735 empower the Commission to “conduct its proceedings in such a manner as will best conduce to the proper dispatch of business and to the ends of justice.”</w:t>
      </w:r>
      <w:r>
        <w:rPr>
          <w:rStyle w:val="FootnoteReference"/>
          <w:snapToGrid/>
          <w:kern w:val="0"/>
        </w:rPr>
        <w:footnoteReference w:id="51"/>
      </w:r>
      <w:r>
        <w:rPr>
          <w:snapToGrid/>
          <w:color w:val="000000"/>
          <w:kern w:val="0"/>
        </w:rPr>
        <w:t xml:space="preserve">  </w:t>
      </w:r>
      <w:r>
        <w:rPr>
          <w:color w:val="000000"/>
          <w:szCs w:val="22"/>
        </w:rPr>
        <w:t xml:space="preserve">  </w:t>
      </w:r>
    </w:p>
    <w:p w:rsidR="00AB3096" w:rsidRPr="00BD31A4" w:rsidP="00AB3096" w14:paraId="2C056F7A" w14:textId="2B0ED309">
      <w:pPr>
        <w:pStyle w:val="ParaNum"/>
        <w:rPr>
          <w:szCs w:val="22"/>
        </w:rPr>
      </w:pPr>
      <w:r>
        <w:t>This is not a case where AT&amp;T brought a second suit relying on newly-discovered evidence.  FPL sent the Notice of Termination to AT&amp;T more than three months before AT&amp;T filed the First Complaint.  Nor is this an instance where</w:t>
      </w:r>
      <w:r w:rsidR="002F3253">
        <w:t xml:space="preserve">—in </w:t>
      </w:r>
      <w:r>
        <w:t>consultation with Division Staff</w:t>
      </w:r>
      <w:r w:rsidR="002F3253">
        <w:t xml:space="preserve">—a </w:t>
      </w:r>
      <w:r>
        <w:t>party brings a formal complaint</w:t>
      </w:r>
      <w:r w:rsidR="00C014B4">
        <w:t xml:space="preserve"> and </w:t>
      </w:r>
      <w:r>
        <w:t>hold</w:t>
      </w:r>
      <w:r w:rsidR="00C014B4">
        <w:t>s</w:t>
      </w:r>
      <w:r>
        <w:t xml:space="preserve"> related claims in abeyance in a separate complaint case.  Here, AT&amp;T failed to challenge a contract provision that was the subject of a contemporaneous dispute with FPL, that was </w:t>
      </w:r>
      <w:r>
        <w:t xml:space="preserve">clearly relevant to the issues raised in the First Complaint, and that FPL raised as a defense in its </w:t>
      </w:r>
      <w:r w:rsidR="00C014B4">
        <w:t xml:space="preserve">Answer </w:t>
      </w:r>
      <w:r>
        <w:t>to the First Complaint.</w:t>
      </w:r>
      <w:r w:rsidRPr="00361D4F">
        <w:rPr>
          <w:szCs w:val="22"/>
        </w:rPr>
        <w:t xml:space="preserve"> </w:t>
      </w:r>
      <w:r>
        <w:rPr>
          <w:szCs w:val="22"/>
        </w:rPr>
        <w:t xml:space="preserve"> </w:t>
      </w:r>
      <w:r>
        <w:t xml:space="preserve">As a result, </w:t>
      </w:r>
      <w:r w:rsidRPr="00361D4F">
        <w:rPr>
          <w:color w:val="000000"/>
        </w:rPr>
        <w:t>the resources of the Commission and FPL have been wasted.  We reviewed the facts in the First Complaint proceeding and issued a ruling</w:t>
      </w:r>
      <w:r>
        <w:rPr>
          <w:color w:val="000000"/>
        </w:rPr>
        <w:t xml:space="preserve"> based on the pleadings and the record before us</w:t>
      </w:r>
      <w:r w:rsidRPr="00361D4F">
        <w:rPr>
          <w:color w:val="000000"/>
        </w:rPr>
        <w:t>.  AT&amp;T had ample opportunity to raise its claim in a timely manner</w:t>
      </w:r>
      <w:r>
        <w:rPr>
          <w:color w:val="000000"/>
        </w:rPr>
        <w:t xml:space="preserve"> but did not.  </w:t>
      </w:r>
    </w:p>
    <w:p w:rsidR="00AB3096" w:rsidP="00AB3096" w14:paraId="67926C17" w14:textId="77777777">
      <w:pPr>
        <w:pStyle w:val="ParaNum"/>
        <w:rPr>
          <w:sz w:val="24"/>
          <w:szCs w:val="24"/>
        </w:rPr>
      </w:pPr>
      <w:r>
        <w:t>Dismissing Count I of the Second Complaint is consistent with the doctrine against claim splitting.</w:t>
      </w:r>
      <w:r>
        <w:rPr>
          <w:rStyle w:val="FootnoteReference"/>
          <w:kern w:val="0"/>
        </w:rPr>
        <w:footnoteReference w:id="52"/>
      </w:r>
      <w:r>
        <w:t xml:space="preserve">  A party splits its claims when it files two separate complaints and a valid, final decision on the first complaint would extinguish the second complaint under claim preclusion.</w:t>
      </w:r>
      <w:r>
        <w:rPr>
          <w:rStyle w:val="FootnoteReference"/>
        </w:rPr>
        <w:footnoteReference w:id="53"/>
      </w:r>
      <w:r>
        <w:t xml:space="preserve">  The doctrine enables the tribunal to manage its docket to avoid prejudice to the parties and waste of tribunal resources.</w:t>
      </w:r>
      <w:r>
        <w:rPr>
          <w:rStyle w:val="FootnoteReference"/>
        </w:rPr>
        <w:footnoteReference w:id="54"/>
      </w:r>
      <w:r>
        <w:t xml:space="preserve"> </w:t>
      </w:r>
      <w:r>
        <w:rPr>
          <w:b/>
          <w:bCs/>
        </w:rPr>
        <w:t xml:space="preserve"> </w:t>
      </w:r>
      <w:r>
        <w:t>In this case, the prejudice to FPL would be considerable.  Moreover, permitting Count I to proceed would waste the Commission’s resources.</w:t>
      </w:r>
      <w:r>
        <w:rPr>
          <w:rStyle w:val="FootnoteReference"/>
          <w:szCs w:val="22"/>
        </w:rPr>
        <w:footnoteReference w:id="55"/>
      </w:r>
      <w:r>
        <w:rPr>
          <w:szCs w:val="22"/>
        </w:rPr>
        <w:t xml:space="preserve">  We will not allow that result.</w:t>
      </w:r>
      <w:r>
        <w:rPr>
          <w:sz w:val="24"/>
          <w:szCs w:val="24"/>
        </w:rPr>
        <w:t xml:space="preserve"> </w:t>
      </w:r>
    </w:p>
    <w:p w:rsidR="00AB3096" w:rsidRPr="0012665A" w:rsidP="00AB3096" w14:paraId="7749A736" w14:textId="7A59E715">
      <w:pPr>
        <w:pStyle w:val="ParaNum"/>
      </w:pPr>
      <w:r>
        <w:t>AT&amp;T argues that a final judgment on the First Complaint would not extinguish Count I of the Second Complaint and, thus, it should not be dismissed.  According to AT&amp;T, the First Complaint and Count I “involve different statutory violations that may be resolved separately” because the First Complaint challenges the JUA rate, while Count I of the Second Complaint challenges a JUA term and condition.</w:t>
      </w:r>
      <w:r>
        <w:rPr>
          <w:rStyle w:val="FootnoteReference"/>
        </w:rPr>
        <w:footnoteReference w:id="56"/>
      </w:r>
      <w:r>
        <w:t xml:space="preserve">  However,  it is the operative </w:t>
      </w:r>
      <w:r>
        <w:rPr>
          <w:i/>
          <w:iCs/>
        </w:rPr>
        <w:t>facts</w:t>
      </w:r>
      <w:r>
        <w:t xml:space="preserve"> that are relevant to a claim preclusion analysis, and the operative facts underlying the two complaints are identical.</w:t>
      </w:r>
      <w:r>
        <w:rPr>
          <w:rStyle w:val="FootnoteReference"/>
        </w:rPr>
        <w:footnoteReference w:id="57"/>
      </w:r>
      <w:r>
        <w:t xml:space="preserve">  AT&amp;T argues that Count I relies on the “unknowable” fact that FPL would not settle even after AT&amp;T paid the 2017 invoice and the </w:t>
      </w:r>
      <w:r>
        <w:rPr>
          <w:i/>
          <w:iCs/>
        </w:rPr>
        <w:t>Bureau Order</w:t>
      </w:r>
      <w:r>
        <w:t xml:space="preserve"> found that AT&amp;T was entitled to a lower rate.</w:t>
      </w:r>
      <w:r>
        <w:rPr>
          <w:rStyle w:val="FootnoteReference"/>
          <w:szCs w:val="22"/>
        </w:rPr>
        <w:footnoteReference w:id="58"/>
      </w:r>
      <w:r>
        <w:t xml:space="preserve">  But AT&amp;T did not pay the 2017 invoice until after FPL had terminated AT&amp;T’s access rights, and AT&amp;T understands that settlement is never a certainty.  AT&amp;T knowingly took a risk that FPL might terminate its rights to attach pursuant to the plain language of the JUA.  It is not the Commission’s job to protect private litigants from risks they knowingly undertake.</w:t>
      </w:r>
      <w:r>
        <w:rPr>
          <w:vertAlign w:val="superscript"/>
        </w:rPr>
        <w:footnoteReference w:id="59"/>
      </w:r>
      <w:r w:rsidRPr="0012665A">
        <w:t xml:space="preserve"> </w:t>
      </w:r>
    </w:p>
    <w:p w:rsidR="00AB3096" w:rsidRPr="00BD31A4" w:rsidP="00543330" w14:paraId="5FA0C24B" w14:textId="5BEE586D">
      <w:pPr>
        <w:pStyle w:val="ParaNum"/>
        <w:widowControl/>
        <w:rPr>
          <w:kern w:val="0"/>
          <w:szCs w:val="22"/>
        </w:rPr>
      </w:pPr>
      <w:r w:rsidRPr="00BD31A4">
        <w:rPr>
          <w:kern w:val="0"/>
          <w:szCs w:val="22"/>
        </w:rPr>
        <w:t xml:space="preserve"> AT&amp;T suggests </w:t>
      </w:r>
      <w:r w:rsidRPr="00C0700D">
        <w:t>that</w:t>
      </w:r>
      <w:r w:rsidRPr="00BD31A4">
        <w:rPr>
          <w:kern w:val="0"/>
          <w:szCs w:val="22"/>
        </w:rPr>
        <w:t xml:space="preserve"> we consolidate the First Complaint and Count I of the Second Complaint.</w:t>
      </w:r>
      <w:r>
        <w:rPr>
          <w:rStyle w:val="FootnoteReference"/>
          <w:kern w:val="0"/>
          <w:szCs w:val="22"/>
        </w:rPr>
        <w:footnoteReference w:id="60"/>
      </w:r>
      <w:r w:rsidRPr="00BD31A4">
        <w:rPr>
          <w:kern w:val="0"/>
          <w:szCs w:val="22"/>
        </w:rPr>
        <w:t xml:space="preserve">  We decline.  Consolidation would, in effect, allow AT&amp;T to amend its pleadings in the First Complaint proceeding to add Count I after the case was decided, thereby circumventing rules 1.721 and 1.728.  Thus, on these facts, we will not consolidate the First Complaint and Count I of the Second Complaint.  </w:t>
      </w:r>
    </w:p>
    <w:p w:rsidR="00AB3096" w:rsidRPr="005E2526" w:rsidP="00AB3096" w14:paraId="354AA4DE" w14:textId="1B5C7326">
      <w:pPr>
        <w:pStyle w:val="ParaNum"/>
      </w:pPr>
      <w:r>
        <w:rPr>
          <w:color w:val="000000"/>
        </w:rPr>
        <w:t xml:space="preserve">If FPL sought to </w:t>
      </w:r>
      <w:r w:rsidRPr="00C0700D">
        <w:t>raise</w:t>
      </w:r>
      <w:r>
        <w:rPr>
          <w:color w:val="000000"/>
        </w:rPr>
        <w:t xml:space="preserve"> a new defense to AT&amp;T’s First Complaint after we released the </w:t>
      </w:r>
      <w:r>
        <w:rPr>
          <w:i/>
          <w:iCs/>
          <w:color w:val="000000"/>
        </w:rPr>
        <w:t>Bureau Order</w:t>
      </w:r>
      <w:r>
        <w:rPr>
          <w:color w:val="000000"/>
        </w:rPr>
        <w:t xml:space="preserve">, based on facts that FPL knew at the time it filed its Answer, we would summarily dismiss that effort as an abuse of process.  The same reasoning applies here.  </w:t>
      </w:r>
      <w:r w:rsidRPr="00361D4F">
        <w:rPr>
          <w:color w:val="000000"/>
        </w:rPr>
        <w:t xml:space="preserve">Accordingly, we dismiss AT&amp;T’s complaint with prejudice.  </w:t>
      </w:r>
      <w:r>
        <w:rPr>
          <w:color w:val="000000"/>
        </w:rPr>
        <w:t>AT&amp;T</w:t>
      </w:r>
      <w:r w:rsidRPr="00361D4F">
        <w:rPr>
          <w:color w:val="000000"/>
        </w:rPr>
        <w:t xml:space="preserve"> </w:t>
      </w:r>
      <w:r w:rsidR="00BA5020">
        <w:rPr>
          <w:color w:val="000000"/>
        </w:rPr>
        <w:t>can</w:t>
      </w:r>
      <w:r w:rsidRPr="00361D4F">
        <w:rPr>
          <w:color w:val="000000"/>
        </w:rPr>
        <w:t xml:space="preserve"> still pursue in federal court any defenses it may have under state law.</w:t>
      </w:r>
    </w:p>
    <w:bookmarkEnd w:id="6"/>
    <w:bookmarkEnd w:id="7"/>
    <w:p w:rsidR="00AB3096" w:rsidP="00AB3096" w14:paraId="0BA3A887" w14:textId="77777777">
      <w:pPr>
        <w:pStyle w:val="Heading2"/>
      </w:pPr>
      <w:r>
        <w:t>We Grant in Part AT&amp;T’s Challenge to the Abandonment Clause</w:t>
      </w:r>
    </w:p>
    <w:p w:rsidR="00AB3096" w:rsidRPr="00B235A6" w:rsidP="00AB3096" w14:paraId="25CFF690" w14:textId="5A798DCB">
      <w:pPr>
        <w:pStyle w:val="ParaNum"/>
        <w:rPr>
          <w:rStyle w:val="xapple-converted-space"/>
          <w:color w:val="000000"/>
        </w:rPr>
      </w:pPr>
      <w:r w:rsidRPr="00B235A6">
        <w:rPr>
          <w:rStyle w:val="xapple-converted-space"/>
          <w:color w:val="000000"/>
          <w:szCs w:val="22"/>
          <w:bdr w:val="none" w:sz="0" w:space="0" w:color="auto" w:frame="1"/>
        </w:rPr>
        <w:t>In December 2018, FPL sent AT&amp;T a “</w:t>
      </w:r>
      <w:r w:rsidRPr="00C0700D">
        <w:t>Notice</w:t>
      </w:r>
      <w:r w:rsidRPr="00B235A6">
        <w:rPr>
          <w:rStyle w:val="xapple-converted-space"/>
          <w:color w:val="000000"/>
          <w:szCs w:val="22"/>
          <w:bdr w:val="none" w:sz="0" w:space="0" w:color="auto" w:frame="1"/>
        </w:rPr>
        <w:t xml:space="preserve"> of Abandonment” </w:t>
      </w:r>
      <w:r w:rsidRPr="00B235A6">
        <w:rPr>
          <w:color w:val="000000"/>
          <w:szCs w:val="22"/>
        </w:rPr>
        <w:t>stating</w:t>
      </w:r>
      <w:r w:rsidRPr="00B235A6">
        <w:rPr>
          <w:rStyle w:val="xapple-converted-space"/>
          <w:color w:val="000000"/>
          <w:szCs w:val="22"/>
          <w:bdr w:val="none" w:sz="0" w:space="0" w:color="auto" w:frame="1"/>
        </w:rPr>
        <w:t xml:space="preserve"> that it would, in sixty days, abandon to AT&amp;T approximately 11,000 wood poles that FPL had replaced with concrete poles and on which, according to the National Joint Use Notification System, AT&amp;T was the last remaining attacher.</w:t>
      </w:r>
      <w:r>
        <w:rPr>
          <w:rStyle w:val="FootnoteReference"/>
          <w:szCs w:val="22"/>
          <w:bdr w:val="none" w:sz="0" w:space="0" w:color="auto" w:frame="1"/>
        </w:rPr>
        <w:footnoteReference w:id="61"/>
      </w:r>
      <w:r w:rsidRPr="00B235A6">
        <w:rPr>
          <w:rStyle w:val="xapple-converted-space"/>
          <w:color w:val="000000"/>
          <w:szCs w:val="22"/>
          <w:bdr w:val="none" w:sz="0" w:space="0" w:color="auto" w:frame="1"/>
        </w:rPr>
        <w:t xml:space="preserve">  FPL’s Notice invoked the JUA’s Abandonment Clause, which provides that, if the owner of a JUA pole gives not less than sixty days’ written notice of intention to abandon a pole to the other party (the attacher), and the attacher has not removed its attachments from the pole within the time allotted, the attacher becomes the owner of the pole and must pay the prior owner for it.</w:t>
      </w:r>
      <w:r>
        <w:rPr>
          <w:rStyle w:val="FootnoteReference"/>
          <w:szCs w:val="22"/>
          <w:bdr w:val="none" w:sz="0" w:space="0" w:color="auto" w:frame="1"/>
        </w:rPr>
        <w:footnoteReference w:id="62"/>
      </w:r>
      <w:r w:rsidRPr="00B235A6">
        <w:rPr>
          <w:rStyle w:val="xapple-converted-space"/>
          <w:color w:val="000000"/>
          <w:szCs w:val="22"/>
          <w:bdr w:val="none" w:sz="0" w:space="0" w:color="auto" w:frame="1"/>
        </w:rPr>
        <w:t xml:space="preserve">  In Count II of this Second Complaint, AT&amp;T alleges that the Abandonment Clause is an unjust and unreasonable term, and the Notice of Abandonment an unreasonable practice, within the meaning of Section 224(b)(1). AT&amp;T also asks the Commission to amend the Abandonment Clause retroactively.</w:t>
      </w:r>
      <w:r>
        <w:rPr>
          <w:rStyle w:val="FootnoteReference"/>
          <w:szCs w:val="22"/>
          <w:bdr w:val="none" w:sz="0" w:space="0" w:color="auto" w:frame="1"/>
        </w:rPr>
        <w:footnoteReference w:id="63"/>
      </w:r>
      <w:r w:rsidRPr="00B235A6">
        <w:rPr>
          <w:rStyle w:val="xapple-converted-space"/>
          <w:color w:val="000000"/>
          <w:szCs w:val="22"/>
          <w:bdr w:val="none" w:sz="0" w:space="0" w:color="auto" w:frame="1"/>
        </w:rPr>
        <w:t xml:space="preserve">  </w:t>
      </w:r>
      <w:bookmarkStart w:id="12" w:name="_Hlk72333894"/>
      <w:r w:rsidRPr="00B235A6">
        <w:rPr>
          <w:rStyle w:val="xapple-converted-space"/>
          <w:color w:val="000000"/>
          <w:bdr w:val="none" w:sz="0" w:space="0" w:color="auto" w:frame="1"/>
        </w:rPr>
        <w:t xml:space="preserve">     </w:t>
      </w:r>
      <w:r w:rsidRPr="00B235A6">
        <w:rPr>
          <w:rStyle w:val="apple-converted-space"/>
          <w:color w:val="000000"/>
          <w:bdr w:val="none" w:sz="0" w:space="0" w:color="auto" w:frame="1"/>
        </w:rPr>
        <w:t> </w:t>
      </w:r>
    </w:p>
    <w:p w:rsidR="00AB3096" w:rsidRPr="003A6621" w:rsidP="00AB3096" w14:paraId="3632B513" w14:textId="701971C2">
      <w:pPr>
        <w:pStyle w:val="ParaNum"/>
        <w:rPr>
          <w:rStyle w:val="xapple-converted-space"/>
        </w:rPr>
      </w:pPr>
      <w:bookmarkStart w:id="13" w:name="_Hlk72400324"/>
      <w:r w:rsidRPr="00824566">
        <w:rPr>
          <w:rStyle w:val="xapple-converted-space"/>
          <w:color w:val="000000"/>
          <w:bdr w:val="none" w:sz="0" w:space="0" w:color="auto" w:frame="1"/>
        </w:rPr>
        <w:t xml:space="preserve">AT&amp;T asserts that the </w:t>
      </w:r>
      <w:r w:rsidRPr="00C0700D">
        <w:t>Abandonment</w:t>
      </w:r>
      <w:r w:rsidRPr="00824566">
        <w:rPr>
          <w:rStyle w:val="xapple-converted-space"/>
          <w:color w:val="000000"/>
          <w:bdr w:val="none" w:sz="0" w:space="0" w:color="auto" w:frame="1"/>
        </w:rPr>
        <w:t xml:space="preserve"> Clause </w:t>
      </w:r>
      <w:r w:rsidRPr="004E0D63">
        <w:rPr>
          <w:szCs w:val="22"/>
        </w:rPr>
        <w:t>applies</w:t>
      </w:r>
      <w:r w:rsidRPr="00824566">
        <w:rPr>
          <w:rStyle w:val="xapple-converted-space"/>
          <w:color w:val="000000"/>
          <w:bdr w:val="none" w:sz="0" w:space="0" w:color="auto" w:frame="1"/>
        </w:rPr>
        <w:t xml:space="preserve"> only in limited circumstances and does not apply to the 11,000 poles in FPL’s Notice of Abandonment, because those poles were </w:t>
      </w:r>
      <w:r w:rsidRPr="00824566">
        <w:rPr>
          <w:rStyle w:val="xapple-converted-space"/>
          <w:i/>
          <w:iCs/>
          <w:color w:val="000000"/>
          <w:bdr w:val="none" w:sz="0" w:space="0" w:color="auto" w:frame="1"/>
        </w:rPr>
        <w:t>replaced</w:t>
      </w:r>
      <w:r w:rsidRPr="00824566">
        <w:rPr>
          <w:rStyle w:val="xapple-converted-space"/>
          <w:color w:val="000000"/>
          <w:bdr w:val="none" w:sz="0" w:space="0" w:color="auto" w:frame="1"/>
        </w:rPr>
        <w:t>.  AT&amp;T states</w:t>
      </w:r>
      <w:r>
        <w:rPr>
          <w:rStyle w:val="xapple-converted-space"/>
          <w:color w:val="000000"/>
          <w:bdr w:val="none" w:sz="0" w:space="0" w:color="auto" w:frame="1"/>
        </w:rPr>
        <w:t xml:space="preserve">: </w:t>
      </w:r>
      <w:r w:rsidRPr="00824566">
        <w:rPr>
          <w:rStyle w:val="xapple-converted-space"/>
          <w:color w:val="000000"/>
          <w:bdr w:val="none" w:sz="0" w:space="0" w:color="auto" w:frame="1"/>
        </w:rPr>
        <w:t xml:space="preserve"> </w:t>
      </w:r>
    </w:p>
    <w:p w:rsidR="00AB3096" w:rsidP="00094BA8" w14:paraId="52596DAC" w14:textId="44BE8C89">
      <w:pPr>
        <w:pStyle w:val="ParaNum"/>
        <w:numPr>
          <w:ilvl w:val="0"/>
          <w:numId w:val="0"/>
        </w:numPr>
        <w:ind w:left="1440" w:right="1440"/>
        <w:rPr>
          <w:rStyle w:val="xapple-converted-space"/>
          <w:color w:val="000000"/>
          <w:bdr w:val="none" w:sz="0" w:space="0" w:color="auto" w:frame="1"/>
        </w:rPr>
      </w:pPr>
      <w:r w:rsidRPr="00824566">
        <w:rPr>
          <w:rStyle w:val="xapple-converted-space"/>
          <w:color w:val="000000"/>
          <w:bdr w:val="none" w:sz="0" w:space="0" w:color="auto" w:frame="1"/>
        </w:rPr>
        <w:t xml:space="preserve">A pole </w:t>
      </w:r>
      <w:r w:rsidRPr="00C0700D">
        <w:t>abandonment</w:t>
      </w:r>
      <w:r w:rsidRPr="00824566">
        <w:rPr>
          <w:rStyle w:val="xapple-converted-space"/>
          <w:color w:val="000000"/>
          <w:bdr w:val="none" w:sz="0" w:space="0" w:color="auto" w:frame="1"/>
        </w:rPr>
        <w:t xml:space="preserve"> occurs in the relatively rare situation when a pole owner removes its facilities from a single pole (or pole line) because it no longer needs a pole in that location – the pole owner will no longer serve customers from that pole or is going to serve customers by underground means instead. </w:t>
      </w:r>
      <w:r w:rsidRPr="00824566">
        <w:rPr>
          <w:rStyle w:val="apple-converted-space"/>
          <w:color w:val="000000"/>
          <w:bdr w:val="none" w:sz="0" w:space="0" w:color="auto" w:frame="1"/>
        </w:rPr>
        <w:t> </w:t>
      </w:r>
      <w:r w:rsidRPr="00824566">
        <w:rPr>
          <w:rStyle w:val="xapple-converted-space"/>
          <w:color w:val="000000"/>
          <w:bdr w:val="none" w:sz="0" w:space="0" w:color="auto" w:frame="1"/>
        </w:rPr>
        <w:t>In that situation, this JUA</w:t>
      </w:r>
      <w:r>
        <w:rPr>
          <w:rStyle w:val="xapple-converted-space"/>
          <w:color w:val="000000"/>
          <w:bdr w:val="none" w:sz="0" w:space="0" w:color="auto" w:frame="1"/>
        </w:rPr>
        <w:t xml:space="preserve"> . . . </w:t>
      </w:r>
      <w:r w:rsidRPr="00824566">
        <w:rPr>
          <w:rStyle w:val="xapple-converted-space"/>
          <w:color w:val="000000"/>
          <w:bdr w:val="none" w:sz="0" w:space="0" w:color="auto" w:frame="1"/>
        </w:rPr>
        <w:t>requires the pole owner to notify the other joint user</w:t>
      </w:r>
      <w:r>
        <w:rPr>
          <w:rStyle w:val="xapple-converted-space"/>
          <w:color w:val="000000"/>
          <w:bdr w:val="none" w:sz="0" w:space="0" w:color="auto" w:frame="1"/>
        </w:rPr>
        <w:t xml:space="preserve"> . . . </w:t>
      </w:r>
      <w:r w:rsidRPr="00824566">
        <w:rPr>
          <w:rStyle w:val="xapple-converted-space"/>
          <w:color w:val="000000"/>
          <w:bdr w:val="none" w:sz="0" w:space="0" w:color="auto" w:frame="1"/>
        </w:rPr>
        <w:t>and allows that other joint user to decide whether it would like to continue to use the pole</w:t>
      </w:r>
      <w:r>
        <w:rPr>
          <w:rStyle w:val="xapple-converted-space"/>
          <w:color w:val="000000"/>
          <w:bdr w:val="none" w:sz="0" w:space="0" w:color="auto" w:frame="1"/>
        </w:rPr>
        <w:t>. . . .</w:t>
      </w:r>
      <w:r>
        <w:rPr>
          <w:rStyle w:val="xapple-converted-space"/>
          <w:color w:val="000000"/>
          <w:bdr w:val="none" w:sz="0" w:space="0" w:color="auto" w:frame="1"/>
        </w:rPr>
        <w:t xml:space="preserve">  Pole replacements, in contrast, happen regularly when an existing pole is being replaced for one of several reasons, after which all companies with facilities attached to the pole (including the pole owner) transfer their facilities to the replacement pole . . . .</w:t>
      </w:r>
      <w:r>
        <w:rPr>
          <w:rStyle w:val="FootnoteReference"/>
          <w:bdr w:val="none" w:sz="0" w:space="0" w:color="auto" w:frame="1"/>
        </w:rPr>
        <w:footnoteReference w:id="64"/>
      </w:r>
      <w:r>
        <w:rPr>
          <w:rStyle w:val="xapple-converted-space"/>
          <w:color w:val="000000"/>
          <w:bdr w:val="none" w:sz="0" w:space="0" w:color="auto" w:frame="1"/>
        </w:rPr>
        <w:t xml:space="preserve">  </w:t>
      </w:r>
    </w:p>
    <w:p w:rsidR="00AB3096" w:rsidP="00AB3096" w14:paraId="4BD13C2C" w14:textId="77777777">
      <w:pPr>
        <w:pStyle w:val="ParaNum"/>
        <w:rPr>
          <w:rStyle w:val="xapple-converted-space"/>
          <w:color w:val="000000"/>
          <w:bdr w:val="none" w:sz="0" w:space="0" w:color="auto" w:frame="1"/>
        </w:rPr>
      </w:pPr>
      <w:r w:rsidRPr="00824566">
        <w:rPr>
          <w:rStyle w:val="xapple-converted-space"/>
          <w:color w:val="000000"/>
          <w:bdr w:val="none" w:sz="0" w:space="0" w:color="auto" w:frame="1"/>
        </w:rPr>
        <w:t xml:space="preserve">FPL disagrees, </w:t>
      </w:r>
      <w:r w:rsidRPr="00C0700D">
        <w:t>arguing</w:t>
      </w:r>
      <w:r w:rsidRPr="00824566">
        <w:rPr>
          <w:rStyle w:val="xapple-converted-space"/>
          <w:color w:val="000000"/>
          <w:bdr w:val="none" w:sz="0" w:space="0" w:color="auto" w:frame="1"/>
        </w:rPr>
        <w:t xml:space="preserve"> that the Abandonment Clause places no limit on the kind or </w:t>
      </w:r>
      <w:r w:rsidRPr="00824566">
        <w:rPr>
          <w:rStyle w:val="xapple-converted-space"/>
          <w:color w:val="000000"/>
          <w:bdr w:val="none" w:sz="0" w:space="0" w:color="auto" w:frame="1"/>
        </w:rPr>
        <w:t>number of poles that may be abandoned</w:t>
      </w:r>
      <w:r>
        <w:rPr>
          <w:rStyle w:val="xapple-converted-space"/>
          <w:color w:val="000000"/>
          <w:bdr w:val="none" w:sz="0" w:space="0" w:color="auto" w:frame="1"/>
        </w:rPr>
        <w:t>.  FPL notes</w:t>
      </w:r>
      <w:r w:rsidRPr="00824566">
        <w:rPr>
          <w:rStyle w:val="xapple-converted-space"/>
          <w:color w:val="000000"/>
          <w:bdr w:val="none" w:sz="0" w:space="0" w:color="auto" w:frame="1"/>
        </w:rPr>
        <w:t xml:space="preserve"> that the clause states, “If the [pole] Owner desires at </w:t>
      </w:r>
      <w:r w:rsidRPr="00824566">
        <w:rPr>
          <w:rStyle w:val="xapple-converted-space"/>
          <w:i/>
          <w:iCs/>
          <w:color w:val="000000"/>
          <w:bdr w:val="none" w:sz="0" w:space="0" w:color="auto" w:frame="1"/>
        </w:rPr>
        <w:t xml:space="preserve">any time </w:t>
      </w:r>
      <w:r w:rsidRPr="00824566">
        <w:rPr>
          <w:rStyle w:val="xapple-converted-space"/>
          <w:color w:val="000000"/>
          <w:bdr w:val="none" w:sz="0" w:space="0" w:color="auto" w:frame="1"/>
        </w:rPr>
        <w:t xml:space="preserve">to abandon </w:t>
      </w:r>
      <w:r w:rsidRPr="00824566">
        <w:rPr>
          <w:rStyle w:val="xapple-converted-space"/>
          <w:i/>
          <w:iCs/>
          <w:color w:val="000000"/>
          <w:bdr w:val="none" w:sz="0" w:space="0" w:color="auto" w:frame="1"/>
        </w:rPr>
        <w:t>any</w:t>
      </w:r>
      <w:r w:rsidRPr="00824566">
        <w:rPr>
          <w:rStyle w:val="xapple-converted-space"/>
          <w:color w:val="000000"/>
          <w:bdr w:val="none" w:sz="0" w:space="0" w:color="auto" w:frame="1"/>
        </w:rPr>
        <w:t xml:space="preserve"> </w:t>
      </w:r>
      <w:r w:rsidRPr="00824566">
        <w:rPr>
          <w:rStyle w:val="xapple-converted-space"/>
          <w:i/>
          <w:iCs/>
          <w:color w:val="000000"/>
          <w:bdr w:val="none" w:sz="0" w:space="0" w:color="auto" w:frame="1"/>
        </w:rPr>
        <w:t>jointly used pole</w:t>
      </w:r>
      <w:r w:rsidRPr="00824566">
        <w:rPr>
          <w:rStyle w:val="xapple-converted-space"/>
          <w:color w:val="000000"/>
          <w:bdr w:val="none" w:sz="0" w:space="0" w:color="auto" w:frame="1"/>
        </w:rPr>
        <w:t xml:space="preserve"> [it may do so on not less than sixty days’ notice]</w:t>
      </w:r>
      <w:r>
        <w:rPr>
          <w:rStyle w:val="xapple-converted-space"/>
          <w:color w:val="000000"/>
          <w:bdr w:val="none" w:sz="0" w:space="0" w:color="auto" w:frame="1"/>
        </w:rPr>
        <w:t xml:space="preserve"> . . . .</w:t>
      </w:r>
      <w:r w:rsidRPr="00824566">
        <w:rPr>
          <w:rStyle w:val="xapple-converted-space"/>
          <w:color w:val="000000"/>
          <w:bdr w:val="none" w:sz="0" w:space="0" w:color="auto" w:frame="1"/>
        </w:rPr>
        <w:t>”</w:t>
      </w:r>
      <w:r>
        <w:rPr>
          <w:rStyle w:val="FootnoteReference"/>
          <w:bdr w:val="none" w:sz="0" w:space="0" w:color="auto" w:frame="1"/>
        </w:rPr>
        <w:footnoteReference w:id="65"/>
      </w:r>
      <w:r w:rsidRPr="00824566">
        <w:rPr>
          <w:rStyle w:val="xapple-converted-space"/>
          <w:color w:val="000000"/>
          <w:bdr w:val="none" w:sz="0" w:space="0" w:color="auto" w:frame="1"/>
        </w:rPr>
        <w:t xml:space="preserve">  Therefore, according to FPL, it properly invoked the clause with respect to the 11,000 wood poles it replaced with concrete poles.</w:t>
      </w:r>
      <w:r>
        <w:rPr>
          <w:rStyle w:val="FootnoteReference"/>
          <w:bdr w:val="none" w:sz="0" w:space="0" w:color="auto" w:frame="1"/>
        </w:rPr>
        <w:footnoteReference w:id="66"/>
      </w:r>
      <w:r w:rsidRPr="00824566">
        <w:rPr>
          <w:rStyle w:val="xapple-converted-space"/>
          <w:color w:val="000000"/>
          <w:bdr w:val="none" w:sz="0" w:space="0" w:color="auto" w:frame="1"/>
        </w:rPr>
        <w:t xml:space="preserve"> </w:t>
      </w:r>
    </w:p>
    <w:p w:rsidR="00AB3096" w:rsidRPr="005273E1" w:rsidP="00AB3096" w14:paraId="34FE31E9" w14:textId="77777777">
      <w:pPr>
        <w:pStyle w:val="ParaNum"/>
        <w:rPr>
          <w:rStyle w:val="xapple-converted-space"/>
          <w:color w:val="000000"/>
          <w:szCs w:val="22"/>
        </w:rPr>
      </w:pPr>
      <w:r w:rsidRPr="41E6FD29">
        <w:t xml:space="preserve">FPL’s analysis is </w:t>
      </w:r>
      <w:r w:rsidRPr="00C0700D">
        <w:t>incorrect</w:t>
      </w:r>
      <w:r>
        <w:t xml:space="preserve"> for three </w:t>
      </w:r>
      <w:r w:rsidRPr="00093F11">
        <w:rPr>
          <w:snapToGrid/>
        </w:rPr>
        <w:t>reasons</w:t>
      </w:r>
      <w:r w:rsidRPr="41E6FD29">
        <w:t>.  First, it</w:t>
      </w:r>
      <w:r w:rsidRPr="00A7030C">
        <w:rPr>
          <w:rStyle w:val="xapple-converted-space"/>
          <w:color w:val="000000"/>
          <w:bdr w:val="none" w:sz="0" w:space="0" w:color="auto" w:frame="1"/>
        </w:rPr>
        <w:t xml:space="preserve"> ignores the parties’ course of </w:t>
      </w:r>
      <w:r>
        <w:rPr>
          <w:rStyle w:val="xapple-converted-space"/>
          <w:color w:val="000000"/>
          <w:bdr w:val="none" w:sz="0" w:space="0" w:color="auto" w:frame="1"/>
        </w:rPr>
        <w:t>performance</w:t>
      </w:r>
      <w:r w:rsidRPr="00A7030C">
        <w:rPr>
          <w:rStyle w:val="xapple-converted-space"/>
          <w:color w:val="000000"/>
          <w:bdr w:val="none" w:sz="0" w:space="0" w:color="auto" w:frame="1"/>
        </w:rPr>
        <w:t>.</w:t>
      </w:r>
      <w:r>
        <w:rPr>
          <w:rStyle w:val="FootnoteReference"/>
          <w:bdr w:val="none" w:sz="0" w:space="0" w:color="auto" w:frame="1"/>
        </w:rPr>
        <w:footnoteReference w:id="67"/>
      </w:r>
      <w:r w:rsidRPr="00A7030C">
        <w:rPr>
          <w:rStyle w:val="xapple-converted-space"/>
          <w:color w:val="000000"/>
          <w:bdr w:val="none" w:sz="0" w:space="0" w:color="auto" w:frame="1"/>
        </w:rPr>
        <w:t xml:space="preserve">  Before FPL’s Abandonment Notice, neither party had ever invoked the Abandonment Clause to abandon replace</w:t>
      </w:r>
      <w:r>
        <w:rPr>
          <w:rStyle w:val="xapple-converted-space"/>
          <w:color w:val="000000"/>
          <w:bdr w:val="none" w:sz="0" w:space="0" w:color="auto" w:frame="1"/>
        </w:rPr>
        <w:t>d</w:t>
      </w:r>
      <w:r w:rsidRPr="00A7030C">
        <w:rPr>
          <w:rStyle w:val="xapple-converted-space"/>
          <w:color w:val="000000"/>
          <w:bdr w:val="none" w:sz="0" w:space="0" w:color="auto" w:frame="1"/>
        </w:rPr>
        <w:t xml:space="preserve"> poles. </w:t>
      </w:r>
      <w:r w:rsidRPr="00A7030C">
        <w:rPr>
          <w:rStyle w:val="apple-converted-space"/>
          <w:color w:val="000000"/>
          <w:bdr w:val="none" w:sz="0" w:space="0" w:color="auto" w:frame="1"/>
        </w:rPr>
        <w:t> </w:t>
      </w:r>
      <w:r w:rsidRPr="00A7030C">
        <w:rPr>
          <w:rStyle w:val="xapple-converted-space"/>
          <w:color w:val="000000"/>
          <w:bdr w:val="none" w:sz="0" w:space="0" w:color="auto" w:frame="1"/>
        </w:rPr>
        <w:t>Instead, the parties applied the clause only in the limited circumstances described by AT&amp;T.</w:t>
      </w:r>
      <w:r>
        <w:rPr>
          <w:rStyle w:val="FootnoteReference"/>
          <w:bdr w:val="none" w:sz="0" w:space="0" w:color="auto" w:frame="1"/>
        </w:rPr>
        <w:footnoteReference w:id="68"/>
      </w:r>
      <w:bookmarkEnd w:id="13"/>
      <w:r>
        <w:rPr>
          <w:rStyle w:val="xapple-converted-space"/>
          <w:color w:val="000000"/>
          <w:bdr w:val="none" w:sz="0" w:space="0" w:color="auto" w:frame="1"/>
        </w:rPr>
        <w:t xml:space="preserve">  </w:t>
      </w:r>
    </w:p>
    <w:p w:rsidR="00AB3096" w:rsidRPr="00A7030C" w:rsidP="00543330" w14:paraId="16CD8DE4" w14:textId="2C24BE04">
      <w:pPr>
        <w:pStyle w:val="ParaNum"/>
        <w:widowControl/>
        <w:rPr>
          <w:rStyle w:val="xapple-converted-space"/>
          <w:color w:val="000000"/>
          <w:szCs w:val="22"/>
        </w:rPr>
      </w:pPr>
      <w:r w:rsidRPr="00A7030C">
        <w:rPr>
          <w:rStyle w:val="xapple-converted-space"/>
          <w:color w:val="000000"/>
          <w:bdr w:val="none" w:sz="0" w:space="0" w:color="auto" w:frame="1"/>
        </w:rPr>
        <w:t xml:space="preserve">Second, FPL’s </w:t>
      </w:r>
      <w:r w:rsidRPr="00C0700D">
        <w:t>construction</w:t>
      </w:r>
      <w:r w:rsidRPr="00A7030C">
        <w:rPr>
          <w:rStyle w:val="xapple-converted-space"/>
          <w:color w:val="000000"/>
          <w:bdr w:val="none" w:sz="0" w:space="0" w:color="auto" w:frame="1"/>
        </w:rPr>
        <w:t xml:space="preserve"> of the </w:t>
      </w:r>
      <w:r w:rsidRPr="004E0D63">
        <w:rPr>
          <w:szCs w:val="22"/>
        </w:rPr>
        <w:t>Abandonment</w:t>
      </w:r>
      <w:r w:rsidRPr="00A7030C">
        <w:rPr>
          <w:rStyle w:val="xapple-converted-space"/>
          <w:color w:val="000000"/>
          <w:bdr w:val="none" w:sz="0" w:space="0" w:color="auto" w:frame="1"/>
        </w:rPr>
        <w:t xml:space="preserve"> Clause would render the clause unreasonable.</w:t>
      </w:r>
      <w:r>
        <w:rPr>
          <w:rStyle w:val="FootnoteReference"/>
          <w:bdr w:val="none" w:sz="0" w:space="0" w:color="auto" w:frame="1"/>
        </w:rPr>
        <w:footnoteReference w:id="69"/>
      </w:r>
      <w:r w:rsidRPr="00A7030C">
        <w:rPr>
          <w:rStyle w:val="xapple-converted-space"/>
          <w:color w:val="000000"/>
          <w:bdr w:val="none" w:sz="0" w:space="0" w:color="auto" w:frame="1"/>
        </w:rPr>
        <w:t> </w:t>
      </w:r>
      <w:r w:rsidRPr="00A7030C">
        <w:rPr>
          <w:rStyle w:val="apple-converted-space"/>
          <w:color w:val="000000"/>
          <w:bdr w:val="none" w:sz="0" w:space="0" w:color="auto" w:frame="1"/>
        </w:rPr>
        <w:t> </w:t>
      </w:r>
      <w:r w:rsidRPr="00A7030C">
        <w:rPr>
          <w:rStyle w:val="xapple-converted-space"/>
          <w:color w:val="000000"/>
          <w:bdr w:val="none" w:sz="0" w:space="0" w:color="auto" w:frame="1"/>
        </w:rPr>
        <w:t>Poles are replaced for many reasons: </w:t>
      </w:r>
      <w:r w:rsidRPr="00A7030C">
        <w:rPr>
          <w:rStyle w:val="apple-converted-space"/>
          <w:color w:val="000000"/>
          <w:bdr w:val="none" w:sz="0" w:space="0" w:color="auto" w:frame="1"/>
        </w:rPr>
        <w:t> </w:t>
      </w:r>
      <w:r w:rsidR="006C0F17">
        <w:rPr>
          <w:rStyle w:val="xapple-converted-space"/>
          <w:color w:val="000000"/>
          <w:bdr w:val="none" w:sz="0" w:space="0" w:color="auto" w:frame="1"/>
        </w:rPr>
        <w:t>a</w:t>
      </w:r>
      <w:r w:rsidRPr="00A7030C" w:rsidR="006C0F17">
        <w:rPr>
          <w:rStyle w:val="xapple-converted-space"/>
          <w:color w:val="000000"/>
          <w:bdr w:val="none" w:sz="0" w:space="0" w:color="auto" w:frame="1"/>
        </w:rPr>
        <w:t xml:space="preserve"> </w:t>
      </w:r>
      <w:r w:rsidRPr="00A7030C">
        <w:rPr>
          <w:rStyle w:val="xapple-converted-space"/>
          <w:color w:val="000000"/>
          <w:bdr w:val="none" w:sz="0" w:space="0" w:color="auto" w:frame="1"/>
        </w:rPr>
        <w:t>stronger pole is required; the pole has reached the end of its useful life; the pole has been damaged by a natural event or, for example, in a car accident; a taller pole is needed to accommodate additional attachments; the pole has to be relocated, for example to accommodate a road widening.</w:t>
      </w:r>
      <w:r>
        <w:rPr>
          <w:rStyle w:val="FootnoteReference"/>
          <w:bdr w:val="none" w:sz="0" w:space="0" w:color="auto" w:frame="1"/>
        </w:rPr>
        <w:footnoteReference w:id="70"/>
      </w:r>
      <w:r w:rsidRPr="00A7030C">
        <w:rPr>
          <w:rStyle w:val="xapple-converted-space"/>
          <w:color w:val="000000"/>
          <w:bdr w:val="none" w:sz="0" w:space="0" w:color="auto" w:frame="1"/>
        </w:rPr>
        <w:t> </w:t>
      </w:r>
      <w:r w:rsidRPr="00A7030C">
        <w:rPr>
          <w:rStyle w:val="apple-converted-space"/>
          <w:color w:val="000000"/>
          <w:bdr w:val="none" w:sz="0" w:space="0" w:color="auto" w:frame="1"/>
        </w:rPr>
        <w:t> </w:t>
      </w:r>
      <w:r w:rsidRPr="00A7030C">
        <w:rPr>
          <w:rStyle w:val="xapple-converted-space"/>
          <w:color w:val="000000"/>
          <w:bdr w:val="none" w:sz="0" w:space="0" w:color="auto" w:frame="1"/>
        </w:rPr>
        <w:t xml:space="preserve">An attacher would rarely, if ever, want to purchase a pole that has been replaced because </w:t>
      </w:r>
      <w:r>
        <w:rPr>
          <w:rStyle w:val="xapple-converted-space"/>
          <w:color w:val="000000"/>
          <w:bdr w:val="none" w:sz="0" w:space="0" w:color="auto" w:frame="1"/>
        </w:rPr>
        <w:t xml:space="preserve">replaced </w:t>
      </w:r>
      <w:r w:rsidRPr="00A7030C">
        <w:rPr>
          <w:rStyle w:val="xapple-converted-space"/>
          <w:color w:val="000000"/>
          <w:bdr w:val="none" w:sz="0" w:space="0" w:color="auto" w:frame="1"/>
        </w:rPr>
        <w:t>poles can no longer be used. </w:t>
      </w:r>
      <w:r w:rsidRPr="00A7030C">
        <w:rPr>
          <w:rStyle w:val="apple-converted-space"/>
          <w:color w:val="000000"/>
          <w:bdr w:val="none" w:sz="0" w:space="0" w:color="auto" w:frame="1"/>
        </w:rPr>
        <w:t> </w:t>
      </w:r>
      <w:r w:rsidRPr="00A7030C">
        <w:rPr>
          <w:rStyle w:val="xapple-converted-space"/>
          <w:color w:val="000000"/>
          <w:bdr w:val="none" w:sz="0" w:space="0" w:color="auto" w:frame="1"/>
        </w:rPr>
        <w:t>In addition, state and local authorities almost certainly would not allow an attacher to remain on a pole that has been replaced, as most jurisdictions forbid duplicate poles.</w:t>
      </w:r>
      <w:r>
        <w:rPr>
          <w:rStyle w:val="FootnoteReference"/>
          <w:bdr w:val="none" w:sz="0" w:space="0" w:color="auto" w:frame="1"/>
        </w:rPr>
        <w:footnoteReference w:id="71"/>
      </w:r>
      <w:r w:rsidRPr="00A7030C">
        <w:rPr>
          <w:rStyle w:val="xapple-converted-space"/>
          <w:color w:val="000000"/>
          <w:bdr w:val="none" w:sz="0" w:space="0" w:color="auto" w:frame="1"/>
        </w:rPr>
        <w:t xml:space="preserve">  If FPL’s construction were correct, a party who did not transfer or remove its attachments from the pole within sixty days would have to purchase a useless pole from its owner and then have to pay to remove and dispose of it. </w:t>
      </w:r>
      <w:r w:rsidRPr="00A7030C">
        <w:rPr>
          <w:rStyle w:val="apple-converted-space"/>
          <w:color w:val="000000"/>
          <w:bdr w:val="none" w:sz="0" w:space="0" w:color="auto" w:frame="1"/>
        </w:rPr>
        <w:t> </w:t>
      </w:r>
      <w:r w:rsidRPr="00A7030C">
        <w:rPr>
          <w:rStyle w:val="xapple-converted-space"/>
          <w:color w:val="000000"/>
          <w:bdr w:val="none" w:sz="0" w:space="0" w:color="auto" w:frame="1"/>
        </w:rPr>
        <w:t>So construed, the Abandonment Clause serves as a kind of penalty that is imposed if the attacher fails to transfer its attachments fast enough.</w:t>
      </w:r>
      <w:r>
        <w:rPr>
          <w:rStyle w:val="xapple-converted-space"/>
          <w:color w:val="000000"/>
          <w:bdr w:val="none" w:sz="0" w:space="0" w:color="auto" w:frame="1"/>
        </w:rPr>
        <w:t xml:space="preserve">  </w:t>
      </w:r>
      <w:r w:rsidRPr="00A7030C">
        <w:rPr>
          <w:rStyle w:val="xapple-converted-space"/>
          <w:color w:val="000000"/>
          <w:bdr w:val="none" w:sz="0" w:space="0" w:color="auto" w:frame="1"/>
        </w:rPr>
        <w:t>But the sixty-day deadline is too short and too definite a deadline for the imposition of such severe consequences. </w:t>
      </w:r>
      <w:r w:rsidRPr="00A7030C">
        <w:rPr>
          <w:rStyle w:val="apple-converted-space"/>
          <w:color w:val="000000"/>
          <w:bdr w:val="none" w:sz="0" w:space="0" w:color="auto" w:frame="1"/>
        </w:rPr>
        <w:t> </w:t>
      </w:r>
      <w:r w:rsidRPr="00A7030C">
        <w:rPr>
          <w:rStyle w:val="xapple-converted-space"/>
          <w:color w:val="000000"/>
          <w:bdr w:val="none" w:sz="0" w:space="0" w:color="auto" w:frame="1"/>
        </w:rPr>
        <w:t>Pole replacements are regular occurrences and can involve large numbers of poles, as FPL’s replacement of 11,000 poles establishes. </w:t>
      </w:r>
      <w:r w:rsidRPr="00A7030C">
        <w:rPr>
          <w:rStyle w:val="apple-converted-space"/>
          <w:color w:val="000000"/>
          <w:bdr w:val="none" w:sz="0" w:space="0" w:color="auto" w:frame="1"/>
        </w:rPr>
        <w:t> </w:t>
      </w:r>
      <w:r w:rsidRPr="00A7030C">
        <w:rPr>
          <w:rStyle w:val="xapple-converted-space"/>
          <w:color w:val="000000"/>
          <w:bdr w:val="none" w:sz="0" w:space="0" w:color="auto" w:frame="1"/>
        </w:rPr>
        <w:t>The transfer process is complex and often at the mercy of factors beyond the control of either party. </w:t>
      </w:r>
      <w:r w:rsidRPr="00A7030C">
        <w:rPr>
          <w:rStyle w:val="apple-converted-space"/>
          <w:color w:val="000000"/>
          <w:bdr w:val="none" w:sz="0" w:space="0" w:color="auto" w:frame="1"/>
        </w:rPr>
        <w:t> </w:t>
      </w:r>
      <w:r w:rsidRPr="00A7030C">
        <w:rPr>
          <w:rStyle w:val="xapple-converted-space"/>
          <w:color w:val="000000"/>
          <w:bdr w:val="none" w:sz="0" w:space="0" w:color="auto" w:frame="1"/>
        </w:rPr>
        <w:t>For example, a municipality may take months to issue a permit, or severe weather may slow the process.</w:t>
      </w:r>
      <w:r>
        <w:rPr>
          <w:rStyle w:val="FootnoteReference"/>
          <w:bdr w:val="none" w:sz="0" w:space="0" w:color="auto" w:frame="1"/>
        </w:rPr>
        <w:footnoteReference w:id="72"/>
      </w:r>
      <w:r w:rsidRPr="00A7030C">
        <w:rPr>
          <w:rStyle w:val="xapple-converted-space"/>
          <w:color w:val="000000"/>
          <w:bdr w:val="none" w:sz="0" w:space="0" w:color="auto" w:frame="1"/>
        </w:rPr>
        <w:t xml:space="preserve">  As a result, we do not believe that the parties intended the Abandonment Clause </w:t>
      </w:r>
      <w:r>
        <w:rPr>
          <w:rStyle w:val="xapple-converted-space"/>
          <w:color w:val="000000"/>
          <w:bdr w:val="none" w:sz="0" w:space="0" w:color="auto" w:frame="1"/>
        </w:rPr>
        <w:t>to</w:t>
      </w:r>
      <w:r w:rsidRPr="00A7030C">
        <w:rPr>
          <w:rStyle w:val="xapple-converted-space"/>
          <w:color w:val="000000"/>
          <w:bdr w:val="none" w:sz="0" w:space="0" w:color="auto" w:frame="1"/>
        </w:rPr>
        <w:t xml:space="preserve"> apply to replacement poles.</w:t>
      </w:r>
      <w:bookmarkEnd w:id="12"/>
    </w:p>
    <w:p w:rsidR="00AB3096" w:rsidP="00AB3096" w14:paraId="66C919ED" w14:textId="6221AE8D">
      <w:pPr>
        <w:pStyle w:val="ParaNum"/>
        <w:rPr>
          <w:color w:val="000000"/>
          <w:bdr w:val="none" w:sz="0" w:space="0" w:color="auto" w:frame="1"/>
        </w:rPr>
      </w:pPr>
      <w:r w:rsidRPr="00A65043">
        <w:t>Third</w:t>
      </w:r>
      <w:r w:rsidRPr="00F13333">
        <w:rPr>
          <w:rStyle w:val="xapple-converted-space"/>
          <w:color w:val="000000"/>
          <w:bdr w:val="none" w:sz="0" w:space="0" w:color="auto" w:frame="1"/>
        </w:rPr>
        <w:t xml:space="preserve">, and finally, FPL’s </w:t>
      </w:r>
      <w:r w:rsidRPr="00C0700D">
        <w:t>construction</w:t>
      </w:r>
      <w:r w:rsidRPr="00F13333">
        <w:rPr>
          <w:rStyle w:val="xapple-converted-space"/>
          <w:color w:val="000000"/>
          <w:bdr w:val="none" w:sz="0" w:space="0" w:color="auto" w:frame="1"/>
        </w:rPr>
        <w:t xml:space="preserve"> of the Abandonment Clause is incorrect because it reads the clause in isolation.</w:t>
      </w:r>
      <w:r>
        <w:rPr>
          <w:rStyle w:val="FootnoteReference"/>
          <w:bdr w:val="none" w:sz="0" w:space="0" w:color="auto" w:frame="1"/>
        </w:rPr>
        <w:footnoteReference w:id="73"/>
      </w:r>
      <w:r w:rsidRPr="00F13333">
        <w:rPr>
          <w:rStyle w:val="xapple-converted-space"/>
          <w:color w:val="000000"/>
          <w:bdr w:val="none" w:sz="0" w:space="0" w:color="auto" w:frame="1"/>
        </w:rPr>
        <w:t xml:space="preserve">  The </w:t>
      </w:r>
      <w:r w:rsidRPr="00F13333">
        <w:rPr>
          <w:color w:val="000000"/>
          <w:bdr w:val="none" w:sz="0" w:space="0" w:color="auto" w:frame="1"/>
        </w:rPr>
        <w:t>JUA specifically addresses the parties’ obligation to transfer their attachments to replacement poles, and provides a remedy for failure to comply with that obligation, elsewhere in the agreement. </w:t>
      </w:r>
      <w:r w:rsidRPr="00F13333">
        <w:rPr>
          <w:rStyle w:val="apple-converted-space"/>
          <w:color w:val="000000"/>
          <w:bdr w:val="none" w:sz="0" w:space="0" w:color="auto" w:frame="1"/>
        </w:rPr>
        <w:t> </w:t>
      </w:r>
      <w:r w:rsidRPr="00F13333">
        <w:rPr>
          <w:color w:val="000000"/>
          <w:bdr w:val="none" w:sz="0" w:space="0" w:color="auto" w:frame="1"/>
        </w:rPr>
        <w:t>Article III of the JUA states that “each party shall</w:t>
      </w:r>
      <w:r>
        <w:rPr>
          <w:color w:val="000000"/>
          <w:bdr w:val="none" w:sz="0" w:space="0" w:color="auto" w:frame="1"/>
        </w:rPr>
        <w:t xml:space="preserve"> . . .</w:t>
      </w:r>
      <w:r w:rsidRPr="00F13333">
        <w:rPr>
          <w:color w:val="000000"/>
          <w:bdr w:val="none" w:sz="0" w:space="0" w:color="auto" w:frame="1"/>
        </w:rPr>
        <w:t xml:space="preserve"> transfer</w:t>
      </w:r>
      <w:r>
        <w:rPr>
          <w:color w:val="000000"/>
          <w:bdr w:val="none" w:sz="0" w:space="0" w:color="auto" w:frame="1"/>
        </w:rPr>
        <w:t xml:space="preserve"> . . . </w:t>
      </w:r>
      <w:r w:rsidRPr="00F13333">
        <w:rPr>
          <w:color w:val="000000"/>
          <w:bdr w:val="none" w:sz="0" w:space="0" w:color="auto" w:frame="1"/>
        </w:rPr>
        <w:t>its own attachments</w:t>
      </w:r>
      <w:r>
        <w:rPr>
          <w:color w:val="000000"/>
          <w:bdr w:val="none" w:sz="0" w:space="0" w:color="auto" w:frame="1"/>
        </w:rPr>
        <w:t xml:space="preserve"> . . .</w:t>
      </w:r>
      <w:r w:rsidRPr="00F13333">
        <w:rPr>
          <w:color w:val="000000"/>
          <w:bdr w:val="none" w:sz="0" w:space="0" w:color="auto" w:frame="1"/>
        </w:rPr>
        <w:t>, and shall at all times perform such work</w:t>
      </w:r>
      <w:r w:rsidRPr="00F13333">
        <w:rPr>
          <w:rStyle w:val="apple-converted-space"/>
          <w:color w:val="000000"/>
          <w:bdr w:val="none" w:sz="0" w:space="0" w:color="auto" w:frame="1"/>
        </w:rPr>
        <w:t> </w:t>
      </w:r>
      <w:r w:rsidRPr="00F13333">
        <w:rPr>
          <w:i/>
          <w:iCs/>
          <w:color w:val="000000"/>
          <w:bdr w:val="none" w:sz="0" w:space="0" w:color="auto" w:frame="1"/>
        </w:rPr>
        <w:t>promptly</w:t>
      </w:r>
      <w:r w:rsidRPr="00F13333">
        <w:rPr>
          <w:color w:val="000000"/>
          <w:bdr w:val="none" w:sz="0" w:space="0" w:color="auto" w:frame="1"/>
        </w:rPr>
        <w:t>.”</w:t>
      </w:r>
      <w:r>
        <w:rPr>
          <w:rStyle w:val="FootnoteReference"/>
          <w:bdr w:val="none" w:sz="0" w:space="0" w:color="auto" w:frame="1"/>
        </w:rPr>
        <w:footnoteReference w:id="74"/>
      </w:r>
      <w:r w:rsidRPr="00F13333">
        <w:rPr>
          <w:color w:val="000000"/>
          <w:bdr w:val="none" w:sz="0" w:space="0" w:color="auto" w:frame="1"/>
        </w:rPr>
        <w:t xml:space="preserve">  Further, this provision better reflects the complexity of the transfer process than the Abandonment Clause’s brief and inflexible sixty-day deadline.  In addition, Article XII (headed “Defaults”) provides remedies for the situation in which a party fails to meet its obligations under the agreement.  </w:t>
      </w:r>
      <w:r w:rsidRPr="00F13333">
        <w:rPr>
          <w:rStyle w:val="apple-converted-space"/>
          <w:color w:val="000000"/>
          <w:bdr w:val="none" w:sz="0" w:space="0" w:color="auto" w:frame="1"/>
        </w:rPr>
        <w:t xml:space="preserve">Under </w:t>
      </w:r>
      <w:r w:rsidRPr="00F13333">
        <w:rPr>
          <w:color w:val="000000"/>
          <w:bdr w:val="none" w:sz="0" w:space="0" w:color="auto" w:frame="1"/>
        </w:rPr>
        <w:t>that Article, FPL could have, after giving sixty days’ written notice of AT&amp;T’s failure to transfer its facilities to the replacement pole promptly, suspended AT&amp;T’s right to attach to new poles until AT&amp;T completed the transfer.</w:t>
      </w:r>
      <w:r w:rsidRPr="00F13333">
        <w:rPr>
          <w:rStyle w:val="apple-converted-space"/>
          <w:color w:val="000000"/>
          <w:bdr w:val="none" w:sz="0" w:space="0" w:color="auto" w:frame="1"/>
        </w:rPr>
        <w:t xml:space="preserve">  Alternatively, </w:t>
      </w:r>
      <w:r w:rsidRPr="00F13333">
        <w:rPr>
          <w:color w:val="000000"/>
          <w:bdr w:val="none" w:sz="0" w:space="0" w:color="auto" w:frame="1"/>
        </w:rPr>
        <w:t>FPL could have transferred AT&amp;T’s equipment itself and then sent AT&amp;T a bill for its costs.</w:t>
      </w:r>
      <w:r>
        <w:rPr>
          <w:rStyle w:val="FootnoteReference"/>
          <w:bdr w:val="none" w:sz="0" w:space="0" w:color="auto" w:frame="1"/>
        </w:rPr>
        <w:footnoteReference w:id="75"/>
      </w:r>
      <w:r w:rsidRPr="00F13333">
        <w:rPr>
          <w:color w:val="000000"/>
          <w:bdr w:val="none" w:sz="0" w:space="0" w:color="auto" w:frame="1"/>
        </w:rPr>
        <w:t xml:space="preserve">  </w:t>
      </w:r>
      <w:r>
        <w:rPr>
          <w:color w:val="000000"/>
          <w:bdr w:val="none" w:sz="0" w:space="0" w:color="auto" w:frame="1"/>
        </w:rPr>
        <w:t>Thus, fo</w:t>
      </w:r>
      <w:r w:rsidRPr="00F13333">
        <w:rPr>
          <w:color w:val="000000"/>
          <w:bdr w:val="none" w:sz="0" w:space="0" w:color="auto" w:frame="1"/>
        </w:rPr>
        <w:t>r the</w:t>
      </w:r>
      <w:r>
        <w:rPr>
          <w:color w:val="000000"/>
          <w:bdr w:val="none" w:sz="0" w:space="0" w:color="auto" w:frame="1"/>
        </w:rPr>
        <w:t xml:space="preserve">se </w:t>
      </w:r>
      <w:r w:rsidRPr="00F13333">
        <w:rPr>
          <w:color w:val="000000"/>
          <w:bdr w:val="none" w:sz="0" w:space="0" w:color="auto" w:frame="1"/>
        </w:rPr>
        <w:t>reasons, FPL misconstrues the Abandonment Clause and was not entitled to issue the Notice of Abandonment.</w:t>
      </w:r>
    </w:p>
    <w:p w:rsidR="00AB3096" w:rsidRPr="001C5BE9" w:rsidP="00AB3096" w14:paraId="4BF4787B" w14:textId="78B519D3">
      <w:pPr>
        <w:pStyle w:val="ParaNum"/>
        <w:rPr>
          <w:rStyle w:val="xapple-converted-space"/>
        </w:rPr>
      </w:pPr>
      <w:r w:rsidRPr="004F0902">
        <w:t>We grant AT&amp;T’s claim that FPL engaged in unjust and unreasonable practices.  FPL sent its Notice of Abandonment even though contrary to the terms of the JUA</w:t>
      </w:r>
      <w:r>
        <w:t xml:space="preserve"> and </w:t>
      </w:r>
      <w:r w:rsidRPr="004F0902">
        <w:t xml:space="preserve">posted signs measuring approximately 8-1/2 x 11 inches on 5,230 of the ostensibly “abandoned” poles listed in the Notice that stated, “This pole is the property of AT&amp;T” and “Contact AT&amp;T for removal.”   These signs could have caused consumer confusion, and we </w:t>
      </w:r>
      <w:r>
        <w:t xml:space="preserve">direct </w:t>
      </w:r>
      <w:r w:rsidRPr="004F0902">
        <w:t xml:space="preserve">FPL </w:t>
      </w:r>
      <w:r>
        <w:t>to remove any</w:t>
      </w:r>
      <w:r w:rsidRPr="004F0902">
        <w:t xml:space="preserve"> that remain.</w:t>
      </w:r>
      <w:r w:rsidRPr="00CB1AAF">
        <w:rPr>
          <w:rStyle w:val="xapple-converted-space"/>
          <w:color w:val="000000"/>
          <w:bdr w:val="none" w:sz="0" w:space="0" w:color="auto" w:frame="1"/>
        </w:rPr>
        <w:t xml:space="preserve"> </w:t>
      </w:r>
    </w:p>
    <w:p w:rsidR="00543330" w:rsidP="00543330" w14:paraId="71312CA2" w14:textId="0BD19AF9">
      <w:pPr>
        <w:pStyle w:val="ParaNum"/>
        <w:rPr>
          <w:rStyle w:val="xapple-converted-space"/>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r w:rsidRPr="00AE06B0">
        <w:rPr>
          <w:rStyle w:val="xapple-converted-space"/>
          <w:color w:val="000000"/>
          <w:szCs w:val="22"/>
          <w:bdr w:val="none" w:sz="0" w:space="0" w:color="auto" w:frame="1"/>
        </w:rPr>
        <w:t xml:space="preserve">We deny </w:t>
      </w:r>
      <w:r w:rsidRPr="00C0700D">
        <w:t>AT</w:t>
      </w:r>
      <w:r w:rsidRPr="00AE06B0">
        <w:rPr>
          <w:rStyle w:val="xapple-converted-space"/>
          <w:color w:val="000000"/>
          <w:szCs w:val="22"/>
          <w:bdr w:val="none" w:sz="0" w:space="0" w:color="auto" w:frame="1"/>
        </w:rPr>
        <w:t>&amp;T’s request</w:t>
      </w:r>
      <w:r>
        <w:rPr>
          <w:rStyle w:val="xapple-converted-space"/>
          <w:color w:val="000000"/>
          <w:szCs w:val="22"/>
          <w:bdr w:val="none" w:sz="0" w:space="0" w:color="auto" w:frame="1"/>
        </w:rPr>
        <w:t xml:space="preserve"> that we </w:t>
      </w:r>
      <w:r w:rsidRPr="004E0D63">
        <w:rPr>
          <w:color w:val="000000"/>
          <w:szCs w:val="22"/>
        </w:rPr>
        <w:t>amend</w:t>
      </w:r>
      <w:r>
        <w:rPr>
          <w:rStyle w:val="xapple-converted-space"/>
          <w:color w:val="000000"/>
          <w:szCs w:val="22"/>
          <w:bdr w:val="none" w:sz="0" w:space="0" w:color="auto" w:frame="1"/>
        </w:rPr>
        <w:t xml:space="preserve"> the Abandonment Clause</w:t>
      </w:r>
      <w:r w:rsidRPr="00AE06B0">
        <w:rPr>
          <w:rStyle w:val="xapple-converted-space"/>
          <w:color w:val="000000"/>
          <w:szCs w:val="22"/>
          <w:bdr w:val="none" w:sz="0" w:space="0" w:color="auto" w:frame="1"/>
        </w:rPr>
        <w:t>.</w:t>
      </w:r>
      <w:r>
        <w:rPr>
          <w:rStyle w:val="FootnoteReference"/>
          <w:szCs w:val="22"/>
          <w:bdr w:val="none" w:sz="0" w:space="0" w:color="auto" w:frame="1"/>
        </w:rPr>
        <w:footnoteReference w:id="76"/>
      </w:r>
      <w:r w:rsidRPr="00AE06B0">
        <w:rPr>
          <w:rStyle w:val="xapple-converted-space"/>
          <w:color w:val="000000"/>
          <w:szCs w:val="22"/>
          <w:bdr w:val="none" w:sz="0" w:space="0" w:color="auto" w:frame="1"/>
        </w:rPr>
        <w:t xml:space="preserve"> </w:t>
      </w:r>
      <w:r w:rsidRPr="00AE06B0">
        <w:rPr>
          <w:szCs w:val="22"/>
        </w:rPr>
        <w:t xml:space="preserve"> </w:t>
      </w:r>
      <w:r>
        <w:rPr>
          <w:rStyle w:val="apple-converted-space"/>
          <w:color w:val="000000"/>
          <w:bdr w:val="none" w:sz="0" w:space="0" w:color="auto" w:frame="1"/>
        </w:rPr>
        <w:t>AT&amp;T’s proposed amendment would simply add language stating its understanding of the clause “[f]or the avoidance of doubt.”</w:t>
      </w:r>
      <w:r>
        <w:rPr>
          <w:rStyle w:val="FootnoteReference"/>
          <w:bdr w:val="none" w:sz="0" w:space="0" w:color="auto" w:frame="1"/>
        </w:rPr>
        <w:footnoteReference w:id="77"/>
      </w:r>
      <w:r>
        <w:rPr>
          <w:rStyle w:val="apple-converted-space"/>
          <w:color w:val="000000"/>
          <w:bdr w:val="none" w:sz="0" w:space="0" w:color="auto" w:frame="1"/>
        </w:rPr>
        <w:t xml:space="preserve">  </w:t>
      </w:r>
      <w:r w:rsidRPr="00AE06B0">
        <w:rPr>
          <w:rStyle w:val="apple-converted-space"/>
          <w:color w:val="000000"/>
          <w:bdr w:val="none" w:sz="0" w:space="0" w:color="auto" w:frame="1"/>
        </w:rPr>
        <w:t xml:space="preserve">Because we </w:t>
      </w:r>
      <w:r w:rsidRPr="00AE06B0">
        <w:rPr>
          <w:rStyle w:val="xapple-converted-space"/>
          <w:color w:val="000000"/>
          <w:bdr w:val="none" w:sz="0" w:space="0" w:color="auto" w:frame="1"/>
        </w:rPr>
        <w:t>agree with AT&amp;T’s reading of the clause, we do not find that it is unjust and unreasonable, and so deny AT&amp;T’s request that we amend it.</w:t>
      </w:r>
    </w:p>
    <w:p w:rsidR="00543330" w:rsidRPr="004C55C9" w:rsidP="00543330" w14:paraId="35A0AFE1" w14:textId="10ED0DA5">
      <w:pPr>
        <w:pStyle w:val="ParaNum"/>
        <w:numPr>
          <w:ilvl w:val="0"/>
          <w:numId w:val="0"/>
        </w:numPr>
        <w:rPr>
          <w:rStyle w:val="xapple-converted-space"/>
        </w:rPr>
      </w:pPr>
    </w:p>
    <w:p w:rsidR="00AB3096" w:rsidRPr="00F9562D" w:rsidP="00AB3096" w14:paraId="7CBEE949" w14:textId="77777777">
      <w:pPr>
        <w:pStyle w:val="Heading1"/>
        <w:rPr>
          <w:rFonts w:ascii="Times New Roman" w:hAnsi="Times New Roman"/>
        </w:rPr>
      </w:pPr>
      <w:r w:rsidRPr="00F9562D">
        <w:rPr>
          <w:rFonts w:ascii="Times New Roman" w:hAnsi="Times New Roman"/>
        </w:rPr>
        <w:t>ordering clause</w:t>
      </w:r>
    </w:p>
    <w:p w:rsidR="00AB3096" w:rsidRPr="00F9562D" w:rsidP="00AB3096" w14:paraId="43089738" w14:textId="77777777">
      <w:pPr>
        <w:pStyle w:val="ParaNum"/>
      </w:pPr>
      <w:r w:rsidRPr="00F9562D">
        <w:t xml:space="preserve">Accordingly, </w:t>
      </w:r>
      <w:r w:rsidRPr="00C0700D">
        <w:rPr>
          <w:b/>
          <w:bCs/>
        </w:rPr>
        <w:t>IT IS HEREBY ORDERED</w:t>
      </w:r>
      <w:r>
        <w:t>,</w:t>
      </w:r>
      <w:r w:rsidRPr="00F9562D">
        <w:t xml:space="preserve"> </w:t>
      </w:r>
      <w:r w:rsidRPr="00C0700D">
        <w:rPr>
          <w:szCs w:val="22"/>
        </w:rPr>
        <w:t>pursuant</w:t>
      </w:r>
      <w:r w:rsidRPr="00F9562D">
        <w:t xml:space="preserve"> to sections 4(i), 4(j) and 224 of the </w:t>
      </w:r>
      <w:r w:rsidRPr="00C0700D">
        <w:rPr>
          <w:snapToGrid/>
        </w:rPr>
        <w:t>Communications</w:t>
      </w:r>
      <w:r w:rsidRPr="00F9562D">
        <w:t xml:space="preserve"> Act, 47 U.S.C. §§ 154(i), 154(j), and 224, and sections 0.111, 0.311, 1.720-1.740, 1.1401, 1.1407,  and 1.1413 of the Commission’s rules, 47 CFR §§ 0.111, 0.311, 1.720-1.740, 1.1401, 1.1407 and 1.1413,</w:t>
      </w:r>
      <w:r>
        <w:t xml:space="preserve"> that</w:t>
      </w:r>
      <w:r w:rsidRPr="00F9562D">
        <w:t xml:space="preserve"> this Second Complaint is </w:t>
      </w:r>
      <w:r w:rsidRPr="00C0700D">
        <w:rPr>
          <w:b/>
          <w:bCs/>
        </w:rPr>
        <w:t>DISMISSED WITH PREJUDICE IN PART, DENIED IN PART</w:t>
      </w:r>
      <w:r w:rsidRPr="00F9562D">
        <w:t xml:space="preserve">, </w:t>
      </w:r>
      <w:r>
        <w:t xml:space="preserve">and </w:t>
      </w:r>
      <w:r w:rsidRPr="00C0700D">
        <w:rPr>
          <w:b/>
          <w:bCs/>
        </w:rPr>
        <w:t xml:space="preserve">GRANTED IN PART, </w:t>
      </w:r>
      <w:r w:rsidRPr="00F9562D">
        <w:t xml:space="preserve">and this proceeding is </w:t>
      </w:r>
      <w:r w:rsidRPr="00C0700D">
        <w:rPr>
          <w:b/>
          <w:bCs/>
        </w:rPr>
        <w:t>TERMINATED</w:t>
      </w:r>
      <w:r w:rsidRPr="00F9562D">
        <w:t>.</w:t>
      </w:r>
    </w:p>
    <w:p w:rsidR="00AB3096" w:rsidP="00AB3096" w14:paraId="3B9E295E" w14:textId="77777777">
      <w:r>
        <w:tab/>
      </w:r>
      <w:r>
        <w:tab/>
      </w:r>
      <w:r>
        <w:tab/>
      </w:r>
      <w:r>
        <w:tab/>
      </w:r>
      <w:r>
        <w:tab/>
      </w:r>
      <w:r>
        <w:tab/>
      </w:r>
    </w:p>
    <w:p w:rsidR="00AB3096" w:rsidRPr="00F9562D" w:rsidP="00AB3096" w14:paraId="3DA5D5D0" w14:textId="77777777">
      <w:r>
        <w:tab/>
      </w:r>
      <w:r>
        <w:tab/>
      </w:r>
      <w:r>
        <w:tab/>
      </w:r>
      <w:r>
        <w:tab/>
      </w:r>
      <w:r>
        <w:tab/>
      </w:r>
      <w:r>
        <w:tab/>
      </w:r>
      <w:r w:rsidRPr="00F9562D">
        <w:t>FEDERAL COMMUNICATIONS COMMISSION</w:t>
      </w:r>
    </w:p>
    <w:p w:rsidR="00AB3096" w:rsidRPr="00F9562D" w:rsidP="00AB3096" w14:paraId="1E085E29" w14:textId="77777777"/>
    <w:p w:rsidR="00AB3096" w:rsidRPr="00F9562D" w:rsidP="00AB3096" w14:paraId="42111D51" w14:textId="77777777"/>
    <w:p w:rsidR="00AB3096" w:rsidRPr="00F9562D" w:rsidP="00AB3096" w14:paraId="259E7EC6" w14:textId="77777777"/>
    <w:p w:rsidR="00543330" w:rsidP="00AB3096" w14:paraId="5550E0A6" w14:textId="77777777">
      <w:r w:rsidRPr="00F9562D">
        <w:tab/>
      </w:r>
      <w:r w:rsidRPr="00F9562D">
        <w:tab/>
      </w:r>
      <w:r w:rsidRPr="00F9562D">
        <w:tab/>
      </w:r>
      <w:r w:rsidRPr="00F9562D">
        <w:tab/>
      </w:r>
      <w:r w:rsidRPr="00F9562D">
        <w:tab/>
      </w:r>
      <w:r w:rsidRPr="00F9562D">
        <w:tab/>
      </w:r>
    </w:p>
    <w:p w:rsidR="00AB3096" w:rsidRPr="00F9562D" w:rsidP="00543330" w14:paraId="4C723D4F" w14:textId="0332F796">
      <w:pPr>
        <w:ind w:left="3600" w:firstLine="720"/>
      </w:pPr>
      <w:r w:rsidRPr="00F9562D">
        <w:t>Rosemary C. Harold</w:t>
      </w:r>
    </w:p>
    <w:p w:rsidR="00AB3096" w:rsidP="00AB3096" w14:paraId="55A6CF32" w14:textId="77777777">
      <w:r>
        <w:tab/>
      </w:r>
      <w:r>
        <w:tab/>
      </w:r>
      <w:r>
        <w:tab/>
      </w:r>
      <w:r>
        <w:tab/>
      </w:r>
      <w:r>
        <w:tab/>
      </w:r>
      <w:r w:rsidRPr="00F9562D">
        <w:tab/>
        <w:t>Chief</w:t>
      </w:r>
    </w:p>
    <w:p w:rsidR="00AB3096" w:rsidRPr="005A2552" w:rsidP="00AB3096" w14:paraId="7B67A6A6" w14:textId="77777777">
      <w:r>
        <w:tab/>
      </w:r>
      <w:r>
        <w:tab/>
      </w:r>
      <w:r>
        <w:tab/>
      </w:r>
      <w:r>
        <w:tab/>
      </w:r>
      <w:r>
        <w:tab/>
      </w:r>
      <w:r>
        <w:tab/>
      </w:r>
      <w:r w:rsidRPr="00F9562D">
        <w:t>Enforcement Bureau</w:t>
      </w:r>
      <w:bookmarkEnd w:id="0"/>
    </w:p>
    <w:p w:rsidR="00412FC5" w:rsidP="00AB3096" w14:paraId="164F816A" w14:textId="77777777">
      <w:pPr>
        <w:pStyle w:val="Heading1"/>
        <w:numPr>
          <w:ilvl w:val="0"/>
          <w:numId w:val="0"/>
        </w:numPr>
        <w:ind w:left="720"/>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93EA8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D21A8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91278E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54B59C0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6306D1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3206" w14:paraId="4E3CAB49" w14:textId="77777777">
      <w:r>
        <w:separator/>
      </w:r>
    </w:p>
  </w:footnote>
  <w:footnote w:type="continuationSeparator" w:id="1">
    <w:p w:rsidR="00BD3206" w:rsidP="00C721AC" w14:paraId="48AA73F0" w14:textId="77777777">
      <w:pPr>
        <w:spacing w:before="120"/>
        <w:rPr>
          <w:sz w:val="20"/>
        </w:rPr>
      </w:pPr>
      <w:r>
        <w:rPr>
          <w:sz w:val="20"/>
        </w:rPr>
        <w:t xml:space="preserve">(Continued from previous page)  </w:t>
      </w:r>
      <w:r>
        <w:rPr>
          <w:sz w:val="20"/>
        </w:rPr>
        <w:separator/>
      </w:r>
    </w:p>
  </w:footnote>
  <w:footnote w:type="continuationNotice" w:id="2">
    <w:p w:rsidR="00BD3206" w:rsidP="00C721AC" w14:paraId="6BEA1D74" w14:textId="77777777">
      <w:pPr>
        <w:jc w:val="right"/>
        <w:rPr>
          <w:sz w:val="20"/>
        </w:rPr>
      </w:pPr>
      <w:r>
        <w:rPr>
          <w:sz w:val="20"/>
        </w:rPr>
        <w:t>(continued….)</w:t>
      </w:r>
    </w:p>
  </w:footnote>
  <w:footnote w:id="3">
    <w:p w:rsidR="00AB3096" w:rsidP="00AB3096" w14:paraId="52712750" w14:textId="02C2D6D3">
      <w:pPr>
        <w:pStyle w:val="FootnoteText"/>
      </w:pPr>
      <w:r>
        <w:rPr>
          <w:rStyle w:val="FootnoteReference"/>
        </w:rPr>
        <w:footnoteRef/>
      </w:r>
      <w:r>
        <w:t xml:space="preserve"> </w:t>
      </w:r>
      <w:r w:rsidRPr="006C2E67">
        <w:rPr>
          <w:i/>
          <w:iCs/>
        </w:rPr>
        <w:t>See</w:t>
      </w:r>
      <w:r>
        <w:t xml:space="preserve"> Pole Attachment Complaint, Proceeding No. 19-187</w:t>
      </w:r>
      <w:r w:rsidR="008C1D8F">
        <w:t>, Bureau ID No. EB-19-MD-006</w:t>
      </w:r>
      <w:r>
        <w:t xml:space="preserve"> (filed July 1, 2019); Amended Pole Attachment Complaint (filed July 12, 2019) (First Complaint).</w:t>
      </w:r>
    </w:p>
  </w:footnote>
  <w:footnote w:id="4">
    <w:p w:rsidR="00AB3096" w:rsidP="00AB3096" w14:paraId="59FE0F63" w14:textId="77777777">
      <w:pPr>
        <w:pStyle w:val="FootnoteText"/>
      </w:pPr>
      <w:r>
        <w:rPr>
          <w:rStyle w:val="FootnoteReference"/>
        </w:rPr>
        <w:footnoteRef/>
      </w:r>
      <w:r>
        <w:t xml:space="preserve"> 47 U.S.C. </w:t>
      </w:r>
      <w:r w:rsidRPr="1D1DEB0C">
        <w:t>§</w:t>
      </w:r>
      <w:r>
        <w:t xml:space="preserve"> 224(b)(1).        </w:t>
      </w:r>
    </w:p>
  </w:footnote>
  <w:footnote w:id="5">
    <w:p w:rsidR="00AB3096" w:rsidP="00AB3096" w14:paraId="02A13551" w14:textId="186F61C2">
      <w:pPr>
        <w:pStyle w:val="FootnoteText"/>
      </w:pPr>
      <w:r>
        <w:rPr>
          <w:rStyle w:val="FootnoteReference"/>
        </w:rPr>
        <w:footnoteRef/>
      </w:r>
      <w:r>
        <w:t xml:space="preserve"> </w:t>
      </w:r>
      <w:r w:rsidRPr="006C2E67">
        <w:rPr>
          <w:i/>
          <w:iCs/>
        </w:rPr>
        <w:t>See</w:t>
      </w:r>
      <w:r>
        <w:t xml:space="preserve"> </w:t>
      </w:r>
      <w:r w:rsidRPr="00512FD3">
        <w:t>Pole Attachment Complaint, Proceeding No. 20-214</w:t>
      </w:r>
      <w:r w:rsidR="008C1D8F">
        <w:t>, Bureau ID No. EB-20-MD-002</w:t>
      </w:r>
      <w:r w:rsidRPr="00512FD3">
        <w:t xml:space="preserve"> (filed July 6, 2020)</w:t>
      </w:r>
      <w:r>
        <w:t xml:space="preserve"> (Second Complaint).  </w:t>
      </w:r>
      <w:r w:rsidRPr="00CB6C27">
        <w:rPr>
          <w:i/>
          <w:iCs/>
        </w:rPr>
        <w:t>See also id</w:t>
      </w:r>
      <w:r>
        <w:t xml:space="preserve">. at </w:t>
      </w:r>
      <w:r>
        <w:t>Exh</w:t>
      </w:r>
      <w:r>
        <w:t xml:space="preserve">. 1 (JUA) at sections 9.1 (Abandonment Clause), 12.3 (Payment Default Clause).      </w:t>
      </w:r>
    </w:p>
  </w:footnote>
  <w:footnote w:id="6">
    <w:p w:rsidR="00AB3096" w:rsidP="00AB3096" w14:paraId="7D870A90" w14:textId="77777777">
      <w:pPr>
        <w:pStyle w:val="FootnoteText"/>
      </w:pPr>
      <w:r>
        <w:rPr>
          <w:rStyle w:val="FootnoteReference"/>
        </w:rPr>
        <w:footnoteRef/>
      </w:r>
      <w:r>
        <w:t xml:space="preserve"> 47 U.S.C. </w:t>
      </w:r>
      <w:r w:rsidRPr="1D1DEB0C">
        <w:t>§</w:t>
      </w:r>
      <w:r>
        <w:t xml:space="preserve"> 224(b)(1).</w:t>
      </w:r>
    </w:p>
  </w:footnote>
  <w:footnote w:id="7">
    <w:p w:rsidR="00AB3096" w:rsidP="00AB3096" w14:paraId="40AD219D" w14:textId="2E275759">
      <w:pPr>
        <w:pStyle w:val="FootnoteText"/>
      </w:pPr>
      <w:r>
        <w:rPr>
          <w:rStyle w:val="FootnoteReference"/>
        </w:rPr>
        <w:footnoteRef/>
      </w:r>
      <w:r>
        <w:t xml:space="preserve"> </w:t>
      </w:r>
      <w:r w:rsidRPr="001E1FD1">
        <w:rPr>
          <w:i/>
          <w:iCs/>
        </w:rPr>
        <w:t>See</w:t>
      </w:r>
      <w:r>
        <w:rPr>
          <w:i/>
          <w:iCs/>
        </w:rPr>
        <w:t xml:space="preserve"> Implementation of Section 224 of the Act</w:t>
      </w:r>
      <w:r w:rsidRPr="004A6DB4">
        <w:t>, Report and Order and Order on Reconsideration,</w:t>
      </w:r>
      <w:r>
        <w:rPr>
          <w:i/>
          <w:iCs/>
        </w:rPr>
        <w:t xml:space="preserve"> </w:t>
      </w:r>
      <w:r>
        <w:t xml:space="preserve">26 FCC </w:t>
      </w:r>
      <w:r>
        <w:t>Rcd</w:t>
      </w:r>
      <w:r>
        <w:t xml:space="preserve"> 5240 (2011) (</w:t>
      </w:r>
      <w:r w:rsidRPr="001E1FD1">
        <w:rPr>
          <w:i/>
          <w:iCs/>
        </w:rPr>
        <w:t>2011 Pole Attachment Order</w:t>
      </w:r>
      <w:r w:rsidRPr="00802897">
        <w:t>)</w:t>
      </w:r>
      <w:r>
        <w:t xml:space="preserve"> at 5328, para. 203, </w:t>
      </w:r>
      <w:r w:rsidRPr="00072FBF">
        <w:rPr>
          <w:i/>
          <w:iCs/>
        </w:rPr>
        <w:t xml:space="preserve">aff’d Am. Elec. Power Serv. Corp. </w:t>
      </w:r>
      <w:r>
        <w:rPr>
          <w:i/>
          <w:iCs/>
        </w:rPr>
        <w:t>v</w:t>
      </w:r>
      <w:r w:rsidRPr="00072FBF">
        <w:rPr>
          <w:i/>
          <w:iCs/>
        </w:rPr>
        <w:t>. F</w:t>
      </w:r>
      <w:r w:rsidR="00225793">
        <w:rPr>
          <w:i/>
          <w:iCs/>
        </w:rPr>
        <w:t>CC</w:t>
      </w:r>
      <w:r>
        <w:t xml:space="preserve">, 708 F.3d 1183 (D.C. Cir. 2013), </w:t>
      </w:r>
      <w:r w:rsidRPr="004A6DB4">
        <w:rPr>
          <w:i/>
          <w:iCs/>
        </w:rPr>
        <w:t>cert. denied</w:t>
      </w:r>
      <w:r>
        <w:t>, 571 U.S. 940 (2013).</w:t>
      </w:r>
    </w:p>
  </w:footnote>
  <w:footnote w:id="8">
    <w:p w:rsidR="00AB3096" w:rsidP="00AB3096" w14:paraId="4CEF52C9" w14:textId="77777777">
      <w:pPr>
        <w:pStyle w:val="FootnoteText"/>
      </w:pPr>
      <w:r>
        <w:rPr>
          <w:rStyle w:val="FootnoteReference"/>
        </w:rPr>
        <w:footnoteRef/>
      </w:r>
      <w:r>
        <w:t xml:space="preserve"> </w:t>
      </w:r>
      <w:r w:rsidRPr="00532537">
        <w:rPr>
          <w:i/>
          <w:iCs/>
        </w:rPr>
        <w:t>2011 Pole Attachment Order</w:t>
      </w:r>
      <w:r>
        <w:t xml:space="preserve">, 26 FCC </w:t>
      </w:r>
      <w:r>
        <w:t>Rcd</w:t>
      </w:r>
      <w:r>
        <w:t xml:space="preserve"> at 5334, para. 216.</w:t>
      </w:r>
    </w:p>
  </w:footnote>
  <w:footnote w:id="9">
    <w:p w:rsidR="00AB3096" w:rsidP="00AB3096" w14:paraId="1447BF31" w14:textId="51B4CC56">
      <w:pPr>
        <w:pStyle w:val="FootnoteText"/>
      </w:pPr>
      <w:r>
        <w:rPr>
          <w:rStyle w:val="FootnoteReference"/>
        </w:rPr>
        <w:footnoteRef/>
      </w:r>
      <w:r>
        <w:t xml:space="preserve"> </w:t>
      </w:r>
      <w:r w:rsidR="0077565D">
        <w:rPr>
          <w:i/>
          <w:iCs/>
        </w:rPr>
        <w:t>Id.</w:t>
      </w:r>
      <w:r>
        <w:t xml:space="preserve"> at 5336, para</w:t>
      </w:r>
      <w:r w:rsidR="00DB27EA">
        <w:t>s</w:t>
      </w:r>
      <w:r>
        <w:t>. 217</w:t>
      </w:r>
      <w:r w:rsidR="00DB27EA">
        <w:t>-18</w:t>
      </w:r>
      <w:r>
        <w:t>.</w:t>
      </w:r>
    </w:p>
  </w:footnote>
  <w:footnote w:id="10">
    <w:p w:rsidR="00AB3096" w:rsidP="00AB3096" w14:paraId="1F7E69EF" w14:textId="77777777">
      <w:pPr>
        <w:pStyle w:val="FootnoteText"/>
      </w:pPr>
      <w:r>
        <w:rPr>
          <w:rStyle w:val="FootnoteReference"/>
        </w:rPr>
        <w:footnoteRef/>
      </w:r>
      <w:r>
        <w:t xml:space="preserve"> </w:t>
      </w:r>
      <w:r w:rsidRPr="002F03D9">
        <w:rPr>
          <w:i/>
          <w:iCs/>
        </w:rPr>
        <w:t>See</w:t>
      </w:r>
      <w:r>
        <w:t xml:space="preserve"> </w:t>
      </w:r>
      <w:r w:rsidRPr="00072FBF">
        <w:rPr>
          <w:i/>
          <w:iCs/>
        </w:rPr>
        <w:t>Accelerating Wireline Broadband Deployment by Removing Barriers to Infrastructure Development</w:t>
      </w:r>
      <w:r>
        <w:t xml:space="preserve">, Third Report and Order, 33 FCC </w:t>
      </w:r>
      <w:r>
        <w:t>Rcd</w:t>
      </w:r>
      <w:r>
        <w:t xml:space="preserve"> 7705 (2018) (</w:t>
      </w:r>
      <w:r w:rsidRPr="00072FBF">
        <w:rPr>
          <w:i/>
          <w:iCs/>
        </w:rPr>
        <w:t>2018 Pole Attachment Order</w:t>
      </w:r>
      <w:r>
        <w:t xml:space="preserve">) at 7769, para. 126; 47 CFR </w:t>
      </w:r>
      <w:r w:rsidRPr="1D1DEB0C">
        <w:t>§</w:t>
      </w:r>
      <w:r>
        <w:t xml:space="preserve"> 1.1413(b). </w:t>
      </w:r>
    </w:p>
  </w:footnote>
  <w:footnote w:id="11">
    <w:p w:rsidR="00AB3096" w:rsidP="00AB3096" w14:paraId="4FB2B2F7" w14:textId="55E53192">
      <w:pPr>
        <w:pStyle w:val="FootnoteText"/>
      </w:pPr>
      <w:r>
        <w:rPr>
          <w:rStyle w:val="FootnoteReference"/>
        </w:rPr>
        <w:footnoteRef/>
      </w:r>
      <w:r>
        <w:t xml:space="preserve"> </w:t>
      </w:r>
      <w:r w:rsidRPr="1D1DEB0C">
        <w:rPr>
          <w:i/>
          <w:iCs/>
        </w:rPr>
        <w:t>See</w:t>
      </w:r>
      <w:r>
        <w:t xml:space="preserve"> Second</w:t>
      </w:r>
      <w:r>
        <w:rPr>
          <w:i/>
          <w:iCs/>
        </w:rPr>
        <w:t xml:space="preserve"> </w:t>
      </w:r>
      <w:r>
        <w:t xml:space="preserve">Complaint </w:t>
      </w:r>
      <w:r>
        <w:t>Exh</w:t>
      </w:r>
      <w:r>
        <w:t>. 1 (JUA) at section</w:t>
      </w:r>
      <w:r w:rsidR="00DB27EA">
        <w:t>s</w:t>
      </w:r>
      <w:r>
        <w:t xml:space="preserve"> 1, </w:t>
      </w:r>
      <w:r w:rsidR="00DB27EA">
        <w:t>1</w:t>
      </w:r>
      <w:r>
        <w:t>3A.</w:t>
      </w:r>
    </w:p>
  </w:footnote>
  <w:footnote w:id="12">
    <w:p w:rsidR="00AB3096" w:rsidP="00AB3096" w14:paraId="15888FF7" w14:textId="77777777">
      <w:pPr>
        <w:pStyle w:val="FootnoteText"/>
      </w:pPr>
      <w:r>
        <w:rPr>
          <w:rStyle w:val="FootnoteReference"/>
        </w:rPr>
        <w:footnoteRef/>
      </w:r>
      <w:r>
        <w:t xml:space="preserve"> </w:t>
      </w:r>
      <w:r w:rsidRPr="00AE06B0">
        <w:rPr>
          <w:i/>
          <w:iCs/>
        </w:rPr>
        <w:t>See</w:t>
      </w:r>
      <w:r>
        <w:t xml:space="preserve"> Second Complaint </w:t>
      </w:r>
      <w:r>
        <w:t>Exh</w:t>
      </w:r>
      <w:r>
        <w:t>. 2.</w:t>
      </w:r>
    </w:p>
  </w:footnote>
  <w:footnote w:id="13">
    <w:p w:rsidR="00AB3096" w:rsidP="00AB3096" w14:paraId="3307AF3A" w14:textId="34FBA38A">
      <w:pPr>
        <w:pStyle w:val="FootnoteText"/>
      </w:pPr>
      <w:r>
        <w:rPr>
          <w:rStyle w:val="FootnoteReference"/>
        </w:rPr>
        <w:footnoteRef/>
      </w:r>
      <w:r>
        <w:t xml:space="preserve"> </w:t>
      </w:r>
      <w:r w:rsidRPr="00AE06B0">
        <w:rPr>
          <w:i/>
          <w:iCs/>
        </w:rPr>
        <w:t>See</w:t>
      </w:r>
      <w:r>
        <w:t xml:space="preserve"> Second Complaint </w:t>
      </w:r>
      <w:r>
        <w:t>Exh</w:t>
      </w:r>
      <w:r>
        <w:t>. 5</w:t>
      </w:r>
      <w:r w:rsidR="008B7487">
        <w:t xml:space="preserve"> (Email from K. Hitchcock, AT&amp;T, to T. Kennedy, FPL, sent Aug. 21, 2018).</w:t>
      </w:r>
    </w:p>
  </w:footnote>
  <w:footnote w:id="14">
    <w:p w:rsidR="00AC5A8C" w:rsidP="00AC5A8C" w14:paraId="4FE2D611" w14:textId="4BE2E463">
      <w:pPr>
        <w:pStyle w:val="FootnoteText"/>
      </w:pPr>
      <w:r>
        <w:rPr>
          <w:rStyle w:val="FootnoteReference"/>
        </w:rPr>
        <w:footnoteRef/>
      </w:r>
      <w:r>
        <w:t xml:space="preserve"> </w:t>
      </w:r>
      <w:r w:rsidRPr="00AE06B0" w:rsidR="00DB27EA">
        <w:rPr>
          <w:i/>
          <w:iCs/>
        </w:rPr>
        <w:t>See</w:t>
      </w:r>
      <w:r w:rsidR="00DB27EA">
        <w:t xml:space="preserve"> Second </w:t>
      </w:r>
      <w:r>
        <w:t xml:space="preserve">Complaint </w:t>
      </w:r>
      <w:r>
        <w:t>Ex</w:t>
      </w:r>
      <w:r w:rsidR="00DB27EA">
        <w:t>h</w:t>
      </w:r>
      <w:r>
        <w:t xml:space="preserve">. 6 (Letter from </w:t>
      </w:r>
      <w:r w:rsidR="00DB27EA">
        <w:t xml:space="preserve">M. </w:t>
      </w:r>
      <w:r w:rsidR="00DB27EA">
        <w:t>Jarro</w:t>
      </w:r>
      <w:r w:rsidR="00DB27EA">
        <w:t xml:space="preserve">, </w:t>
      </w:r>
      <w:r>
        <w:t>FPL</w:t>
      </w:r>
      <w:r w:rsidR="00DB27EA">
        <w:t>,</w:t>
      </w:r>
      <w:r>
        <w:t xml:space="preserve"> to </w:t>
      </w:r>
      <w:r w:rsidR="00DB27EA">
        <w:t xml:space="preserve">M. </w:t>
      </w:r>
      <w:r w:rsidR="00DB27EA">
        <w:t>Karno</w:t>
      </w:r>
      <w:r w:rsidR="00DB27EA">
        <w:t xml:space="preserve">, </w:t>
      </w:r>
      <w:r>
        <w:t>AT&amp;T</w:t>
      </w:r>
      <w:r w:rsidR="009647CE">
        <w:t>, dated Aug. 31, 2018</w:t>
      </w:r>
      <w:r>
        <w:t xml:space="preserve">).  </w:t>
      </w:r>
    </w:p>
  </w:footnote>
  <w:footnote w:id="15">
    <w:p w:rsidR="00AC5A8C" w:rsidP="00AC5A8C" w14:paraId="014C0105" w14:textId="200FD809">
      <w:pPr>
        <w:pStyle w:val="FootnoteText"/>
      </w:pPr>
      <w:r>
        <w:rPr>
          <w:rStyle w:val="FootnoteReference"/>
        </w:rPr>
        <w:footnoteRef/>
      </w:r>
      <w:r>
        <w:t xml:space="preserve"> </w:t>
      </w:r>
      <w:r w:rsidRPr="00AE06B0" w:rsidR="00DB27EA">
        <w:rPr>
          <w:i/>
          <w:iCs/>
        </w:rPr>
        <w:t>See</w:t>
      </w:r>
      <w:r w:rsidR="00DB27EA">
        <w:t xml:space="preserve"> Second </w:t>
      </w:r>
      <w:r>
        <w:t xml:space="preserve">Complaint </w:t>
      </w:r>
      <w:r>
        <w:t>Ex</w:t>
      </w:r>
      <w:r w:rsidR="00EE47F5">
        <w:t>h</w:t>
      </w:r>
      <w:r>
        <w:t xml:space="preserve">. </w:t>
      </w:r>
      <w:r w:rsidR="009647CE">
        <w:t>11</w:t>
      </w:r>
      <w:r w:rsidR="0077565D">
        <w:t xml:space="preserve"> </w:t>
      </w:r>
      <w:r>
        <w:t>(</w:t>
      </w:r>
      <w:r w:rsidR="009647CE">
        <w:t xml:space="preserve">Letter from M. </w:t>
      </w:r>
      <w:r w:rsidR="009647CE">
        <w:t>Jarro</w:t>
      </w:r>
      <w:r w:rsidR="009647CE">
        <w:t>, FPL, to D. Miller, AT&amp;T, dated Jan. 8, 2019).</w:t>
      </w:r>
    </w:p>
  </w:footnote>
  <w:footnote w:id="16">
    <w:p w:rsidR="00AB3096" w:rsidP="00AB3096" w14:paraId="48DA1C43" w14:textId="5A377A80">
      <w:pPr>
        <w:pStyle w:val="FootnoteText"/>
      </w:pPr>
      <w:r>
        <w:rPr>
          <w:rStyle w:val="FootnoteReference"/>
        </w:rPr>
        <w:footnoteRef/>
      </w:r>
      <w:r>
        <w:t xml:space="preserve"> </w:t>
      </w:r>
      <w:r w:rsidRPr="00EC4294">
        <w:rPr>
          <w:i/>
          <w:iCs/>
        </w:rPr>
        <w:t>See</w:t>
      </w:r>
      <w:r>
        <w:t xml:space="preserve"> Second</w:t>
      </w:r>
      <w:r>
        <w:rPr>
          <w:i/>
          <w:iCs/>
        </w:rPr>
        <w:t xml:space="preserve"> </w:t>
      </w:r>
      <w:r w:rsidRPr="00F8469B">
        <w:t xml:space="preserve">Complaint </w:t>
      </w:r>
      <w:r>
        <w:t>Exh</w:t>
      </w:r>
      <w:r w:rsidR="003568D7">
        <w:t>s</w:t>
      </w:r>
      <w:r>
        <w:t xml:space="preserve">. A (Miller </w:t>
      </w:r>
      <w:r>
        <w:t>Aff</w:t>
      </w:r>
      <w:r>
        <w:t>.) at 3, para. 8, 23 (Notice of Termination).</w:t>
      </w:r>
    </w:p>
  </w:footnote>
  <w:footnote w:id="17">
    <w:p w:rsidR="004C3355" w:rsidP="004C3355" w14:paraId="136AFAB2" w14:textId="3385DB5A">
      <w:pPr>
        <w:pStyle w:val="FootnoteText"/>
      </w:pPr>
      <w:r>
        <w:rPr>
          <w:rStyle w:val="FootnoteReference"/>
        </w:rPr>
        <w:footnoteRef/>
      </w:r>
      <w:r>
        <w:t xml:space="preserve"> </w:t>
      </w:r>
      <w:r w:rsidRPr="00DB27EA" w:rsidR="00DB27EA">
        <w:rPr>
          <w:i/>
          <w:iCs/>
        </w:rPr>
        <w:t>See</w:t>
      </w:r>
      <w:r w:rsidR="00DB27EA">
        <w:t xml:space="preserve"> Second </w:t>
      </w:r>
      <w:r>
        <w:t>Complaint</w:t>
      </w:r>
      <w:r w:rsidR="00DB27EA">
        <w:t xml:space="preserve"> </w:t>
      </w:r>
      <w:r w:rsidR="00DB27EA">
        <w:t>Exh</w:t>
      </w:r>
      <w:r w:rsidR="00DB27EA">
        <w:t xml:space="preserve">. A (Miller </w:t>
      </w:r>
      <w:r w:rsidR="00DB27EA">
        <w:t>Aff</w:t>
      </w:r>
      <w:r w:rsidR="00DB27EA">
        <w:t>.) at 7, para. 16</w:t>
      </w:r>
      <w:r>
        <w:t>.</w:t>
      </w:r>
    </w:p>
  </w:footnote>
  <w:footnote w:id="18">
    <w:p w:rsidR="00AB3096" w:rsidP="00AB3096" w14:paraId="727B0829" w14:textId="2564719D">
      <w:pPr>
        <w:pStyle w:val="FootnoteText"/>
      </w:pPr>
      <w:r>
        <w:rPr>
          <w:rStyle w:val="FootnoteReference"/>
        </w:rPr>
        <w:footnoteRef/>
      </w:r>
      <w:r>
        <w:t xml:space="preserve"> </w:t>
      </w:r>
      <w:r w:rsidR="0077565D">
        <w:rPr>
          <w:i/>
          <w:iCs/>
        </w:rPr>
        <w:t>Id.</w:t>
      </w:r>
      <w:r>
        <w:t xml:space="preserve"> at </w:t>
      </w:r>
      <w:r w:rsidR="00E81DFC">
        <w:t>8</w:t>
      </w:r>
      <w:r>
        <w:t>, para. 19.</w:t>
      </w:r>
    </w:p>
  </w:footnote>
  <w:footnote w:id="19">
    <w:p w:rsidR="003506A1" w14:paraId="33ACD9C0" w14:textId="14AC5D59">
      <w:pPr>
        <w:pStyle w:val="FootnoteText"/>
      </w:pPr>
      <w:r w:rsidRPr="0040397B">
        <w:rPr>
          <w:rStyle w:val="FootnoteReference"/>
        </w:rPr>
        <w:footnoteRef/>
      </w:r>
      <w:r w:rsidRPr="0040397B">
        <w:t xml:space="preserve"> </w:t>
      </w:r>
      <w:r w:rsidRPr="0040397B" w:rsidR="003A121A">
        <w:rPr>
          <w:i/>
          <w:iCs/>
        </w:rPr>
        <w:t>See</w:t>
      </w:r>
      <w:r w:rsidRPr="0040397B" w:rsidR="003A121A">
        <w:t xml:space="preserve"> Amended Answer, Proceeding No. 19-187</w:t>
      </w:r>
      <w:r w:rsidR="00E81DFC">
        <w:t>, Bureau ID No. EB-19-MD-006</w:t>
      </w:r>
      <w:r w:rsidRPr="0040397B" w:rsidR="003A121A">
        <w:t xml:space="preserve"> (filed Mar. 6, 2020) (First Answer) at</w:t>
      </w:r>
      <w:r w:rsidRPr="0040397B" w:rsidR="0040397B">
        <w:t xml:space="preserve"> </w:t>
      </w:r>
      <w:r w:rsidRPr="0040397B" w:rsidR="003A121A">
        <w:t>38-39 (Affirmative Defense M).</w:t>
      </w:r>
    </w:p>
  </w:footnote>
  <w:footnote w:id="20">
    <w:p w:rsidR="00AB3096" w:rsidP="00AB3096" w14:paraId="74F4F438" w14:textId="4C749A78">
      <w:pPr>
        <w:pStyle w:val="FootnoteText"/>
      </w:pPr>
      <w:r>
        <w:rPr>
          <w:rStyle w:val="FootnoteReference"/>
        </w:rPr>
        <w:footnoteRef/>
      </w:r>
      <w:r>
        <w:t xml:space="preserve"> </w:t>
      </w:r>
      <w:r w:rsidRPr="00EC4294">
        <w:rPr>
          <w:i/>
          <w:iCs/>
        </w:rPr>
        <w:t>See</w:t>
      </w:r>
      <w:r>
        <w:t xml:space="preserve"> Second</w:t>
      </w:r>
      <w:r>
        <w:rPr>
          <w:i/>
          <w:iCs/>
        </w:rPr>
        <w:t xml:space="preserve"> </w:t>
      </w:r>
      <w:r w:rsidRPr="00F8469B">
        <w:t xml:space="preserve">Complaint </w:t>
      </w:r>
      <w:r>
        <w:t>Exh</w:t>
      </w:r>
      <w:r w:rsidR="00DB27EA">
        <w:t>s</w:t>
      </w:r>
      <w:r>
        <w:t>.</w:t>
      </w:r>
      <w:r w:rsidR="00DB27EA">
        <w:t xml:space="preserve"> 28, 31.</w:t>
      </w:r>
    </w:p>
  </w:footnote>
  <w:footnote w:id="21">
    <w:p w:rsidR="00AB3096" w:rsidP="00AB3096" w14:paraId="7449F4C3" w14:textId="432C5F6E">
      <w:pPr>
        <w:pStyle w:val="FootnoteText"/>
      </w:pPr>
      <w:r>
        <w:rPr>
          <w:rStyle w:val="FootnoteReference"/>
        </w:rPr>
        <w:footnoteRef/>
      </w:r>
      <w:r>
        <w:t xml:space="preserve"> </w:t>
      </w:r>
      <w:r w:rsidRPr="006F5B49">
        <w:rPr>
          <w:i/>
          <w:iCs/>
        </w:rPr>
        <w:t xml:space="preserve">See BellSouth </w:t>
      </w:r>
      <w:r w:rsidRPr="006F5B49">
        <w:rPr>
          <w:i/>
          <w:iCs/>
        </w:rPr>
        <w:t>Telecomm</w:t>
      </w:r>
      <w:r>
        <w:rPr>
          <w:i/>
          <w:iCs/>
        </w:rPr>
        <w:t>’n</w:t>
      </w:r>
      <w:r w:rsidRPr="006F5B49">
        <w:rPr>
          <w:i/>
          <w:iCs/>
        </w:rPr>
        <w:t>s</w:t>
      </w:r>
      <w:r w:rsidRPr="006F5B49">
        <w:rPr>
          <w:i/>
          <w:iCs/>
        </w:rPr>
        <w:t>, LLC v. Florida Power &amp; Light</w:t>
      </w:r>
      <w:r>
        <w:rPr>
          <w:i/>
          <w:iCs/>
        </w:rPr>
        <w:t xml:space="preserve"> Co.</w:t>
      </w:r>
      <w:r>
        <w:t xml:space="preserve">, Memorandum Opinion and Order, 35 FCC </w:t>
      </w:r>
      <w:r>
        <w:t>Rcd</w:t>
      </w:r>
      <w:r>
        <w:t xml:space="preserve"> 5321 (</w:t>
      </w:r>
      <w:r w:rsidR="0077565D">
        <w:t>EB</w:t>
      </w:r>
      <w:r>
        <w:t xml:space="preserve"> 2020) (</w:t>
      </w:r>
      <w:r w:rsidRPr="006B4476">
        <w:rPr>
          <w:i/>
          <w:iCs/>
        </w:rPr>
        <w:t>Bureau Order</w:t>
      </w:r>
      <w:r>
        <w:t xml:space="preserve">). </w:t>
      </w:r>
    </w:p>
  </w:footnote>
  <w:footnote w:id="22">
    <w:p w:rsidR="00AB3096" w:rsidP="00AB3096" w14:paraId="543FD6BF" w14:textId="77777777">
      <w:pPr>
        <w:pStyle w:val="FootnoteText"/>
      </w:pPr>
      <w:r>
        <w:rPr>
          <w:rStyle w:val="FootnoteReference"/>
        </w:rPr>
        <w:footnoteRef/>
      </w:r>
      <w:r>
        <w:t xml:space="preserve"> </w:t>
      </w:r>
      <w:r w:rsidRPr="1D1DEB0C">
        <w:rPr>
          <w:i/>
          <w:iCs/>
        </w:rPr>
        <w:t>Bureau Order</w:t>
      </w:r>
      <w:r>
        <w:t xml:space="preserve">, 35 FCC </w:t>
      </w:r>
      <w:r>
        <w:t>Rcd</w:t>
      </w:r>
      <w:r>
        <w:t xml:space="preserve"> at 5326, </w:t>
      </w:r>
      <w:r w:rsidRPr="1D1DEB0C">
        <w:t>para. 10 n.32.</w:t>
      </w:r>
      <w:r>
        <w:t xml:space="preserve">  </w:t>
      </w:r>
      <w:r w:rsidRPr="1D1DEB0C">
        <w:t xml:space="preserve">  </w:t>
      </w:r>
    </w:p>
  </w:footnote>
  <w:footnote w:id="23">
    <w:p w:rsidR="00AB3096" w:rsidRPr="00A37F7F" w:rsidP="00AB3096" w14:paraId="301E4B9C" w14:textId="1FC8B2FF">
      <w:pPr>
        <w:pStyle w:val="FootnoteText"/>
      </w:pPr>
      <w:r>
        <w:rPr>
          <w:rStyle w:val="FootnoteReference"/>
        </w:rPr>
        <w:footnoteRef/>
      </w:r>
      <w:r>
        <w:t xml:space="preserve"> Plaintiff’s Motion to Lift Stay and Request for Scheduling Conference, </w:t>
      </w:r>
      <w:r>
        <w:rPr>
          <w:i/>
          <w:iCs/>
        </w:rPr>
        <w:t>Florida Power &amp; Light Company v. BellSouth Telecommunications, LLC d/b/a AT&amp;T Florida</w:t>
      </w:r>
      <w:r>
        <w:t>, Case No. 9:19-CV-81043-Rosenberg/Reinhart (</w:t>
      </w:r>
      <w:r w:rsidR="00604B02">
        <w:t xml:space="preserve">S.D. Fla </w:t>
      </w:r>
      <w:r>
        <w:t>filed June 15, 2020).</w:t>
      </w:r>
    </w:p>
  </w:footnote>
  <w:footnote w:id="24">
    <w:p w:rsidR="00AB3096" w:rsidRPr="00FA0A50" w:rsidP="00AB3096" w14:paraId="15475A92" w14:textId="77777777">
      <w:pPr>
        <w:pStyle w:val="FootnoteText"/>
        <w:rPr>
          <w:highlight w:val="yellow"/>
        </w:rPr>
      </w:pPr>
      <w:r w:rsidRPr="00F73EED">
        <w:rPr>
          <w:rStyle w:val="FootnoteReference"/>
        </w:rPr>
        <w:footnoteRef/>
      </w:r>
      <w:r w:rsidRPr="00F73EED">
        <w:t xml:space="preserve"> </w:t>
      </w:r>
      <w:r w:rsidRPr="00F73EED">
        <w:rPr>
          <w:i/>
          <w:iCs/>
        </w:rPr>
        <w:t>See</w:t>
      </w:r>
      <w:r>
        <w:rPr>
          <w:i/>
          <w:iCs/>
        </w:rPr>
        <w:t xml:space="preserve"> </w:t>
      </w:r>
      <w:r>
        <w:t>Notice of Filing</w:t>
      </w:r>
      <w:r w:rsidRPr="00F73EED">
        <w:t>,</w:t>
      </w:r>
      <w:r>
        <w:t xml:space="preserve"> </w:t>
      </w:r>
      <w:r w:rsidRPr="00F73EED">
        <w:rPr>
          <w:i/>
          <w:iCs/>
        </w:rPr>
        <w:t>Florida Power &amp; Light Company v. BellSouth Telecommunications, LLC d/b/a AT&amp;T Florida</w:t>
      </w:r>
      <w:r w:rsidRPr="00F73EED">
        <w:t>, Case No. 9:19-CV-81043-Rosenberg/Reinhart (filed Ju</w:t>
      </w:r>
      <w:r>
        <w:t>ly 6</w:t>
      </w:r>
      <w:r w:rsidRPr="00F73EED">
        <w:t>, 2020).</w:t>
      </w:r>
      <w:r w:rsidRPr="00FA0A50">
        <w:rPr>
          <w:highlight w:val="yellow"/>
        </w:rPr>
        <w:t xml:space="preserve"> </w:t>
      </w:r>
    </w:p>
  </w:footnote>
  <w:footnote w:id="25">
    <w:p w:rsidR="00AB3096" w:rsidP="00AB3096" w14:paraId="6D6A3DAC" w14:textId="386D8368">
      <w:pPr>
        <w:pStyle w:val="FootnoteText"/>
      </w:pPr>
      <w:r>
        <w:rPr>
          <w:rStyle w:val="FootnoteReference"/>
        </w:rPr>
        <w:footnoteRef/>
      </w:r>
      <w:r>
        <w:t xml:space="preserve"> </w:t>
      </w:r>
      <w:r w:rsidRPr="00387B1A">
        <w:rPr>
          <w:i/>
          <w:iCs/>
        </w:rPr>
        <w:t>See</w:t>
      </w:r>
      <w:r>
        <w:t xml:space="preserve"> Order Denying Without Prejudice Plaintiff’s Motion to Lift Stay,</w:t>
      </w:r>
      <w:r w:rsidRPr="00387B1A">
        <w:rPr>
          <w:i/>
          <w:iCs/>
        </w:rPr>
        <w:t xml:space="preserve"> </w:t>
      </w:r>
      <w:r w:rsidRPr="00F73EED">
        <w:rPr>
          <w:i/>
          <w:iCs/>
        </w:rPr>
        <w:t>Florida Power &amp; Light Company v. BellSouth Telecommunications, LLC d/b/a AT&amp;T Florida</w:t>
      </w:r>
      <w:r w:rsidRPr="00F73EED">
        <w:t>, Case No. 9:19-CV-81043-Rosenberg/Reinhart (</w:t>
      </w:r>
      <w:r w:rsidR="00136620">
        <w:t xml:space="preserve">S.D. Fla. </w:t>
      </w:r>
      <w:r w:rsidRPr="00F73EED">
        <w:t>filed Ju</w:t>
      </w:r>
      <w:r>
        <w:t>ly 13</w:t>
      </w:r>
      <w:r w:rsidRPr="00F73EED">
        <w:t>, 2020).</w:t>
      </w:r>
    </w:p>
  </w:footnote>
  <w:footnote w:id="26">
    <w:p w:rsidR="00AB3096" w:rsidP="00AB3096" w14:paraId="1FCCD6E3" w14:textId="77777777">
      <w:pPr>
        <w:pStyle w:val="FootnoteText"/>
      </w:pPr>
      <w:r>
        <w:rPr>
          <w:rStyle w:val="FootnoteReference"/>
        </w:rPr>
        <w:footnoteRef/>
      </w:r>
      <w:r>
        <w:t xml:space="preserve"> </w:t>
      </w:r>
      <w:r w:rsidRPr="001D4AD0">
        <w:rPr>
          <w:i/>
          <w:iCs/>
        </w:rPr>
        <w:t>See</w:t>
      </w:r>
      <w:r>
        <w:t xml:space="preserve"> Second Complaint at 32, para. 58.</w:t>
      </w:r>
    </w:p>
  </w:footnote>
  <w:footnote w:id="27">
    <w:p w:rsidR="00AB3096" w:rsidP="00AB3096" w14:paraId="105C8F6B" w14:textId="77777777">
      <w:pPr>
        <w:pStyle w:val="FootnoteText"/>
      </w:pPr>
      <w:r>
        <w:rPr>
          <w:rStyle w:val="FootnoteReference"/>
        </w:rPr>
        <w:footnoteRef/>
      </w:r>
      <w:r>
        <w:t xml:space="preserve"> </w:t>
      </w:r>
      <w:r w:rsidRPr="001D4AD0">
        <w:rPr>
          <w:i/>
          <w:iCs/>
        </w:rPr>
        <w:t>See</w:t>
      </w:r>
      <w:r>
        <w:t xml:space="preserve"> Second Complaint at 33, para. 59.</w:t>
      </w:r>
    </w:p>
  </w:footnote>
  <w:footnote w:id="28">
    <w:p w:rsidR="00AB3096" w:rsidRPr="00512FD3" w:rsidP="00AB3096" w14:paraId="49F6C440" w14:textId="77777777">
      <w:pPr>
        <w:pStyle w:val="FootnoteText"/>
      </w:pPr>
      <w:r>
        <w:rPr>
          <w:rStyle w:val="FootnoteReference"/>
        </w:rPr>
        <w:footnoteRef/>
      </w:r>
      <w:r>
        <w:t xml:space="preserve"> </w:t>
      </w:r>
      <w:r w:rsidRPr="00DF6D80">
        <w:rPr>
          <w:i/>
          <w:iCs/>
        </w:rPr>
        <w:t>See</w:t>
      </w:r>
      <w:r>
        <w:t xml:space="preserve"> Second Complaint </w:t>
      </w:r>
      <w:r w:rsidRPr="00512FD3">
        <w:t>at 32</w:t>
      </w:r>
      <w:r>
        <w:t>-33</w:t>
      </w:r>
      <w:r w:rsidRPr="00512FD3">
        <w:t>, para</w:t>
      </w:r>
      <w:r>
        <w:t>s</w:t>
      </w:r>
      <w:r w:rsidRPr="00512FD3">
        <w:t>.</w:t>
      </w:r>
      <w:r>
        <w:t xml:space="preserve"> </w:t>
      </w:r>
      <w:r w:rsidRPr="00512FD3">
        <w:t>5</w:t>
      </w:r>
      <w:r>
        <w:t>6-59</w:t>
      </w:r>
      <w:r w:rsidRPr="00512FD3">
        <w:t xml:space="preserve">. </w:t>
      </w:r>
    </w:p>
  </w:footnote>
  <w:footnote w:id="29">
    <w:p w:rsidR="00AB3096" w:rsidP="00AB3096" w14:paraId="1AD3B6ED" w14:textId="1605E5CA">
      <w:pPr>
        <w:pStyle w:val="FootnoteText"/>
      </w:pPr>
      <w:r>
        <w:rPr>
          <w:rStyle w:val="FootnoteReference"/>
        </w:rPr>
        <w:footnoteRef/>
      </w:r>
      <w:r>
        <w:t xml:space="preserve"> </w:t>
      </w:r>
      <w:r w:rsidRPr="006F5B49">
        <w:rPr>
          <w:i/>
          <w:iCs/>
        </w:rPr>
        <w:t>BellSouth Telecomm</w:t>
      </w:r>
      <w:r w:rsidR="00136620">
        <w:rPr>
          <w:i/>
          <w:iCs/>
        </w:rPr>
        <w:t>’</w:t>
      </w:r>
      <w:r w:rsidRPr="006F5B49">
        <w:rPr>
          <w:i/>
          <w:iCs/>
        </w:rPr>
        <w:t>s, LLC v. Florida Power &amp; Light</w:t>
      </w:r>
      <w:r>
        <w:rPr>
          <w:i/>
          <w:iCs/>
        </w:rPr>
        <w:t xml:space="preserve"> Co.</w:t>
      </w:r>
      <w:r>
        <w:t xml:space="preserve">, Memorandum Opinion and Order, 36 FCC </w:t>
      </w:r>
      <w:r>
        <w:t>Rcd</w:t>
      </w:r>
      <w:r>
        <w:t xml:space="preserve"> 253, 255</w:t>
      </w:r>
      <w:r w:rsidR="00F751C9">
        <w:t>,</w:t>
      </w:r>
      <w:r>
        <w:t xml:space="preserve"> para. 8. (</w:t>
      </w:r>
      <w:r w:rsidR="0077565D">
        <w:t>EB</w:t>
      </w:r>
      <w:r>
        <w:t xml:space="preserve"> 2021) (</w:t>
      </w:r>
      <w:r w:rsidRPr="000F7490">
        <w:rPr>
          <w:i/>
          <w:iCs/>
        </w:rPr>
        <w:t>Second</w:t>
      </w:r>
      <w:r>
        <w:t xml:space="preserve"> </w:t>
      </w:r>
      <w:r w:rsidRPr="006B4476">
        <w:rPr>
          <w:i/>
          <w:iCs/>
        </w:rPr>
        <w:t>Bureau Order</w:t>
      </w:r>
      <w:r>
        <w:t>).</w:t>
      </w:r>
    </w:p>
  </w:footnote>
  <w:footnote w:id="30">
    <w:p w:rsidR="00AB3096" w:rsidP="00AB3096" w14:paraId="471D563F" w14:textId="77777777">
      <w:pPr>
        <w:pStyle w:val="FootnoteText"/>
        <w:spacing w:before="120"/>
      </w:pPr>
      <w:r>
        <w:rPr>
          <w:rStyle w:val="FootnoteReference"/>
        </w:rPr>
        <w:footnoteRef/>
      </w:r>
      <w:r>
        <w:t xml:space="preserve"> 47 U.S.C. § 154(j).  </w:t>
      </w:r>
    </w:p>
  </w:footnote>
  <w:footnote w:id="31">
    <w:p w:rsidR="00AB3096" w:rsidP="00AB3096" w14:paraId="4B8298E9" w14:textId="22064ADA">
      <w:pPr>
        <w:pStyle w:val="FootnoteText"/>
        <w:spacing w:before="120"/>
      </w:pPr>
      <w:r>
        <w:rPr>
          <w:rStyle w:val="FootnoteReference"/>
        </w:rPr>
        <w:footnoteRef/>
      </w:r>
      <w:r>
        <w:t xml:space="preserve"> </w:t>
      </w:r>
      <w:r>
        <w:rPr>
          <w:i/>
          <w:iCs/>
        </w:rPr>
        <w:t>F</w:t>
      </w:r>
      <w:r w:rsidR="006A0C50">
        <w:rPr>
          <w:i/>
          <w:iCs/>
        </w:rPr>
        <w:t>CC</w:t>
      </w:r>
      <w:r>
        <w:rPr>
          <w:i/>
          <w:iCs/>
        </w:rPr>
        <w:t xml:space="preserve"> v. Schreiber</w:t>
      </w:r>
      <w:r>
        <w:t>, 381 U.S. 279, 289 (1965)</w:t>
      </w:r>
      <w:r w:rsidR="003B2A2E">
        <w:t xml:space="preserve"> (</w:t>
      </w:r>
      <w:r w:rsidR="003B2A2E">
        <w:rPr>
          <w:i/>
          <w:iCs/>
        </w:rPr>
        <w:t>Schreiber</w:t>
      </w:r>
      <w:r w:rsidR="003B2A2E">
        <w:t>)</w:t>
      </w:r>
      <w:r>
        <w:t xml:space="preserve"> (citing </w:t>
      </w:r>
      <w:r w:rsidRPr="00047034">
        <w:rPr>
          <w:i/>
          <w:iCs/>
        </w:rPr>
        <w:t>F</w:t>
      </w:r>
      <w:r w:rsidR="006A0C50">
        <w:rPr>
          <w:i/>
          <w:iCs/>
        </w:rPr>
        <w:t>CC</w:t>
      </w:r>
      <w:r w:rsidRPr="00047034">
        <w:rPr>
          <w:i/>
          <w:iCs/>
        </w:rPr>
        <w:t xml:space="preserve"> v. Pot</w:t>
      </w:r>
      <w:r>
        <w:rPr>
          <w:i/>
          <w:iCs/>
        </w:rPr>
        <w:t>t</w:t>
      </w:r>
      <w:r w:rsidRPr="00047034">
        <w:rPr>
          <w:i/>
          <w:iCs/>
        </w:rPr>
        <w:t>sville Broadcasting Co.</w:t>
      </w:r>
      <w:r>
        <w:t>, 309 U.S. 134, 138</w:t>
      </w:r>
      <w:r w:rsidR="001A7928">
        <w:t xml:space="preserve"> (1940)</w:t>
      </w:r>
      <w:r w:rsidR="003B2A2E">
        <w:t xml:space="preserve"> (</w:t>
      </w:r>
      <w:r w:rsidR="003B2A2E">
        <w:rPr>
          <w:i/>
          <w:iCs/>
        </w:rPr>
        <w:t>Pottsville</w:t>
      </w:r>
      <w:r w:rsidR="003B2A2E">
        <w:t>)</w:t>
      </w:r>
      <w:r>
        <w:t>).</w:t>
      </w:r>
    </w:p>
  </w:footnote>
  <w:footnote w:id="32">
    <w:p w:rsidR="00AB3096" w:rsidRPr="000F7D12" w:rsidP="00AB3096" w14:paraId="6C30FD4E" w14:textId="5F0768A2">
      <w:pPr>
        <w:pStyle w:val="FootnoteText"/>
      </w:pPr>
      <w:r>
        <w:rPr>
          <w:rStyle w:val="FootnoteReference"/>
        </w:rPr>
        <w:footnoteRef/>
      </w:r>
      <w:r>
        <w:t xml:space="preserve"> </w:t>
      </w:r>
      <w:r w:rsidR="003B2A2E">
        <w:rPr>
          <w:i/>
          <w:iCs/>
        </w:rPr>
        <w:t>Schreiber</w:t>
      </w:r>
      <w:r w:rsidR="003B2A2E">
        <w:t>, 381 U.S. at 289</w:t>
      </w:r>
      <w:r>
        <w:t xml:space="preserve"> (citing </w:t>
      </w:r>
      <w:r w:rsidRPr="00550B97">
        <w:rPr>
          <w:i/>
          <w:iCs/>
        </w:rPr>
        <w:t>F</w:t>
      </w:r>
      <w:r w:rsidR="006A0C50">
        <w:rPr>
          <w:i/>
          <w:iCs/>
        </w:rPr>
        <w:t>CC</w:t>
      </w:r>
      <w:r w:rsidRPr="00550B97">
        <w:rPr>
          <w:i/>
          <w:iCs/>
        </w:rPr>
        <w:t xml:space="preserve"> v. WJR, The Goodwill Station</w:t>
      </w:r>
      <w:r>
        <w:t>, 337 U.S. 265, 282 (1949)</w:t>
      </w:r>
      <w:r w:rsidR="00136620">
        <w:t xml:space="preserve">, </w:t>
      </w:r>
      <w:r w:rsidR="00136620">
        <w:rPr>
          <w:i/>
          <w:iCs/>
        </w:rPr>
        <w:t>Norwegian Nitrogen Products Co. v. U.S.</w:t>
      </w:r>
      <w:r w:rsidR="00136620">
        <w:t xml:space="preserve">, 288 U.S. 294, 321-22 (1932), </w:t>
      </w:r>
      <w:r w:rsidR="00136620">
        <w:rPr>
          <w:i/>
          <w:iCs/>
        </w:rPr>
        <w:t>Pottsville</w:t>
      </w:r>
      <w:r w:rsidR="00136620">
        <w:t>, 309 U.S. at 138</w:t>
      </w:r>
      <w:r>
        <w:t xml:space="preserve">). </w:t>
      </w:r>
      <w:r w:rsidR="007B2B24">
        <w:t xml:space="preserve"> </w:t>
      </w:r>
      <w:r>
        <w:t xml:space="preserve">In resolving a formal complaint, the Commission exercises an investigative function.  </w:t>
      </w:r>
      <w:r>
        <w:rPr>
          <w:i/>
          <w:iCs/>
        </w:rPr>
        <w:t xml:space="preserve">See </w:t>
      </w:r>
      <w:r>
        <w:t>47 U</w:t>
      </w:r>
      <w:r w:rsidR="00B7683D">
        <w:t>.</w:t>
      </w:r>
      <w:r>
        <w:t>S</w:t>
      </w:r>
      <w:r w:rsidR="00B7683D">
        <w:t>.</w:t>
      </w:r>
      <w:r>
        <w:t>C</w:t>
      </w:r>
      <w:r w:rsidR="00B7683D">
        <w:t>.</w:t>
      </w:r>
      <w:r>
        <w:t xml:space="preserve"> §</w:t>
      </w:r>
      <w:r w:rsidR="006A0C50">
        <w:t xml:space="preserve"> </w:t>
      </w:r>
      <w:r>
        <w:t>208(b) (“If . . . there shall appear to be any reasonable ground for investigating said complaint, it shall be the duty of the Commission to investigate the matters complained of in such manner and by such means as it shall deem proper.”).</w:t>
      </w:r>
    </w:p>
  </w:footnote>
  <w:footnote w:id="33">
    <w:p w:rsidR="00AB3096" w:rsidP="00AB3096" w14:paraId="2E72914C" w14:textId="214BF9B4">
      <w:pPr>
        <w:pStyle w:val="FootnoteText"/>
      </w:pPr>
      <w:r>
        <w:rPr>
          <w:rStyle w:val="FootnoteReference"/>
        </w:rPr>
        <w:footnoteRef/>
      </w:r>
      <w:r>
        <w:t xml:space="preserve"> 47 CFR § 1.735 (“The Commission may issue such orders and conduct its proceedings as will best conduce to the proper dispatch of business and the ends of justice</w:t>
      </w:r>
      <w:r w:rsidR="00216160">
        <w:t>.</w:t>
      </w:r>
      <w:r>
        <w:t>”).</w:t>
      </w:r>
    </w:p>
  </w:footnote>
  <w:footnote w:id="34">
    <w:p w:rsidR="00AB3096" w:rsidP="00AB3096" w14:paraId="7C3CE31A" w14:textId="05560BF1">
      <w:pPr>
        <w:pStyle w:val="FootnoteText"/>
      </w:pPr>
      <w:r>
        <w:rPr>
          <w:rStyle w:val="FootnoteReference"/>
        </w:rPr>
        <w:footnoteRef/>
      </w:r>
      <w:r>
        <w:t xml:space="preserve"> </w:t>
      </w:r>
      <w:r w:rsidRPr="0066332B">
        <w:rPr>
          <w:i/>
          <w:iCs/>
        </w:rPr>
        <w:t>See</w:t>
      </w:r>
      <w:r>
        <w:t xml:space="preserve"> First Complaint at 6</w:t>
      </w:r>
      <w:r w:rsidR="00E81DFC">
        <w:t>-7</w:t>
      </w:r>
      <w:r>
        <w:t>, para. 12, 10</w:t>
      </w:r>
      <w:r w:rsidR="006E3765">
        <w:t>,</w:t>
      </w:r>
      <w:r>
        <w:t xml:space="preserve"> para. 17</w:t>
      </w:r>
      <w:r w:rsidR="00EE47F5">
        <w:t>, and 16-17, paras 26-27</w:t>
      </w:r>
      <w:r>
        <w:t>.</w:t>
      </w:r>
    </w:p>
  </w:footnote>
  <w:footnote w:id="35">
    <w:p w:rsidR="00FA5699" w14:paraId="6565D643" w14:textId="1265205A">
      <w:pPr>
        <w:pStyle w:val="FootnoteText"/>
      </w:pPr>
      <w:r>
        <w:rPr>
          <w:rStyle w:val="FootnoteReference"/>
        </w:rPr>
        <w:footnoteRef/>
      </w:r>
      <w:r>
        <w:t xml:space="preserve"> </w:t>
      </w:r>
      <w:r>
        <w:rPr>
          <w:i/>
          <w:iCs/>
        </w:rPr>
        <w:t xml:space="preserve">See Arkansas Cable Telecomm. </w:t>
      </w:r>
      <w:r>
        <w:rPr>
          <w:i/>
          <w:iCs/>
        </w:rPr>
        <w:t>Assoc’n</w:t>
      </w:r>
      <w:r>
        <w:rPr>
          <w:i/>
          <w:iCs/>
        </w:rPr>
        <w:t xml:space="preserve"> v. Entergy Arkansas</w:t>
      </w:r>
      <w:r>
        <w:t xml:space="preserve">, Hearing Designation Order, 21 FCC </w:t>
      </w:r>
      <w:r>
        <w:t>Rcd</w:t>
      </w:r>
      <w:r>
        <w:t xml:space="preserve"> 2158, 2167 (</w:t>
      </w:r>
      <w:r w:rsidR="0077565D">
        <w:t>EB</w:t>
      </w:r>
      <w:r>
        <w:t xml:space="preserve"> 2006).</w:t>
      </w:r>
    </w:p>
  </w:footnote>
  <w:footnote w:id="36">
    <w:p w:rsidR="00AB3096" w:rsidP="00AB3096" w14:paraId="46E15C1F" w14:textId="77777777">
      <w:pPr>
        <w:pStyle w:val="FootnoteText"/>
      </w:pPr>
      <w:r>
        <w:rPr>
          <w:rStyle w:val="FootnoteReference"/>
        </w:rPr>
        <w:footnoteRef/>
      </w:r>
      <w:r>
        <w:t xml:space="preserve"> First Complaint at 17, para. 27.  </w:t>
      </w:r>
      <w:r w:rsidRPr="0066332B">
        <w:rPr>
          <w:i/>
          <w:iCs/>
        </w:rPr>
        <w:t>See id</w:t>
      </w:r>
      <w:r>
        <w:t xml:space="preserve">. at 15, para. 24 (citing </w:t>
      </w:r>
      <w:r w:rsidRPr="005C3FE6">
        <w:rPr>
          <w:i/>
          <w:iCs/>
        </w:rPr>
        <w:t>2011 Pole Attachment Order</w:t>
      </w:r>
      <w:r>
        <w:t xml:space="preserve">, 26 FCC </w:t>
      </w:r>
      <w:r>
        <w:t>Rcd</w:t>
      </w:r>
      <w:r>
        <w:t xml:space="preserve"> at 5336, para. 216).</w:t>
      </w:r>
    </w:p>
  </w:footnote>
  <w:footnote w:id="37">
    <w:p w:rsidR="00AB3096" w:rsidP="00AB3096" w14:paraId="4E97FEE2" w14:textId="736B356E">
      <w:pPr>
        <w:pStyle w:val="FootnoteText"/>
      </w:pPr>
      <w:r>
        <w:rPr>
          <w:rStyle w:val="FootnoteReference"/>
        </w:rPr>
        <w:footnoteRef/>
      </w:r>
      <w:r>
        <w:t xml:space="preserve"> </w:t>
      </w:r>
      <w:r w:rsidRPr="00836CD1">
        <w:rPr>
          <w:i/>
          <w:iCs/>
        </w:rPr>
        <w:t>See</w:t>
      </w:r>
      <w:r>
        <w:t xml:space="preserve"> First Complaint at </w:t>
      </w:r>
      <w:r w:rsidR="00E81DFC">
        <w:t>5-</w:t>
      </w:r>
      <w:r>
        <w:t>6, para</w:t>
      </w:r>
      <w:r w:rsidR="00E81DFC">
        <w:t>s</w:t>
      </w:r>
      <w:r>
        <w:t xml:space="preserve">. </w:t>
      </w:r>
      <w:r w:rsidR="00E81DFC">
        <w:t>11-</w:t>
      </w:r>
      <w:r>
        <w:t>12.</w:t>
      </w:r>
    </w:p>
  </w:footnote>
  <w:footnote w:id="38">
    <w:p w:rsidR="00AB3096" w:rsidP="00AB3096" w14:paraId="3819F3FA" w14:textId="21AD1313">
      <w:pPr>
        <w:pStyle w:val="FootnoteText"/>
      </w:pPr>
      <w:r>
        <w:rPr>
          <w:rStyle w:val="FootnoteReference"/>
        </w:rPr>
        <w:footnoteRef/>
      </w:r>
      <w:r>
        <w:t xml:space="preserve"> </w:t>
      </w:r>
      <w:r w:rsidRPr="00D74315">
        <w:rPr>
          <w:i/>
          <w:iCs/>
        </w:rPr>
        <w:t>See</w:t>
      </w:r>
      <w:r>
        <w:t xml:space="preserve"> </w:t>
      </w:r>
      <w:r w:rsidR="0040397B">
        <w:t>First Answer</w:t>
      </w:r>
      <w:r>
        <w:t xml:space="preserve"> at 6, paras. 11-12, 38-39 (Affirmative Defense M).</w:t>
      </w:r>
    </w:p>
  </w:footnote>
  <w:footnote w:id="39">
    <w:p w:rsidR="00B20913" w14:paraId="05B1F2BA" w14:textId="7DC8B39D">
      <w:pPr>
        <w:pStyle w:val="FootnoteText"/>
      </w:pPr>
      <w:r>
        <w:rPr>
          <w:rStyle w:val="FootnoteReference"/>
        </w:rPr>
        <w:footnoteRef/>
      </w:r>
      <w:r>
        <w:t xml:space="preserve"> </w:t>
      </w:r>
      <w:r w:rsidRPr="00B20913">
        <w:rPr>
          <w:i/>
          <w:iCs/>
        </w:rPr>
        <w:t>See generally</w:t>
      </w:r>
      <w:r>
        <w:t xml:space="preserve"> </w:t>
      </w:r>
      <w:r w:rsidR="00E81DFC">
        <w:t>Amended Reply Legal Analysis in Support of Pole Attachment Complaint</w:t>
      </w:r>
      <w:r>
        <w:t>, Proceeding No.19-187</w:t>
      </w:r>
      <w:r w:rsidR="00E81DFC">
        <w:t>, Bureau ID No. EB-19-MD-006</w:t>
      </w:r>
      <w:r>
        <w:t xml:space="preserve"> (filed Mar. 30, 2020)</w:t>
      </w:r>
      <w:r w:rsidR="00E81DFC">
        <w:t xml:space="preserve"> (First Reply)</w:t>
      </w:r>
      <w:r>
        <w:t xml:space="preserve">. </w:t>
      </w:r>
    </w:p>
  </w:footnote>
  <w:footnote w:id="40">
    <w:p w:rsidR="00AB3096" w:rsidP="00AB3096" w14:paraId="56B1896C" w14:textId="77777777">
      <w:pPr>
        <w:pStyle w:val="FootnoteText"/>
      </w:pPr>
      <w:r>
        <w:rPr>
          <w:rStyle w:val="FootnoteReference"/>
        </w:rPr>
        <w:footnoteRef/>
      </w:r>
      <w:r>
        <w:t xml:space="preserve"> </w:t>
      </w:r>
      <w:r w:rsidRPr="1D1DEB0C">
        <w:rPr>
          <w:i/>
          <w:iCs/>
        </w:rPr>
        <w:t>Bureau Order</w:t>
      </w:r>
      <w:r>
        <w:t xml:space="preserve">, 35 FCC </w:t>
      </w:r>
      <w:r>
        <w:t>Rcd</w:t>
      </w:r>
      <w:r>
        <w:t xml:space="preserve"> at 5326, </w:t>
      </w:r>
      <w:r w:rsidRPr="1D1DEB0C">
        <w:t>para. 10 n.32.</w:t>
      </w:r>
    </w:p>
  </w:footnote>
  <w:footnote w:id="41">
    <w:p w:rsidR="00AB3096" w:rsidP="00AB3096" w14:paraId="73F1D8A3" w14:textId="77777777">
      <w:pPr>
        <w:pStyle w:val="FootnoteText"/>
      </w:pPr>
      <w:r>
        <w:rPr>
          <w:rStyle w:val="FootnoteReference"/>
        </w:rPr>
        <w:footnoteRef/>
      </w:r>
      <w:r>
        <w:t xml:space="preserve"> </w:t>
      </w:r>
      <w:r w:rsidRPr="002E7233">
        <w:rPr>
          <w:i/>
          <w:iCs/>
        </w:rPr>
        <w:t>See</w:t>
      </w:r>
      <w:r>
        <w:t xml:space="preserve"> Second Complaint at 31, para. 51, 32, paras. 56-58.</w:t>
      </w:r>
    </w:p>
  </w:footnote>
  <w:footnote w:id="42">
    <w:p w:rsidR="00AB3096" w:rsidRPr="002B0B34" w:rsidP="00AB3096" w14:paraId="2010CE57" w14:textId="77777777">
      <w:pPr>
        <w:pStyle w:val="FootnoteText"/>
      </w:pPr>
      <w:r>
        <w:rPr>
          <w:rStyle w:val="FootnoteReference"/>
        </w:rPr>
        <w:footnoteRef/>
      </w:r>
      <w:r>
        <w:t xml:space="preserve"> </w:t>
      </w:r>
      <w:r w:rsidRPr="006770F3">
        <w:rPr>
          <w:i/>
          <w:iCs/>
        </w:rPr>
        <w:t>Implementation of the Telecommunications Act of 1996</w:t>
      </w:r>
      <w:r>
        <w:t xml:space="preserve">, Order on Reconsideration, 16 FCC </w:t>
      </w:r>
      <w:r>
        <w:t>Rcd</w:t>
      </w:r>
      <w:r>
        <w:t xml:space="preserve"> 5681, 5695 </w:t>
      </w:r>
      <w:r>
        <w:t>para</w:t>
      </w:r>
      <w:r>
        <w:t xml:space="preserve">. 32 (2001).  </w:t>
      </w:r>
      <w:r w:rsidRPr="008F163C">
        <w:rPr>
          <w:i/>
          <w:iCs/>
        </w:rPr>
        <w:t>See</w:t>
      </w:r>
      <w:r>
        <w:t xml:space="preserve"> </w:t>
      </w:r>
      <w:r>
        <w:rPr>
          <w:i/>
          <w:iCs/>
        </w:rPr>
        <w:t>id</w:t>
      </w:r>
      <w:r w:rsidRPr="008F163C">
        <w:t>. at 5695</w:t>
      </w:r>
      <w:r>
        <w:rPr>
          <w:i/>
          <w:iCs/>
        </w:rPr>
        <w:t xml:space="preserve"> (</w:t>
      </w:r>
      <w:r w:rsidRPr="002B0B34">
        <w:t>heading</w:t>
      </w:r>
      <w:r>
        <w:t>) (“The parties’ initial pleadings must contain all of the parties’ supporting facts, legal arguments, and documentation”) (initial caps removed, emphasis added).</w:t>
      </w:r>
    </w:p>
  </w:footnote>
  <w:footnote w:id="43">
    <w:p w:rsidR="00AB3096" w:rsidP="00AB3096" w14:paraId="3FC8B373" w14:textId="01540481">
      <w:pPr>
        <w:pStyle w:val="FootnoteText"/>
      </w:pPr>
      <w:r>
        <w:rPr>
          <w:rStyle w:val="FootnoteReference"/>
        </w:rPr>
        <w:footnoteRef/>
      </w:r>
      <w:r>
        <w:t xml:space="preserve"> 47 CFR </w:t>
      </w:r>
      <w:bookmarkStart w:id="9" w:name="_Hlk76656964"/>
      <w:r w:rsidRPr="1D1DEB0C">
        <w:t>§</w:t>
      </w:r>
      <w:r>
        <w:t xml:space="preserve"> </w:t>
      </w:r>
      <w:bookmarkEnd w:id="9"/>
      <w:r>
        <w:t xml:space="preserve">1.721(b) (emphasis added).  </w:t>
      </w:r>
    </w:p>
  </w:footnote>
  <w:footnote w:id="44">
    <w:p w:rsidR="00AB3096" w:rsidP="00AB3096" w14:paraId="1199266F" w14:textId="6955452D">
      <w:pPr>
        <w:pStyle w:val="FootnoteText"/>
      </w:pPr>
      <w:r>
        <w:rPr>
          <w:rStyle w:val="FootnoteReference"/>
        </w:rPr>
        <w:footnoteRef/>
      </w:r>
      <w:r>
        <w:t xml:space="preserve"> </w:t>
      </w:r>
      <w:r>
        <w:rPr>
          <w:i/>
          <w:iCs/>
          <w:color w:val="000000"/>
        </w:rPr>
        <w:t>See</w:t>
      </w:r>
      <w:r>
        <w:rPr>
          <w:rStyle w:val="apple-converted-space"/>
          <w:color w:val="000000"/>
        </w:rPr>
        <w:t> </w:t>
      </w:r>
      <w:r>
        <w:rPr>
          <w:color w:val="000000"/>
        </w:rPr>
        <w:t xml:space="preserve">47 CFR </w:t>
      </w:r>
      <w:r w:rsidRPr="1D1DEB0C">
        <w:t>§</w:t>
      </w:r>
      <w:r w:rsidR="0047320A">
        <w:t>§</w:t>
      </w:r>
      <w:r>
        <w:t xml:space="preserve"> </w:t>
      </w:r>
      <w:r>
        <w:rPr>
          <w:color w:val="000000"/>
        </w:rPr>
        <w:t>1.721(i), (p)</w:t>
      </w:r>
      <w:r>
        <w:t>.</w:t>
      </w:r>
    </w:p>
  </w:footnote>
  <w:footnote w:id="45">
    <w:p w:rsidR="00AB3096" w:rsidP="00AB3096" w14:paraId="3B643A21" w14:textId="77777777">
      <w:pPr>
        <w:pStyle w:val="FootnoteText"/>
      </w:pPr>
      <w:r>
        <w:rPr>
          <w:rStyle w:val="FootnoteReference"/>
        </w:rPr>
        <w:footnoteRef/>
      </w:r>
      <w:r>
        <w:t xml:space="preserve"> 47 CFR </w:t>
      </w:r>
      <w:r w:rsidRPr="1D1DEB0C">
        <w:t>§</w:t>
      </w:r>
      <w:r>
        <w:t xml:space="preserve"> 1.722(d).  </w:t>
      </w:r>
    </w:p>
  </w:footnote>
  <w:footnote w:id="46">
    <w:p w:rsidR="00AB3096" w:rsidP="00AB3096" w14:paraId="0F16DA9C" w14:textId="44BA4921">
      <w:pPr>
        <w:pStyle w:val="FootnoteText"/>
      </w:pPr>
      <w:r>
        <w:rPr>
          <w:rStyle w:val="FootnoteReference"/>
        </w:rPr>
        <w:footnoteRef/>
      </w:r>
      <w:r>
        <w:t xml:space="preserve"> </w:t>
      </w:r>
      <w:r w:rsidRPr="00222DBF">
        <w:rPr>
          <w:i/>
          <w:iCs/>
        </w:rPr>
        <w:t>Compare</w:t>
      </w:r>
      <w:r w:rsidR="00097822">
        <w:rPr>
          <w:i/>
          <w:iCs/>
        </w:rPr>
        <w:t>,</w:t>
      </w:r>
      <w:r>
        <w:t xml:space="preserve"> </w:t>
      </w:r>
      <w:r w:rsidRPr="004B6985">
        <w:rPr>
          <w:i/>
          <w:iCs/>
        </w:rPr>
        <w:t>e.</w:t>
      </w:r>
      <w:r w:rsidRPr="00B97BE0" w:rsidR="00791514">
        <w:rPr>
          <w:i/>
          <w:iCs/>
        </w:rPr>
        <w:t>g</w:t>
      </w:r>
      <w:r w:rsidR="00791514">
        <w:t>,</w:t>
      </w:r>
      <w:r>
        <w:t xml:space="preserve"> Second Complaint </w:t>
      </w:r>
      <w:r>
        <w:t>Exh</w:t>
      </w:r>
      <w:r>
        <w:t xml:space="preserve">. A (Miller </w:t>
      </w:r>
      <w:r>
        <w:t>Aff</w:t>
      </w:r>
      <w:r>
        <w:t>.) and Ex</w:t>
      </w:r>
      <w:r w:rsidR="00B235A6">
        <w:t>h</w:t>
      </w:r>
      <w:r>
        <w:t xml:space="preserve">s. 1-2, 4-9, 11-14, 16, 23-28 </w:t>
      </w:r>
      <w:r w:rsidRPr="00222DBF">
        <w:rPr>
          <w:i/>
          <w:iCs/>
        </w:rPr>
        <w:t>with</w:t>
      </w:r>
      <w:r>
        <w:t xml:space="preserve"> First Complaint </w:t>
      </w:r>
      <w:r>
        <w:t>Exh</w:t>
      </w:r>
      <w:r>
        <w:t xml:space="preserve">. B (Miller </w:t>
      </w:r>
      <w:r>
        <w:t>Aff</w:t>
      </w:r>
      <w:r>
        <w:t>.) and Ex</w:t>
      </w:r>
      <w:r w:rsidR="00097822">
        <w:t>h</w:t>
      </w:r>
      <w:r>
        <w:t>s. 1-2, 4-6, 7-10, 13-15, 17-18, 23-29</w:t>
      </w:r>
      <w:r w:rsidR="00E81DFC">
        <w:t xml:space="preserve">; </w:t>
      </w:r>
      <w:r w:rsidR="00E81DFC">
        <w:rPr>
          <w:i/>
          <w:iCs/>
        </w:rPr>
        <w:t>see also</w:t>
      </w:r>
      <w:r>
        <w:t xml:space="preserve"> First Answer at 3, para. 6.</w:t>
      </w:r>
    </w:p>
  </w:footnote>
  <w:footnote w:id="47">
    <w:p w:rsidR="00AB3096" w:rsidP="00AB3096" w14:paraId="7ACD453F" w14:textId="1F4F594E">
      <w:pPr>
        <w:pStyle w:val="FootnoteText"/>
      </w:pPr>
      <w:r>
        <w:rPr>
          <w:rStyle w:val="FootnoteReference"/>
        </w:rPr>
        <w:footnoteRef/>
      </w:r>
      <w:r>
        <w:t xml:space="preserve"> 47 CFR </w:t>
      </w:r>
      <w:r w:rsidRPr="1D1DEB0C">
        <w:t>§</w:t>
      </w:r>
      <w:r>
        <w:t xml:space="preserve"> 1.728(</w:t>
      </w:r>
      <w:r w:rsidR="00CD4E94">
        <w:t>a</w:t>
      </w:r>
      <w:r>
        <w:t>).  AT&amp;T has participated in Commission proceedings in which the complainant made new allegations on reply, and the defendant was permitted to file a sur-reply.</w:t>
      </w:r>
      <w:r w:rsidRPr="00860980">
        <w:t xml:space="preserve"> </w:t>
      </w:r>
      <w:r>
        <w:t xml:space="preserve"> </w:t>
      </w:r>
      <w:r w:rsidRPr="00860980">
        <w:rPr>
          <w:i/>
          <w:iCs/>
        </w:rPr>
        <w:t>See, e.g.,</w:t>
      </w:r>
      <w:r>
        <w:t xml:space="preserve"> </w:t>
      </w:r>
      <w:r w:rsidRPr="002C7AD7">
        <w:rPr>
          <w:i/>
          <w:iCs/>
        </w:rPr>
        <w:t>Level3 Comm’ns v. AT&amp;T, Inc.</w:t>
      </w:r>
      <w:r>
        <w:t xml:space="preserve">, Memorandum Opinion and Order, 33 FCC </w:t>
      </w:r>
      <w:r>
        <w:t>Rcd</w:t>
      </w:r>
      <w:r>
        <w:t xml:space="preserve"> 2388, 2392, para. 9 n.29 (2018); </w:t>
      </w:r>
      <w:r w:rsidRPr="002C7AD7">
        <w:rPr>
          <w:i/>
          <w:iCs/>
        </w:rPr>
        <w:t>AT&amp;T Mobility v. Iowa Wireless Services</w:t>
      </w:r>
      <w:r>
        <w:t xml:space="preserve">, Order of Dismissal, 31 FCC </w:t>
      </w:r>
      <w:r>
        <w:t>Rcd</w:t>
      </w:r>
      <w:r>
        <w:t xml:space="preserve"> 8991, para. 4 n.4 (MDRD 2016).  </w:t>
      </w:r>
    </w:p>
  </w:footnote>
  <w:footnote w:id="48">
    <w:p w:rsidR="00AB3096" w:rsidP="00AB3096" w14:paraId="2FE67308" w14:textId="77777777">
      <w:pPr>
        <w:pStyle w:val="FootnoteText"/>
      </w:pPr>
      <w:r>
        <w:rPr>
          <w:rStyle w:val="FootnoteReference"/>
        </w:rPr>
        <w:footnoteRef/>
      </w:r>
      <w:r>
        <w:t xml:space="preserve"> </w:t>
      </w:r>
      <w:r w:rsidRPr="00263166">
        <w:rPr>
          <w:i/>
          <w:iCs/>
        </w:rPr>
        <w:t>See</w:t>
      </w:r>
      <w:r>
        <w:t xml:space="preserve"> First Answer at 38-39 (Affirmative Defense M); 47 CFR </w:t>
      </w:r>
      <w:r w:rsidRPr="1D1DEB0C">
        <w:t>§</w:t>
      </w:r>
      <w:r>
        <w:t xml:space="preserve"> 1.728(b) (“Failure to reply to an affirmative defense shall be deemed an admission of such affirmative defense”). </w:t>
      </w:r>
    </w:p>
  </w:footnote>
  <w:footnote w:id="49">
    <w:p w:rsidR="00AB3096" w:rsidP="00AB3096" w14:paraId="36D7B82C" w14:textId="0DE9F3C6">
      <w:pPr>
        <w:pStyle w:val="FootnoteText"/>
      </w:pPr>
      <w:r>
        <w:rPr>
          <w:rStyle w:val="FootnoteReference"/>
        </w:rPr>
        <w:footnoteRef/>
      </w:r>
      <w:r>
        <w:t xml:space="preserve"> </w:t>
      </w:r>
      <w:r w:rsidRPr="00CD4E94" w:rsidR="00CD4E94">
        <w:rPr>
          <w:i/>
          <w:iCs/>
        </w:rPr>
        <w:t>See</w:t>
      </w:r>
      <w:r w:rsidR="00CD4E94">
        <w:t xml:space="preserve"> </w:t>
      </w:r>
      <w:r w:rsidR="00E81DFC">
        <w:t>Reply Legal Analysis in Support of Pole Attachment Complaint</w:t>
      </w:r>
      <w:r w:rsidR="0095581A">
        <w:t>, Proceeding No. 20-214</w:t>
      </w:r>
      <w:r w:rsidR="00E81DFC">
        <w:t>, Bureau ID No. EB-20-MD-002</w:t>
      </w:r>
      <w:r w:rsidR="0095581A">
        <w:t xml:space="preserve"> (filed Dec. 4, 2020)</w:t>
      </w:r>
      <w:r w:rsidR="00887F44">
        <w:t xml:space="preserve"> (Second Reply Legal Analysis)</w:t>
      </w:r>
      <w:r>
        <w:t xml:space="preserve"> at 4-5 (quoting 47 U.S.C. </w:t>
      </w:r>
      <w:r w:rsidRPr="1D1DEB0C">
        <w:t>§</w:t>
      </w:r>
      <w:r>
        <w:t xml:space="preserve"> 224(b)(1)) (emphasis added).</w:t>
      </w:r>
    </w:p>
  </w:footnote>
  <w:footnote w:id="50">
    <w:p w:rsidR="00AB3096" w:rsidP="00AB3096" w14:paraId="0CC147A7" w14:textId="77777777">
      <w:pPr>
        <w:pStyle w:val="FootnoteText"/>
      </w:pPr>
      <w:r>
        <w:rPr>
          <w:rStyle w:val="FootnoteReference"/>
        </w:rPr>
        <w:footnoteRef/>
      </w:r>
      <w:r>
        <w:t xml:space="preserve"> 47 U.S.C. </w:t>
      </w:r>
      <w:r w:rsidRPr="1D1DEB0C">
        <w:t>§</w:t>
      </w:r>
      <w:r>
        <w:t xml:space="preserve"> 224(b)(1).</w:t>
      </w:r>
    </w:p>
  </w:footnote>
  <w:footnote w:id="51">
    <w:p w:rsidR="00AB3096" w:rsidP="00AB3096" w14:paraId="6DE69912" w14:textId="2198D6BF">
      <w:pPr>
        <w:pStyle w:val="FootnoteText"/>
      </w:pPr>
      <w:r>
        <w:rPr>
          <w:rStyle w:val="FootnoteReference"/>
        </w:rPr>
        <w:footnoteRef/>
      </w:r>
      <w:r>
        <w:t xml:space="preserve"> 47 U.S.</w:t>
      </w:r>
      <w:r w:rsidR="00B55D6C">
        <w:t>C.</w:t>
      </w:r>
      <w:r w:rsidRPr="00AC211F">
        <w:t xml:space="preserve"> </w:t>
      </w:r>
      <w:r w:rsidRPr="1D1DEB0C">
        <w:t>§</w:t>
      </w:r>
      <w:r>
        <w:t xml:space="preserve"> 4(j)</w:t>
      </w:r>
      <w:r w:rsidR="00097822">
        <w:t xml:space="preserve">; </w:t>
      </w:r>
      <w:r>
        <w:t xml:space="preserve">47 CFR </w:t>
      </w:r>
      <w:r w:rsidRPr="1D1DEB0C">
        <w:t>§</w:t>
      </w:r>
      <w:r>
        <w:t xml:space="preserve"> 1.7</w:t>
      </w:r>
      <w:r w:rsidR="00136620">
        <w:t>35</w:t>
      </w:r>
      <w:r>
        <w:t xml:space="preserve">(b). </w:t>
      </w:r>
      <w:r w:rsidRPr="00AC211F">
        <w:rPr>
          <w:i/>
          <w:iCs/>
          <w:color w:val="000000"/>
        </w:rPr>
        <w:t xml:space="preserve"> </w:t>
      </w:r>
      <w:r>
        <w:rPr>
          <w:i/>
          <w:iCs/>
          <w:color w:val="000000"/>
        </w:rPr>
        <w:t>See Schreiber</w:t>
      </w:r>
      <w:r>
        <w:rPr>
          <w:color w:val="000000"/>
        </w:rPr>
        <w:t>, 381 U.S.</w:t>
      </w:r>
      <w:r w:rsidR="003B2A2E">
        <w:rPr>
          <w:color w:val="000000"/>
        </w:rPr>
        <w:t xml:space="preserve"> at</w:t>
      </w:r>
      <w:r>
        <w:rPr>
          <w:color w:val="000000"/>
        </w:rPr>
        <w:t xml:space="preserve"> 289 (Section 4(j) “delegates broad discretion to</w:t>
      </w:r>
      <w:r w:rsidR="00F3020A">
        <w:rPr>
          <w:color w:val="000000"/>
        </w:rPr>
        <w:t xml:space="preserve"> . . . </w:t>
      </w:r>
      <w:r>
        <w:rPr>
          <w:color w:val="000000"/>
        </w:rPr>
        <w:t>make ad hoc procedural rulings in specific instances”) (citing</w:t>
      </w:r>
      <w:r>
        <w:rPr>
          <w:i/>
          <w:iCs/>
          <w:color w:val="000000"/>
        </w:rPr>
        <w:t xml:space="preserve"> Pottsville</w:t>
      </w:r>
      <w:r>
        <w:rPr>
          <w:color w:val="000000"/>
        </w:rPr>
        <w:t xml:space="preserve">, 309 U.S. 134, 138 (1940) (under </w:t>
      </w:r>
      <w:r w:rsidR="00795A68">
        <w:rPr>
          <w:color w:val="000000"/>
        </w:rPr>
        <w:t>s</w:t>
      </w:r>
      <w:r>
        <w:rPr>
          <w:color w:val="000000"/>
        </w:rPr>
        <w:t>ection 4(j), “the subordinate questions of procedure in ascertaining the public interest . . . were explicitly and by implication left to the Commission’s own devising”)).</w:t>
      </w:r>
    </w:p>
  </w:footnote>
  <w:footnote w:id="52">
    <w:p w:rsidR="00AB3096" w:rsidP="00AB3096" w14:paraId="428B4BB6" w14:textId="7F7316DA">
      <w:pPr>
        <w:pStyle w:val="FootnoteText"/>
      </w:pPr>
      <w:r>
        <w:rPr>
          <w:rStyle w:val="FootnoteReference"/>
        </w:rPr>
        <w:footnoteRef/>
      </w:r>
      <w:r>
        <w:t xml:space="preserve"> </w:t>
      </w:r>
      <w:r>
        <w:rPr>
          <w:i/>
          <w:iCs/>
        </w:rPr>
        <w:t>See</w:t>
      </w:r>
      <w:r w:rsidR="00F919DE">
        <w:t xml:space="preserve"> </w:t>
      </w:r>
      <w:r w:rsidR="007463CD">
        <w:t xml:space="preserve">Respondent Florida Power &amp; Light Company’s Brief in Support of Its Answer </w:t>
      </w:r>
      <w:r w:rsidRPr="00953093" w:rsidR="007463CD">
        <w:t>to the Complaint of Bellsouth Telecommunications, LLC, DB/A AT&amp;T Florida</w:t>
      </w:r>
      <w:r w:rsidR="007463CD">
        <w:t>,</w:t>
      </w:r>
      <w:r>
        <w:t xml:space="preserve"> </w:t>
      </w:r>
      <w:r w:rsidR="007463CD">
        <w:t xml:space="preserve">Proceeding No. 20-214, Bureau ID No. EB-20-MD-002 (filed Oct. 21, 2020) (Second Answer Legal Analysis) </w:t>
      </w:r>
      <w:r>
        <w:t xml:space="preserve">at 17 (“AT&amp;T here has done everything the doctrine against claim splitting prohibits, [and] . . . it did so with unabashed opportunism, filing a split-claim follow-on suit soon after reading a footnote in the </w:t>
      </w:r>
      <w:r w:rsidR="00CB192B">
        <w:t>[</w:t>
      </w:r>
      <w:r w:rsidR="00CB192B">
        <w:rPr>
          <w:i/>
          <w:iCs/>
        </w:rPr>
        <w:t>Bureau</w:t>
      </w:r>
      <w:r w:rsidR="00CB192B">
        <w:t>]</w:t>
      </w:r>
      <w:r>
        <w:rPr>
          <w:i/>
          <w:iCs/>
        </w:rPr>
        <w:t xml:space="preserve"> Order</w:t>
      </w:r>
      <w:r>
        <w:t xml:space="preserve"> and while Complaint I remains pending.”); </w:t>
      </w:r>
      <w:r w:rsidR="007463CD">
        <w:t>Answer of Florida Power &amp; Light Company, Proceeding No. 20-214, Bureau ID No. EB-EB-20-MD-002 (filed Oct. 21, 2020)  (Second Answer)</w:t>
      </w:r>
      <w:r w:rsidR="0006285C">
        <w:t xml:space="preserve"> at </w:t>
      </w:r>
      <w:r>
        <w:t xml:space="preserve">1, 13-21 (citing </w:t>
      </w:r>
      <w:r>
        <w:rPr>
          <w:i/>
          <w:iCs/>
        </w:rPr>
        <w:t>Vanover v. NCO Financial Servs.</w:t>
      </w:r>
      <w:r>
        <w:t>, 857 F.3d 833 (11</w:t>
      </w:r>
      <w:r>
        <w:rPr>
          <w:vertAlign w:val="superscript"/>
        </w:rPr>
        <w:t>th</w:t>
      </w:r>
      <w:r>
        <w:t xml:space="preserve"> Cir. 2017); </w:t>
      </w:r>
      <w:r>
        <w:rPr>
          <w:i/>
          <w:iCs/>
        </w:rPr>
        <w:t>Dorsey v. Jacobson Holman PLLC</w:t>
      </w:r>
      <w:r>
        <w:t xml:space="preserve">, 764 F. Supp. 2d 209, 212 (D.D.C. 2011), </w:t>
      </w:r>
      <w:r>
        <w:rPr>
          <w:i/>
          <w:iCs/>
        </w:rPr>
        <w:t>aff’d</w:t>
      </w:r>
      <w:r>
        <w:t xml:space="preserve"> 476 Fed. Appx. 861 (D.C. Cir. 2012)</w:t>
      </w:r>
      <w:r w:rsidR="00CB192B">
        <w:t>)</w:t>
      </w:r>
      <w:r>
        <w:t xml:space="preserve">.  </w:t>
      </w:r>
    </w:p>
  </w:footnote>
  <w:footnote w:id="53">
    <w:p w:rsidR="00AB3096" w:rsidP="00AB3096" w14:paraId="74E46ED7" w14:textId="0D6CF9B6">
      <w:pPr>
        <w:pStyle w:val="FootnoteText"/>
      </w:pPr>
      <w:r>
        <w:rPr>
          <w:rStyle w:val="FootnoteReference"/>
        </w:rPr>
        <w:footnoteRef/>
      </w:r>
      <w:r>
        <w:t xml:space="preserve"> </w:t>
      </w:r>
      <w:r>
        <w:rPr>
          <w:i/>
          <w:iCs/>
        </w:rPr>
        <w:t>E.g.</w:t>
      </w:r>
      <w:r>
        <w:t xml:space="preserve">, </w:t>
      </w:r>
      <w:r>
        <w:rPr>
          <w:i/>
          <w:iCs/>
        </w:rPr>
        <w:t>Vanover</w:t>
      </w:r>
      <w:r>
        <w:t xml:space="preserve">, </w:t>
      </w:r>
      <w:r w:rsidR="00FB746C">
        <w:t xml:space="preserve">857 F.3d </w:t>
      </w:r>
      <w:r>
        <w:t xml:space="preserve">at 841.   </w:t>
      </w:r>
    </w:p>
  </w:footnote>
  <w:footnote w:id="54">
    <w:p w:rsidR="00AB3096" w:rsidP="00AB3096" w14:paraId="7A7D1341" w14:textId="25D8116A">
      <w:pPr>
        <w:pStyle w:val="FootnoteText"/>
      </w:pPr>
      <w:r>
        <w:rPr>
          <w:rStyle w:val="FootnoteReference"/>
        </w:rPr>
        <w:footnoteRef/>
      </w:r>
      <w:r>
        <w:t xml:space="preserve"> </w:t>
      </w:r>
      <w:r w:rsidR="00FB746C">
        <w:rPr>
          <w:i/>
          <w:iCs/>
        </w:rPr>
        <w:t>Vanover</w:t>
      </w:r>
      <w:r w:rsidR="00FB746C">
        <w:t>, 857 F.3d</w:t>
      </w:r>
      <w:r w:rsidR="00FB746C">
        <w:rPr>
          <w:i/>
          <w:iCs/>
        </w:rPr>
        <w:t xml:space="preserve"> </w:t>
      </w:r>
      <w:r>
        <w:t>at 843 (“</w:t>
      </w:r>
      <w:r w:rsidR="00136620">
        <w:t>[</w:t>
      </w:r>
      <w:r>
        <w:t>T</w:t>
      </w:r>
      <w:r w:rsidR="00136620">
        <w:t>]</w:t>
      </w:r>
      <w:r>
        <w:t>he objective of the claim-splitting doctrine [is] to promote judicial economy and shield parties from vexatious and duplicative litigation while empowering the district court to manage its docket.”).</w:t>
      </w:r>
    </w:p>
  </w:footnote>
  <w:footnote w:id="55">
    <w:p w:rsidR="00AB3096" w:rsidP="00AB3096" w14:paraId="2B58AD36" w14:textId="5155C4C3">
      <w:pPr>
        <w:pStyle w:val="FootnoteText"/>
      </w:pPr>
      <w:r>
        <w:rPr>
          <w:rStyle w:val="FootnoteReference"/>
        </w:rPr>
        <w:footnoteRef/>
      </w:r>
      <w:r>
        <w:t xml:space="preserve"> </w:t>
      </w:r>
      <w:r>
        <w:rPr>
          <w:i/>
          <w:iCs/>
        </w:rPr>
        <w:t xml:space="preserve">See </w:t>
      </w:r>
      <w:r>
        <w:rPr>
          <w:i/>
          <w:iCs/>
          <w:color w:val="000000"/>
        </w:rPr>
        <w:t xml:space="preserve">Katz v. </w:t>
      </w:r>
      <w:r>
        <w:rPr>
          <w:i/>
          <w:iCs/>
          <w:color w:val="000000"/>
        </w:rPr>
        <w:t>Gerardi</w:t>
      </w:r>
      <w:r>
        <w:rPr>
          <w:color w:val="000000"/>
        </w:rPr>
        <w:t>, 655 F.3d 1212, 1218-19 (10</w:t>
      </w:r>
      <w:r>
        <w:rPr>
          <w:color w:val="000000"/>
          <w:vertAlign w:val="superscript"/>
        </w:rPr>
        <w:t>th</w:t>
      </w:r>
      <w:r>
        <w:rPr>
          <w:color w:val="000000"/>
        </w:rPr>
        <w:t xml:space="preserve"> Cir. 2011) (“If the party challenging a second suit on the basis of claim splitting had to wait until the first was final, the [claim splitting] rule would be meaningless.  The second, duplicative suit would forge ahead until the first suit became final, all the while wasting judicial resources.”)</w:t>
      </w:r>
      <w:r w:rsidR="00C233EA">
        <w:rPr>
          <w:color w:val="000000"/>
        </w:rPr>
        <w:t>.</w:t>
      </w:r>
      <w:r>
        <w:t xml:space="preserve">          </w:t>
      </w:r>
    </w:p>
  </w:footnote>
  <w:footnote w:id="56">
    <w:p w:rsidR="00AB3096" w:rsidP="00AB3096" w14:paraId="03F9A931" w14:textId="7680B9E1">
      <w:pPr>
        <w:pStyle w:val="FootnoteText"/>
      </w:pPr>
      <w:r>
        <w:rPr>
          <w:rStyle w:val="FootnoteReference"/>
        </w:rPr>
        <w:footnoteRef/>
      </w:r>
      <w:r>
        <w:t xml:space="preserve"> </w:t>
      </w:r>
      <w:r w:rsidR="00CB192B">
        <w:t>Second Reply</w:t>
      </w:r>
      <w:r>
        <w:t xml:space="preserve"> </w:t>
      </w:r>
      <w:r w:rsidR="009F795A">
        <w:t>Legal Analysis</w:t>
      </w:r>
      <w:r>
        <w:t xml:space="preserve"> at 4.</w:t>
      </w:r>
    </w:p>
  </w:footnote>
  <w:footnote w:id="57">
    <w:p w:rsidR="00AB3096" w:rsidP="00AB3096" w14:paraId="1BDC7599" w14:textId="53F1AB47">
      <w:pPr>
        <w:pStyle w:val="FootnoteText"/>
      </w:pPr>
      <w:r>
        <w:rPr>
          <w:rStyle w:val="FootnoteReference"/>
        </w:rPr>
        <w:footnoteRef/>
      </w:r>
      <w:r>
        <w:t xml:space="preserve"> </w:t>
      </w:r>
      <w:r>
        <w:rPr>
          <w:i/>
          <w:iCs/>
        </w:rPr>
        <w:t>See</w:t>
      </w:r>
      <w:r>
        <w:t xml:space="preserve"> Restatement</w:t>
      </w:r>
      <w:r w:rsidR="008B1ED5">
        <w:t xml:space="preserve"> (Second) of Judgments</w:t>
      </w:r>
      <w:r>
        <w:t xml:space="preserve"> § 24 </w:t>
      </w:r>
      <w:r>
        <w:t>cmt</w:t>
      </w:r>
      <w:r>
        <w:t>. c (heading) (a “[t]</w:t>
      </w:r>
      <w:r>
        <w:t>ransaction</w:t>
      </w:r>
      <w:r>
        <w:t xml:space="preserve"> may be single despite different harms, substantive theories, measures or kinds of relief”).  </w:t>
      </w:r>
    </w:p>
  </w:footnote>
  <w:footnote w:id="58">
    <w:p w:rsidR="00AB3096" w:rsidP="00AB3096" w14:paraId="73983C48" w14:textId="1157363A">
      <w:pPr>
        <w:pStyle w:val="FootnoteText"/>
      </w:pPr>
      <w:r>
        <w:rPr>
          <w:rStyle w:val="FootnoteReference"/>
        </w:rPr>
        <w:footnoteRef/>
      </w:r>
      <w:r>
        <w:t xml:space="preserve"> </w:t>
      </w:r>
      <w:r w:rsidR="00683C48">
        <w:t xml:space="preserve">AT&amp;T’s Reply to FPL’s Answer, </w:t>
      </w:r>
      <w:r w:rsidRPr="00512FD3" w:rsidR="00683C48">
        <w:t>Proceeding No. 20-214</w:t>
      </w:r>
      <w:r w:rsidR="00683C48">
        <w:t>, Bureau ID No. EB-20-MD-002 (filed</w:t>
      </w:r>
      <w:r w:rsidR="00B7518F">
        <w:t xml:space="preserve"> Dec. 4, 2020</w:t>
      </w:r>
      <w:r w:rsidR="00683C48">
        <w:t>) (</w:t>
      </w:r>
      <w:r w:rsidR="009F795A">
        <w:t>Second Reply</w:t>
      </w:r>
      <w:r w:rsidR="00683C48">
        <w:t>)</w:t>
      </w:r>
      <w:r w:rsidR="009F795A">
        <w:t xml:space="preserve"> </w:t>
      </w:r>
      <w:r w:rsidR="001945D2">
        <w:t>at 4, para. 5</w:t>
      </w:r>
      <w:r w:rsidR="00683C48">
        <w:t>; Second Reply</w:t>
      </w:r>
      <w:r w:rsidR="0095581A">
        <w:t xml:space="preserve"> </w:t>
      </w:r>
      <w:r w:rsidR="001945D2">
        <w:t>Legal Analysis at 2-3</w:t>
      </w:r>
      <w:r>
        <w:t xml:space="preserve">.     </w:t>
      </w:r>
    </w:p>
  </w:footnote>
  <w:footnote w:id="59">
    <w:p w:rsidR="00AB3096" w:rsidP="00AB3096" w14:paraId="324D7DDC" w14:textId="77777777">
      <w:pPr>
        <w:pStyle w:val="FootnoteText"/>
      </w:pPr>
      <w:r>
        <w:rPr>
          <w:rStyle w:val="FootnoteReference"/>
        </w:rPr>
        <w:footnoteRef/>
      </w:r>
      <w:r>
        <w:t xml:space="preserve"> </w:t>
      </w:r>
      <w:bookmarkStart w:id="11" w:name="_Hlk77323146"/>
      <w:r>
        <w:t xml:space="preserve">AT&amp;T cites </w:t>
      </w:r>
      <w:r>
        <w:rPr>
          <w:i/>
          <w:iCs/>
        </w:rPr>
        <w:t>Horia</w:t>
      </w:r>
      <w:r>
        <w:rPr>
          <w:i/>
          <w:iCs/>
        </w:rPr>
        <w:t xml:space="preserve"> v. Nationwide Credit &amp; Collection</w:t>
      </w:r>
      <w:r>
        <w:t xml:space="preserve">, 944 F.3d 970 (7th Cir. 2019).  Second Reply Legal Analysis at 4 n.11.  But that case is distinguishable because there was no contractual relationship between the parties, whereas AT&amp;T’s claim arises out of the JUA.  </w:t>
      </w:r>
      <w:r>
        <w:rPr>
          <w:i/>
          <w:iCs/>
        </w:rPr>
        <w:t>Cf., Trustmark Ins. v. ESLU, Inc.</w:t>
      </w:r>
      <w:r>
        <w:t>, 299 F.3d 1265 (11</w:t>
      </w:r>
      <w:r>
        <w:rPr>
          <w:vertAlign w:val="superscript"/>
        </w:rPr>
        <w:t>th</w:t>
      </w:r>
      <w:r>
        <w:t xml:space="preserve"> Cir. 2002).  </w:t>
      </w:r>
      <w:bookmarkEnd w:id="11"/>
    </w:p>
  </w:footnote>
  <w:footnote w:id="60">
    <w:p w:rsidR="001945D2" w14:paraId="61C3409C" w14:textId="2286460F">
      <w:pPr>
        <w:pStyle w:val="FootnoteText"/>
      </w:pPr>
      <w:r>
        <w:rPr>
          <w:rStyle w:val="FootnoteReference"/>
        </w:rPr>
        <w:footnoteRef/>
      </w:r>
      <w:r>
        <w:t xml:space="preserve"> </w:t>
      </w:r>
      <w:r w:rsidRPr="001945D2">
        <w:rPr>
          <w:i/>
          <w:iCs/>
        </w:rPr>
        <w:t>See</w:t>
      </w:r>
      <w:r>
        <w:t xml:space="preserve"> Second Reply Legal Analysis at 4-5. </w:t>
      </w:r>
    </w:p>
  </w:footnote>
  <w:footnote w:id="61">
    <w:p w:rsidR="00AB3096" w:rsidP="00AB3096" w14:paraId="61E22362" w14:textId="04418CE6">
      <w:pPr>
        <w:pStyle w:val="FootnoteText"/>
      </w:pPr>
      <w:r>
        <w:rPr>
          <w:rStyle w:val="FootnoteReference"/>
        </w:rPr>
        <w:footnoteRef/>
      </w:r>
      <w:r>
        <w:t xml:space="preserve"> </w:t>
      </w:r>
      <w:r w:rsidRPr="001B613A">
        <w:rPr>
          <w:i/>
          <w:iCs/>
        </w:rPr>
        <w:t>See</w:t>
      </w:r>
      <w:r>
        <w:t xml:space="preserve"> Second Complaint </w:t>
      </w:r>
      <w:r>
        <w:t>Exh</w:t>
      </w:r>
      <w:r>
        <w:t xml:space="preserve">. 10.  The National Joint Use Notification System tracks the attacher who should next transfer its attachments from a replaced pole to a new pole.  </w:t>
      </w:r>
      <w:r w:rsidRPr="00591B66">
        <w:rPr>
          <w:i/>
          <w:iCs/>
        </w:rPr>
        <w:t>See</w:t>
      </w:r>
      <w:r>
        <w:t xml:space="preserve"> Second Complaint </w:t>
      </w:r>
      <w:r>
        <w:t>Exh</w:t>
      </w:r>
      <w:r>
        <w:t xml:space="preserve">. B (Peters </w:t>
      </w:r>
      <w:r>
        <w:t>Aff</w:t>
      </w:r>
      <w:r>
        <w:t>.) at 5, para. 11.</w:t>
      </w:r>
    </w:p>
  </w:footnote>
  <w:footnote w:id="62">
    <w:p w:rsidR="00AB3096" w:rsidP="00AB3096" w14:paraId="3B7444DD" w14:textId="0B343901">
      <w:pPr>
        <w:pStyle w:val="FootnoteText"/>
      </w:pPr>
      <w:r>
        <w:rPr>
          <w:rStyle w:val="FootnoteReference"/>
        </w:rPr>
        <w:footnoteRef/>
      </w:r>
      <w:r>
        <w:t xml:space="preserve"> </w:t>
      </w:r>
      <w:r w:rsidRPr="006E54EE">
        <w:rPr>
          <w:i/>
          <w:iCs/>
        </w:rPr>
        <w:t>See</w:t>
      </w:r>
      <w:r>
        <w:t xml:space="preserve"> Second Complaint </w:t>
      </w:r>
      <w:r>
        <w:t>Exh</w:t>
      </w:r>
      <w:r>
        <w:t>. 1 (JUA)</w:t>
      </w:r>
      <w:r w:rsidR="00B235A6">
        <w:t xml:space="preserve"> at</w:t>
      </w:r>
      <w:r>
        <w:t xml:space="preserve"> Art. IX. </w:t>
      </w:r>
    </w:p>
  </w:footnote>
  <w:footnote w:id="63">
    <w:p w:rsidR="00AB3096" w:rsidP="00AB3096" w14:paraId="76829917" w14:textId="574E6A6C">
      <w:pPr>
        <w:pStyle w:val="FootnoteText"/>
      </w:pPr>
      <w:r>
        <w:rPr>
          <w:rStyle w:val="FootnoteReference"/>
        </w:rPr>
        <w:footnoteRef/>
      </w:r>
      <w:r>
        <w:t xml:space="preserve"> </w:t>
      </w:r>
      <w:r w:rsidRPr="00CC40EE">
        <w:rPr>
          <w:i/>
          <w:iCs/>
        </w:rPr>
        <w:t>See</w:t>
      </w:r>
      <w:r>
        <w:t xml:space="preserve"> Second Complaint at 32-33, paras. 56-57, 59.</w:t>
      </w:r>
    </w:p>
  </w:footnote>
  <w:footnote w:id="64">
    <w:p w:rsidR="00AB3096" w:rsidP="00AB3096" w14:paraId="74AE053F" w14:textId="77777777">
      <w:pPr>
        <w:pStyle w:val="FootnoteText"/>
      </w:pPr>
      <w:r>
        <w:rPr>
          <w:rStyle w:val="FootnoteReference"/>
        </w:rPr>
        <w:footnoteRef/>
      </w:r>
      <w:r>
        <w:t xml:space="preserve"> Second Complaint </w:t>
      </w:r>
      <w:r>
        <w:t>Exh</w:t>
      </w:r>
      <w:r>
        <w:t xml:space="preserve">. B (Peters </w:t>
      </w:r>
      <w:r>
        <w:t>Aff</w:t>
      </w:r>
      <w:r>
        <w:t xml:space="preserve">.) at 3-4, paras. 6-7.  While we agree with AT&amp;T that the Abandonment Clause does not apply to replaced poles, we do not agree with AT&amp;T’s assertion, </w:t>
      </w:r>
      <w:r w:rsidRPr="00D56266">
        <w:rPr>
          <w:i/>
          <w:iCs/>
        </w:rPr>
        <w:t>see</w:t>
      </w:r>
      <w:r>
        <w:t xml:space="preserve"> Second Complaint at 26, para. 42, that only one pole at a time may be abandoned.  </w:t>
      </w:r>
      <w:r w:rsidRPr="00D56266">
        <w:rPr>
          <w:i/>
          <w:iCs/>
        </w:rPr>
        <w:t>See</w:t>
      </w:r>
      <w:r>
        <w:t xml:space="preserve"> Second Complaint </w:t>
      </w:r>
      <w:r>
        <w:t>Exh</w:t>
      </w:r>
      <w:r>
        <w:t>. 1 (JUA) at ATT00054 (</w:t>
      </w:r>
      <w:r>
        <w:t>Exh</w:t>
      </w:r>
      <w:r>
        <w:t xml:space="preserve">. C, Notice of Abandonment, providing that “[t]he </w:t>
      </w:r>
      <w:r w:rsidRPr="00D56266">
        <w:rPr>
          <w:i/>
          <w:iCs/>
        </w:rPr>
        <w:t>poles</w:t>
      </w:r>
      <w:r>
        <w:t xml:space="preserve"> listed below are being abandoned . . .”) (emphasis added).  </w:t>
      </w:r>
    </w:p>
  </w:footnote>
  <w:footnote w:id="65">
    <w:p w:rsidR="00AB3096" w:rsidP="00AB3096" w14:paraId="530C2C22" w14:textId="3C167E8C">
      <w:pPr>
        <w:pStyle w:val="FootnoteText"/>
      </w:pPr>
      <w:r>
        <w:rPr>
          <w:rStyle w:val="FootnoteReference"/>
        </w:rPr>
        <w:footnoteRef/>
      </w:r>
      <w:r>
        <w:t xml:space="preserve"> Second Answer at 79-80 (quoting the Abandonment Clause) (emphasis added by FPL).</w:t>
      </w:r>
    </w:p>
  </w:footnote>
  <w:footnote w:id="66">
    <w:p w:rsidR="00AB3096" w:rsidP="00AB3096" w14:paraId="15060413" w14:textId="4601863E">
      <w:pPr>
        <w:pStyle w:val="FootnoteText"/>
      </w:pPr>
      <w:r>
        <w:rPr>
          <w:rStyle w:val="FootnoteReference"/>
        </w:rPr>
        <w:footnoteRef/>
      </w:r>
      <w:r>
        <w:t xml:space="preserve">  </w:t>
      </w:r>
      <w:r w:rsidRPr="41E6FD29">
        <w:rPr>
          <w:i/>
          <w:iCs/>
        </w:rPr>
        <w:t>See</w:t>
      </w:r>
      <w:r>
        <w:t xml:space="preserve"> Second Answer at 79-81, 85-87. </w:t>
      </w:r>
    </w:p>
  </w:footnote>
  <w:footnote w:id="67">
    <w:p w:rsidR="00AB3096" w:rsidP="00AB3096" w14:paraId="22D6F9B6" w14:textId="1AA6338F">
      <w:pPr>
        <w:pStyle w:val="FootnoteText"/>
      </w:pPr>
      <w:r>
        <w:rPr>
          <w:rStyle w:val="FootnoteReference"/>
        </w:rPr>
        <w:footnoteRef/>
      </w:r>
      <w:r>
        <w:t xml:space="preserve"> </w:t>
      </w:r>
      <w:r w:rsidRPr="005D5561">
        <w:rPr>
          <w:i/>
          <w:iCs/>
        </w:rPr>
        <w:t>See</w:t>
      </w:r>
      <w:r>
        <w:t xml:space="preserve"> Restatement (Second) of Contracts </w:t>
      </w:r>
      <w:r w:rsidRPr="1D1DEB0C">
        <w:t>§</w:t>
      </w:r>
      <w:r>
        <w:t xml:space="preserve"> 202 </w:t>
      </w:r>
      <w:r>
        <w:t>cmt</w:t>
      </w:r>
      <w:r>
        <w:t xml:space="preserve">. g (1981) (“The parties to an agreement know best what they meant, and their action under it is often the best evidence of their meaning.”); </w:t>
      </w:r>
      <w:r w:rsidRPr="004F3548">
        <w:rPr>
          <w:i/>
          <w:iCs/>
        </w:rPr>
        <w:t>Hirsch v. Jupiter Golf Club</w:t>
      </w:r>
      <w:r>
        <w:t>, 232 F. Supp.</w:t>
      </w:r>
      <w:r w:rsidR="00BA5020">
        <w:t xml:space="preserve"> </w:t>
      </w:r>
      <w:r>
        <w:t xml:space="preserve">3d 1243, 1252 (S.D. Fla. 2017) (applying Florida law).  While the JUA does not contain a choice-of-law clause, and the parties did not cite case law in support of their positions, Florida law likely applies.    </w:t>
      </w:r>
    </w:p>
  </w:footnote>
  <w:footnote w:id="68">
    <w:p w:rsidR="00AB3096" w:rsidP="00AB3096" w14:paraId="2C36866C" w14:textId="7262CAA2">
      <w:pPr>
        <w:pStyle w:val="FootnoteText"/>
      </w:pPr>
      <w:r>
        <w:rPr>
          <w:rStyle w:val="FootnoteReference"/>
        </w:rPr>
        <w:footnoteRef/>
      </w:r>
      <w:r>
        <w:t xml:space="preserve"> </w:t>
      </w:r>
      <w:r w:rsidRPr="000F5E0F">
        <w:rPr>
          <w:i/>
          <w:iCs/>
        </w:rPr>
        <w:t>See</w:t>
      </w:r>
      <w:r>
        <w:t xml:space="preserve"> Second Complaint at 26, para. 42, </w:t>
      </w:r>
      <w:r>
        <w:t>Exh</w:t>
      </w:r>
      <w:r>
        <w:t xml:space="preserve">. B (Peters </w:t>
      </w:r>
      <w:r>
        <w:t>Aff</w:t>
      </w:r>
      <w:r>
        <w:t xml:space="preserve">.) at 14, para. 29 (“no other electric utility has attempted to . . . abandon thousands of </w:t>
      </w:r>
      <w:r w:rsidRPr="003A0DD6">
        <w:rPr>
          <w:i/>
          <w:iCs/>
        </w:rPr>
        <w:t>replaced</w:t>
      </w:r>
      <w:r>
        <w:t xml:space="preserve"> poles that must be removed and discarded”) (emphasis in original); Second Answer at 22, para. 42, </w:t>
      </w:r>
      <w:r>
        <w:t>Exh</w:t>
      </w:r>
      <w:r>
        <w:t>. B (Allain Dec</w:t>
      </w:r>
      <w:r w:rsidR="00E62A81">
        <w:t>l.</w:t>
      </w:r>
      <w:r>
        <w:t>) at 4, para. 17 (“</w:t>
      </w:r>
      <w:r w:rsidR="00044C62">
        <w:t xml:space="preserve">For the past twenty years, </w:t>
      </w:r>
      <w:r>
        <w:t>AT&amp;T has been abandoning its poles to FPL after converting its facilities, e.g., undergrounding or relocating</w:t>
      </w:r>
      <w:r w:rsidR="00044C62">
        <w:t>.</w:t>
      </w:r>
      <w:r>
        <w:t xml:space="preserve">”).   </w:t>
      </w:r>
    </w:p>
  </w:footnote>
  <w:footnote w:id="69">
    <w:p w:rsidR="00AB3096" w:rsidP="00AB3096" w14:paraId="42CFA5C4" w14:textId="7D40B59C">
      <w:pPr>
        <w:pStyle w:val="FootnoteText"/>
      </w:pPr>
      <w:r>
        <w:rPr>
          <w:rStyle w:val="FootnoteReference"/>
        </w:rPr>
        <w:footnoteRef/>
      </w:r>
      <w:r>
        <w:t xml:space="preserve"> </w:t>
      </w:r>
      <w:r w:rsidRPr="00A93485">
        <w:rPr>
          <w:i/>
          <w:iCs/>
        </w:rPr>
        <w:t>See</w:t>
      </w:r>
      <w:r>
        <w:t xml:space="preserve"> Restatement (Second) of Contracts </w:t>
      </w:r>
      <w:r w:rsidRPr="1D1DEB0C">
        <w:t>§</w:t>
      </w:r>
      <w:r>
        <w:t xml:space="preserve"> 203 </w:t>
      </w:r>
      <w:r>
        <w:t>cmt</w:t>
      </w:r>
      <w:r>
        <w:t>. c (“it is assumed that each term of an agreement has a reasonable rather than an unreasonable meaning”),</w:t>
      </w:r>
      <w:r w:rsidRPr="00E37ECE">
        <w:rPr>
          <w:i/>
          <w:iCs/>
        </w:rPr>
        <w:t xml:space="preserve"> </w:t>
      </w:r>
      <w:r w:rsidRPr="00D14F8E">
        <w:rPr>
          <w:i/>
          <w:iCs/>
        </w:rPr>
        <w:t>id</w:t>
      </w:r>
      <w:r>
        <w:t xml:space="preserve">. at </w:t>
      </w:r>
      <w:r w:rsidRPr="1D1DEB0C">
        <w:t>§</w:t>
      </w:r>
      <w:r>
        <w:t xml:space="preserve"> 202 </w:t>
      </w:r>
      <w:r>
        <w:t>cmt</w:t>
      </w:r>
      <w:r>
        <w:t>. b (in interpreting an agreement, “the court seeks to put itself in the position [the parties] occupied at the time the contract was made.  When the parties have adopted a</w:t>
      </w:r>
      <w:r w:rsidR="00BA5020">
        <w:t>s</w:t>
      </w:r>
      <w:r>
        <w:t xml:space="preserve"> writing, . . . interpretation is directed to the meaning of that writing in the light of the circumstances . . . .”); </w:t>
      </w:r>
      <w:r w:rsidRPr="00DE32C1">
        <w:rPr>
          <w:i/>
          <w:iCs/>
        </w:rPr>
        <w:t xml:space="preserve">Fla. State Turnpike </w:t>
      </w:r>
      <w:r w:rsidRPr="00DE32C1">
        <w:rPr>
          <w:i/>
          <w:iCs/>
        </w:rPr>
        <w:t>Assoc</w:t>
      </w:r>
      <w:r>
        <w:rPr>
          <w:i/>
          <w:iCs/>
        </w:rPr>
        <w:t>’n</w:t>
      </w:r>
      <w:r w:rsidRPr="00DE32C1">
        <w:rPr>
          <w:i/>
          <w:iCs/>
        </w:rPr>
        <w:t xml:space="preserve"> v. Industrial Construction Co.</w:t>
      </w:r>
      <w:r>
        <w:t>, 133 So. 2d 115, 116</w:t>
      </w:r>
      <w:r w:rsidR="00136620">
        <w:t>-117</w:t>
      </w:r>
      <w:r>
        <w:t xml:space="preserve"> (Fla. </w:t>
      </w:r>
      <w:r w:rsidR="00136620">
        <w:t>2d DCA</w:t>
      </w:r>
      <w:r>
        <w:t xml:space="preserve"> 1961).  </w:t>
      </w:r>
    </w:p>
  </w:footnote>
  <w:footnote w:id="70">
    <w:p w:rsidR="00AB3096" w:rsidP="00AB3096" w14:paraId="33172373" w14:textId="2FB199C3">
      <w:pPr>
        <w:pStyle w:val="FootnoteText"/>
      </w:pPr>
      <w:r>
        <w:rPr>
          <w:rStyle w:val="FootnoteReference"/>
        </w:rPr>
        <w:footnoteRef/>
      </w:r>
      <w:r>
        <w:t xml:space="preserve"> </w:t>
      </w:r>
      <w:r w:rsidRPr="00647A55">
        <w:rPr>
          <w:i/>
          <w:iCs/>
        </w:rPr>
        <w:t>See</w:t>
      </w:r>
      <w:r>
        <w:t xml:space="preserve"> Second Complaint </w:t>
      </w:r>
      <w:r>
        <w:t>Exh</w:t>
      </w:r>
      <w:r>
        <w:t xml:space="preserve">. B (Peters </w:t>
      </w:r>
      <w:r>
        <w:t>Aff</w:t>
      </w:r>
      <w:r>
        <w:t>.) at 4, para. 8, 8, para. 16; Second Answer at 71-74 (describing Florida’s storm hardening program, under which FPL is replacing wood with concrete poles).</w:t>
      </w:r>
    </w:p>
  </w:footnote>
  <w:footnote w:id="71">
    <w:p w:rsidR="00AB3096" w:rsidP="00AB3096" w14:paraId="19B7C50D" w14:textId="77777777">
      <w:pPr>
        <w:pStyle w:val="FootnoteText"/>
      </w:pPr>
      <w:r>
        <w:rPr>
          <w:rStyle w:val="FootnoteReference"/>
        </w:rPr>
        <w:footnoteRef/>
      </w:r>
      <w:r>
        <w:t xml:space="preserve"> </w:t>
      </w:r>
      <w:r w:rsidRPr="00814223">
        <w:rPr>
          <w:i/>
          <w:iCs/>
        </w:rPr>
        <w:t>See</w:t>
      </w:r>
      <w:r>
        <w:t xml:space="preserve"> Second Complaint </w:t>
      </w:r>
      <w:r>
        <w:t>Exh</w:t>
      </w:r>
      <w:r>
        <w:t xml:space="preserve">. B (Peters </w:t>
      </w:r>
      <w:r>
        <w:t>Aff</w:t>
      </w:r>
      <w:r>
        <w:t>.) at 4, para. 8.</w:t>
      </w:r>
    </w:p>
  </w:footnote>
  <w:footnote w:id="72">
    <w:p w:rsidR="00AB3096" w:rsidP="00AB3096" w14:paraId="3A0F4822" w14:textId="77777777">
      <w:pPr>
        <w:pStyle w:val="FootnoteText"/>
      </w:pPr>
      <w:r>
        <w:rPr>
          <w:rStyle w:val="FootnoteReference"/>
        </w:rPr>
        <w:footnoteRef/>
      </w:r>
      <w:r>
        <w:t xml:space="preserve"> </w:t>
      </w:r>
      <w:r w:rsidRPr="003472B9">
        <w:rPr>
          <w:i/>
          <w:iCs/>
        </w:rPr>
        <w:t>See</w:t>
      </w:r>
      <w:r>
        <w:t xml:space="preserve"> Second Complaint </w:t>
      </w:r>
      <w:r>
        <w:t>Exh</w:t>
      </w:r>
      <w:r>
        <w:t xml:space="preserve">. B (Peters </w:t>
      </w:r>
      <w:r>
        <w:t>Aff</w:t>
      </w:r>
      <w:r>
        <w:t>.) at</w:t>
      </w:r>
      <w:r w:rsidRPr="00A26176">
        <w:rPr>
          <w:rStyle w:val="xapple-converted-space"/>
          <w:color w:val="000000"/>
          <w:szCs w:val="22"/>
          <w:bdr w:val="none" w:sz="0" w:space="0" w:color="auto" w:frame="1"/>
        </w:rPr>
        <w:t xml:space="preserve"> </w:t>
      </w:r>
      <w:r>
        <w:rPr>
          <w:rStyle w:val="xapple-converted-space"/>
          <w:color w:val="000000"/>
          <w:szCs w:val="22"/>
          <w:bdr w:val="none" w:sz="0" w:space="0" w:color="auto" w:frame="1"/>
        </w:rPr>
        <w:t xml:space="preserve">4-5, paras. 9-10.  </w:t>
      </w:r>
      <w:r w:rsidRPr="00A26176">
        <w:rPr>
          <w:rStyle w:val="xapple-converted-space"/>
          <w:color w:val="000000"/>
          <w:szCs w:val="22"/>
          <w:bdr w:val="none" w:sz="0" w:space="0" w:color="auto" w:frame="1"/>
        </w:rPr>
        <w:t xml:space="preserve">The </w:t>
      </w:r>
      <w:r>
        <w:rPr>
          <w:rStyle w:val="xapple-converted-space"/>
          <w:color w:val="000000"/>
          <w:szCs w:val="22"/>
          <w:bdr w:val="none" w:sz="0" w:space="0" w:color="auto" w:frame="1"/>
        </w:rPr>
        <w:t>process of transferring attachments to replaced poles is so complex that the Commission</w:t>
      </w:r>
      <w:r w:rsidRPr="00A26176">
        <w:rPr>
          <w:rStyle w:val="xapple-converted-space"/>
          <w:color w:val="000000"/>
          <w:szCs w:val="22"/>
          <w:bdr w:val="none" w:sz="0" w:space="0" w:color="auto" w:frame="1"/>
        </w:rPr>
        <w:t>, in fashioning more streamlined rules for the make-ready process, excluded pole replacements both from its self-help provisions and from one-touch make ready. </w:t>
      </w:r>
      <w:r w:rsidRPr="00A26176">
        <w:rPr>
          <w:rStyle w:val="apple-converted-space"/>
          <w:color w:val="000000"/>
          <w:szCs w:val="22"/>
          <w:bdr w:val="none" w:sz="0" w:space="0" w:color="auto" w:frame="1"/>
        </w:rPr>
        <w:t> </w:t>
      </w:r>
      <w:r w:rsidRPr="00A26176">
        <w:rPr>
          <w:rStyle w:val="xapple-converted-space"/>
          <w:color w:val="000000"/>
          <w:szCs w:val="22"/>
          <w:bdr w:val="none" w:sz="0" w:space="0" w:color="auto" w:frame="1"/>
        </w:rPr>
        <w:t>“</w:t>
      </w:r>
      <w:r>
        <w:rPr>
          <w:rStyle w:val="xapple-converted-space"/>
          <w:color w:val="000000"/>
          <w:szCs w:val="22"/>
          <w:bdr w:val="none" w:sz="0" w:space="0" w:color="auto" w:frame="1"/>
        </w:rPr>
        <w:t>[P]</w:t>
      </w:r>
      <w:r w:rsidRPr="00A26176">
        <w:rPr>
          <w:rStyle w:val="xapple-converted-space"/>
          <w:color w:val="000000"/>
          <w:szCs w:val="22"/>
          <w:bdr w:val="none" w:sz="0" w:space="0" w:color="auto" w:frame="1"/>
        </w:rPr>
        <w:t>ole replacements can be complicated to execute and are more likely to cause service outages or facilities damage.</w:t>
      </w:r>
      <w:r>
        <w:rPr>
          <w:rStyle w:val="xapple-converted-space"/>
          <w:color w:val="000000"/>
          <w:szCs w:val="22"/>
          <w:bdr w:val="none" w:sz="0" w:space="0" w:color="auto" w:frame="1"/>
        </w:rPr>
        <w:t xml:space="preserve">  </w:t>
      </w:r>
      <w:r w:rsidRPr="00A26176">
        <w:rPr>
          <w:rStyle w:val="xapple-converted-space"/>
          <w:color w:val="000000"/>
          <w:szCs w:val="22"/>
          <w:bdr w:val="none" w:sz="0" w:space="0" w:color="auto" w:frame="1"/>
        </w:rPr>
        <w:t>Given the particularly disruptive nature of this work, we make clear that pole replacements are not eligible for self-help.”</w:t>
      </w:r>
      <w:r>
        <w:rPr>
          <w:rStyle w:val="xapple-converted-space"/>
          <w:color w:val="000000"/>
          <w:szCs w:val="22"/>
          <w:bdr w:val="none" w:sz="0" w:space="0" w:color="auto" w:frame="1"/>
        </w:rPr>
        <w:t xml:space="preserve">  </w:t>
      </w:r>
      <w:r w:rsidRPr="00C25AED">
        <w:rPr>
          <w:rStyle w:val="xapple-converted-space"/>
          <w:i/>
          <w:iCs/>
          <w:color w:val="000000"/>
          <w:szCs w:val="22"/>
          <w:bdr w:val="none" w:sz="0" w:space="0" w:color="auto" w:frame="1"/>
        </w:rPr>
        <w:t>2018 Pole Attachment Order</w:t>
      </w:r>
      <w:r>
        <w:rPr>
          <w:rStyle w:val="xapple-converted-space"/>
          <w:color w:val="000000"/>
          <w:szCs w:val="22"/>
          <w:bdr w:val="none" w:sz="0" w:space="0" w:color="auto" w:frame="1"/>
        </w:rPr>
        <w:t xml:space="preserve">, 33 FCC </w:t>
      </w:r>
      <w:r>
        <w:rPr>
          <w:rStyle w:val="xapple-converted-space"/>
          <w:color w:val="000000"/>
          <w:szCs w:val="22"/>
          <w:bdr w:val="none" w:sz="0" w:space="0" w:color="auto" w:frame="1"/>
        </w:rPr>
        <w:t>Rcd</w:t>
      </w:r>
      <w:r>
        <w:rPr>
          <w:rStyle w:val="xapple-converted-space"/>
          <w:color w:val="000000"/>
          <w:szCs w:val="22"/>
          <w:bdr w:val="none" w:sz="0" w:space="0" w:color="auto" w:frame="1"/>
        </w:rPr>
        <w:t xml:space="preserve"> 7705 at 7754, para. 101.</w:t>
      </w:r>
    </w:p>
  </w:footnote>
  <w:footnote w:id="73">
    <w:p w:rsidR="00044C62" w:rsidP="00044C62" w14:paraId="41FCDE98" w14:textId="28D6EBED">
      <w:pPr>
        <w:pStyle w:val="FootnoteText"/>
      </w:pPr>
      <w:r>
        <w:rPr>
          <w:rStyle w:val="FootnoteReference"/>
        </w:rPr>
        <w:footnoteRef/>
      </w:r>
      <w:r>
        <w:t xml:space="preserve"> </w:t>
      </w:r>
      <w:r w:rsidRPr="00D14F8E">
        <w:rPr>
          <w:i/>
          <w:iCs/>
        </w:rPr>
        <w:t>See</w:t>
      </w:r>
      <w:r w:rsidRPr="00814223">
        <w:t xml:space="preserve"> </w:t>
      </w:r>
      <w:r>
        <w:t xml:space="preserve">Restatement (Second) of Contracts </w:t>
      </w:r>
      <w:r w:rsidRPr="1D1DEB0C">
        <w:t>§</w:t>
      </w:r>
      <w:r>
        <w:t xml:space="preserve"> 202 (“A writing is interpreted as a whole . . .”); </w:t>
      </w:r>
      <w:r w:rsidRPr="006E0F87">
        <w:rPr>
          <w:i/>
          <w:iCs/>
        </w:rPr>
        <w:t xml:space="preserve">Hillsborough </w:t>
      </w:r>
      <w:r w:rsidRPr="006E0F87">
        <w:rPr>
          <w:i/>
          <w:iCs/>
        </w:rPr>
        <w:t>Cnty</w:t>
      </w:r>
      <w:r w:rsidRPr="006E0F87">
        <w:rPr>
          <w:i/>
          <w:iCs/>
        </w:rPr>
        <w:t xml:space="preserve"> Aviation Authority v. Cone Bros. Contracting</w:t>
      </w:r>
      <w:r>
        <w:t>, 285 So.</w:t>
      </w:r>
      <w:r w:rsidR="00BA5020">
        <w:t xml:space="preserve"> </w:t>
      </w:r>
      <w:r>
        <w:t xml:space="preserve">2d 619 (Fla. Dist. Ct. App. 1972). </w:t>
      </w:r>
    </w:p>
  </w:footnote>
  <w:footnote w:id="74">
    <w:p w:rsidR="00AB3096" w:rsidP="00AB3096" w14:paraId="2FBE0635" w14:textId="4B649E16">
      <w:pPr>
        <w:pStyle w:val="FootnoteText"/>
      </w:pPr>
      <w:r>
        <w:rPr>
          <w:rStyle w:val="FootnoteReference"/>
        </w:rPr>
        <w:footnoteRef/>
      </w:r>
      <w:r>
        <w:t xml:space="preserve"> Second Complaint </w:t>
      </w:r>
      <w:r>
        <w:t>Exh</w:t>
      </w:r>
      <w:r>
        <w:t xml:space="preserve">. 1 (JUA) at ATT00034, Article III, </w:t>
      </w:r>
      <w:r w:rsidRPr="1D1DEB0C">
        <w:t>§</w:t>
      </w:r>
      <w:r>
        <w:t xml:space="preserve"> 3.3 (emphasis added).  FPL notes that Article II begins, “Except as herein otherwise expressly provided . . . .”  Second Answer at 81.  However, because there is no conflict between Article III and the Abandonment Clause, this language is not relevant to our analysis. </w:t>
      </w:r>
    </w:p>
  </w:footnote>
  <w:footnote w:id="75">
    <w:p w:rsidR="00AB3096" w:rsidRPr="00C45C73" w:rsidP="00AB3096" w14:paraId="2800F580" w14:textId="77777777">
      <w:pPr>
        <w:pStyle w:val="FootnoteText"/>
      </w:pPr>
      <w:r>
        <w:rPr>
          <w:rStyle w:val="FootnoteReference"/>
        </w:rPr>
        <w:footnoteRef/>
      </w:r>
      <w:r>
        <w:t xml:space="preserve"> </w:t>
      </w:r>
      <w:r w:rsidRPr="00417E1C">
        <w:rPr>
          <w:i/>
          <w:iCs/>
        </w:rPr>
        <w:t>See</w:t>
      </w:r>
      <w:r>
        <w:t xml:space="preserve"> Second Complaint </w:t>
      </w:r>
      <w:r>
        <w:t>Exh</w:t>
      </w:r>
      <w:r>
        <w:t xml:space="preserve">. 1 (JUA) at ATT00044-45, Article XII, </w:t>
      </w:r>
      <w:r w:rsidRPr="1D1DEB0C">
        <w:t>§</w:t>
      </w:r>
      <w:r>
        <w:t xml:space="preserve"> 12.1, 12.2.    </w:t>
      </w:r>
    </w:p>
  </w:footnote>
  <w:footnote w:id="76">
    <w:p w:rsidR="001C5BE9" w:rsidP="001C5BE9" w14:paraId="3BE5B406" w14:textId="77777777">
      <w:pPr>
        <w:pStyle w:val="FootnoteText"/>
      </w:pPr>
      <w:r>
        <w:rPr>
          <w:rStyle w:val="FootnoteReference"/>
        </w:rPr>
        <w:footnoteRef/>
      </w:r>
      <w:r>
        <w:t xml:space="preserve"> </w:t>
      </w:r>
      <w:r w:rsidRPr="41E6FD29">
        <w:t>FPL does not convince us</w:t>
      </w:r>
      <w:r w:rsidRPr="00CE2F6C">
        <w:rPr>
          <w:szCs w:val="22"/>
        </w:rPr>
        <w:t xml:space="preserve"> </w:t>
      </w:r>
      <w:r w:rsidRPr="41E6FD29">
        <w:t>that</w:t>
      </w:r>
      <w:r>
        <w:rPr>
          <w:szCs w:val="22"/>
        </w:rPr>
        <w:t xml:space="preserve"> </w:t>
      </w:r>
      <w:r w:rsidRPr="41E6FD29">
        <w:t>Count II</w:t>
      </w:r>
      <w:r>
        <w:t xml:space="preserve"> of the Second Complaint</w:t>
      </w:r>
      <w:r w:rsidRPr="41E6FD29">
        <w:t xml:space="preserve"> is claim splitting</w:t>
      </w:r>
      <w:r>
        <w:t xml:space="preserve">.  </w:t>
      </w:r>
      <w:r w:rsidRPr="00442D2D">
        <w:rPr>
          <w:i/>
          <w:iCs/>
        </w:rPr>
        <w:t>See</w:t>
      </w:r>
      <w:r>
        <w:t xml:space="preserve"> Second Answer at 13-20.  </w:t>
      </w:r>
      <w:r w:rsidRPr="41E6FD29">
        <w:t xml:space="preserve">AT&amp;T could not have </w:t>
      </w:r>
      <w:r>
        <w:t>included</w:t>
      </w:r>
      <w:r w:rsidRPr="41E6FD29">
        <w:t xml:space="preserve"> Count II </w:t>
      </w:r>
      <w:r>
        <w:t>in</w:t>
      </w:r>
      <w:r w:rsidRPr="41E6FD29">
        <w:t xml:space="preserve"> </w:t>
      </w:r>
      <w:r>
        <w:t xml:space="preserve">the First </w:t>
      </w:r>
      <w:r w:rsidRPr="41E6FD29">
        <w:t xml:space="preserve">Complaint </w:t>
      </w:r>
      <w:r>
        <w:t>because, u</w:t>
      </w:r>
      <w:r w:rsidRPr="41E6FD29">
        <w:t>nder the JUA’s dispute resolution provisions</w:t>
      </w:r>
      <w:r w:rsidRPr="00CE2F6C">
        <w:rPr>
          <w:szCs w:val="22"/>
        </w:rPr>
        <w:t xml:space="preserve">, </w:t>
      </w:r>
      <w:r w:rsidRPr="41E6FD29">
        <w:t xml:space="preserve">the parties had to wait </w:t>
      </w:r>
      <w:r>
        <w:t>sixty</w:t>
      </w:r>
      <w:r w:rsidRPr="41E6FD29">
        <w:t xml:space="preserve"> days following the first day of mediation to initiate litigation</w:t>
      </w:r>
      <w:r>
        <w:t>, which was after AT&amp;T</w:t>
      </w:r>
      <w:r w:rsidRPr="41E6FD29">
        <w:t xml:space="preserve"> filed </w:t>
      </w:r>
      <w:r>
        <w:t xml:space="preserve">the First </w:t>
      </w:r>
      <w:r w:rsidRPr="41E6FD29">
        <w:t>Complaint</w:t>
      </w:r>
      <w:r w:rsidRPr="00CE2F6C">
        <w:rPr>
          <w:szCs w:val="22"/>
        </w:rPr>
        <w:t>.</w:t>
      </w:r>
      <w:r>
        <w:rPr>
          <w:szCs w:val="22"/>
        </w:rPr>
        <w:t xml:space="preserve">  </w:t>
      </w:r>
      <w:r w:rsidRPr="41E6FD29">
        <w:rPr>
          <w:i/>
          <w:iCs/>
        </w:rPr>
        <w:t xml:space="preserve">See </w:t>
      </w:r>
      <w:r>
        <w:t xml:space="preserve">Second Complaint </w:t>
      </w:r>
      <w:r>
        <w:t>Exh</w:t>
      </w:r>
      <w:r>
        <w:t xml:space="preserve">. A (Miller </w:t>
      </w:r>
      <w:r>
        <w:t>Aff</w:t>
      </w:r>
      <w:r>
        <w:t xml:space="preserve">.) at 10, para. 24; </w:t>
      </w:r>
      <w:r w:rsidRPr="41E6FD29">
        <w:rPr>
          <w:i/>
          <w:iCs/>
        </w:rPr>
        <w:t xml:space="preserve">Conservation Law </w:t>
      </w:r>
      <w:r w:rsidRPr="41E6FD29">
        <w:rPr>
          <w:i/>
          <w:iCs/>
        </w:rPr>
        <w:t>Found</w:t>
      </w:r>
      <w:r>
        <w:rPr>
          <w:i/>
          <w:iCs/>
        </w:rPr>
        <w:t>’n</w:t>
      </w:r>
      <w:r w:rsidRPr="41E6FD29">
        <w:rPr>
          <w:i/>
          <w:iCs/>
        </w:rPr>
        <w:t xml:space="preserve"> v. Longwood Venues &amp; Destinations</w:t>
      </w:r>
      <w:r>
        <w:t xml:space="preserve">, 415 F. Supp. 3d 240, 242-243 (D. Mass. 2019).  </w:t>
      </w:r>
    </w:p>
  </w:footnote>
  <w:footnote w:id="77">
    <w:p w:rsidR="001C5BE9" w:rsidP="001C5BE9" w14:paraId="7638315A" w14:textId="77777777">
      <w:pPr>
        <w:pStyle w:val="FootnoteText"/>
      </w:pPr>
      <w:r>
        <w:rPr>
          <w:rStyle w:val="FootnoteReference"/>
        </w:rPr>
        <w:footnoteRef/>
      </w:r>
      <w:r>
        <w:t xml:space="preserve"> </w:t>
      </w:r>
      <w:r w:rsidRPr="00CC1430">
        <w:rPr>
          <w:i/>
          <w:iCs/>
        </w:rPr>
        <w:t>See</w:t>
      </w:r>
      <w:r>
        <w:t xml:space="preserve"> Second Complaint at 33, para 59 (requesting that the Abandonment Clause be revised to add language stating, “For the avoidance of doubt, [pole] Owner shall only abandon a jointly used pole when Owner has elected to remove its attachments from the jointly used pole and will not replace or relocate such attachment on a replaced or relocated pole.”).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38BFE48" w14:textId="7AD69708">
    <w:pPr>
      <w:pStyle w:val="Header"/>
      <w:rPr>
        <w:b w:val="0"/>
      </w:rPr>
    </w:pPr>
    <w:r>
      <w:tab/>
      <w:t>Federal Communications Commission</w:t>
    </w:r>
    <w:r>
      <w:tab/>
    </w:r>
    <w:r w:rsidR="0077565D">
      <w:t>DA 21-1002</w:t>
    </w:r>
  </w:p>
  <w:p w:rsidR="00D25FB5" w14:paraId="0CA6FCCE" w14:textId="5F0B2AB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7D3D2CD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475962" w14:textId="1ED075F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7565D">
      <w:t>DA 21-1002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96"/>
    <w:rsid w:val="00036039"/>
    <w:rsid w:val="00037F90"/>
    <w:rsid w:val="00044C62"/>
    <w:rsid w:val="00047034"/>
    <w:rsid w:val="00054588"/>
    <w:rsid w:val="0006285C"/>
    <w:rsid w:val="00072FBF"/>
    <w:rsid w:val="0008042D"/>
    <w:rsid w:val="000846EB"/>
    <w:rsid w:val="000875BF"/>
    <w:rsid w:val="00093F11"/>
    <w:rsid w:val="00094BA8"/>
    <w:rsid w:val="0009694F"/>
    <w:rsid w:val="00096D8C"/>
    <w:rsid w:val="00097822"/>
    <w:rsid w:val="000C0B65"/>
    <w:rsid w:val="000E05FE"/>
    <w:rsid w:val="000E3D42"/>
    <w:rsid w:val="000E7D00"/>
    <w:rsid w:val="000F5E0F"/>
    <w:rsid w:val="000F7490"/>
    <w:rsid w:val="000F7D12"/>
    <w:rsid w:val="00122BD5"/>
    <w:rsid w:val="00122CF5"/>
    <w:rsid w:val="0012665A"/>
    <w:rsid w:val="00133F79"/>
    <w:rsid w:val="00136620"/>
    <w:rsid w:val="00162043"/>
    <w:rsid w:val="001945D2"/>
    <w:rsid w:val="00194A66"/>
    <w:rsid w:val="001A41E8"/>
    <w:rsid w:val="001A7928"/>
    <w:rsid w:val="001B613A"/>
    <w:rsid w:val="001C5BE9"/>
    <w:rsid w:val="001D2D89"/>
    <w:rsid w:val="001D4AD0"/>
    <w:rsid w:val="001D6BCF"/>
    <w:rsid w:val="001E01CA"/>
    <w:rsid w:val="001E1FD1"/>
    <w:rsid w:val="001F1B13"/>
    <w:rsid w:val="00201349"/>
    <w:rsid w:val="00206E3F"/>
    <w:rsid w:val="00216160"/>
    <w:rsid w:val="00222DBF"/>
    <w:rsid w:val="002235F4"/>
    <w:rsid w:val="00225793"/>
    <w:rsid w:val="00263166"/>
    <w:rsid w:val="00275CF5"/>
    <w:rsid w:val="0028301F"/>
    <w:rsid w:val="00285017"/>
    <w:rsid w:val="00292702"/>
    <w:rsid w:val="002A2D2E"/>
    <w:rsid w:val="002B0B34"/>
    <w:rsid w:val="002C00E8"/>
    <w:rsid w:val="002C154A"/>
    <w:rsid w:val="002C7AD7"/>
    <w:rsid w:val="002E7233"/>
    <w:rsid w:val="002F03D9"/>
    <w:rsid w:val="002F3253"/>
    <w:rsid w:val="002F749E"/>
    <w:rsid w:val="00301888"/>
    <w:rsid w:val="003031DC"/>
    <w:rsid w:val="00316492"/>
    <w:rsid w:val="00343749"/>
    <w:rsid w:val="003472B9"/>
    <w:rsid w:val="003506A1"/>
    <w:rsid w:val="003568D7"/>
    <w:rsid w:val="00361D4F"/>
    <w:rsid w:val="00362A96"/>
    <w:rsid w:val="003660ED"/>
    <w:rsid w:val="00380172"/>
    <w:rsid w:val="00387B1A"/>
    <w:rsid w:val="003A0DD6"/>
    <w:rsid w:val="003A121A"/>
    <w:rsid w:val="003A28E5"/>
    <w:rsid w:val="003A6621"/>
    <w:rsid w:val="003B0550"/>
    <w:rsid w:val="003B2A2E"/>
    <w:rsid w:val="003B694F"/>
    <w:rsid w:val="003F171C"/>
    <w:rsid w:val="003F338E"/>
    <w:rsid w:val="0040397B"/>
    <w:rsid w:val="00412FC5"/>
    <w:rsid w:val="00417E1C"/>
    <w:rsid w:val="00422276"/>
    <w:rsid w:val="004242F1"/>
    <w:rsid w:val="00432FCA"/>
    <w:rsid w:val="00442D2D"/>
    <w:rsid w:val="00442D94"/>
    <w:rsid w:val="00445A00"/>
    <w:rsid w:val="00451B0F"/>
    <w:rsid w:val="0047320A"/>
    <w:rsid w:val="004A6DB4"/>
    <w:rsid w:val="004B6985"/>
    <w:rsid w:val="004C2EE3"/>
    <w:rsid w:val="004C3355"/>
    <w:rsid w:val="004C43B5"/>
    <w:rsid w:val="004C55C9"/>
    <w:rsid w:val="004E0D63"/>
    <w:rsid w:val="004E33FC"/>
    <w:rsid w:val="004E4A22"/>
    <w:rsid w:val="004F0902"/>
    <w:rsid w:val="004F3548"/>
    <w:rsid w:val="00511968"/>
    <w:rsid w:val="00512DD6"/>
    <w:rsid w:val="00512FD3"/>
    <w:rsid w:val="005218D9"/>
    <w:rsid w:val="005273E1"/>
    <w:rsid w:val="00532537"/>
    <w:rsid w:val="00543330"/>
    <w:rsid w:val="00550B97"/>
    <w:rsid w:val="0055301E"/>
    <w:rsid w:val="00553D82"/>
    <w:rsid w:val="0055614C"/>
    <w:rsid w:val="00566D06"/>
    <w:rsid w:val="005823ED"/>
    <w:rsid w:val="00591B66"/>
    <w:rsid w:val="00592C4B"/>
    <w:rsid w:val="00597DA2"/>
    <w:rsid w:val="005A2552"/>
    <w:rsid w:val="005C3FE6"/>
    <w:rsid w:val="005D5561"/>
    <w:rsid w:val="005E14C2"/>
    <w:rsid w:val="005E2526"/>
    <w:rsid w:val="005F5EC0"/>
    <w:rsid w:val="00604B02"/>
    <w:rsid w:val="00607BA5"/>
    <w:rsid w:val="0061180A"/>
    <w:rsid w:val="00626EB6"/>
    <w:rsid w:val="006312D4"/>
    <w:rsid w:val="00634E95"/>
    <w:rsid w:val="00647A55"/>
    <w:rsid w:val="00655D03"/>
    <w:rsid w:val="0066332B"/>
    <w:rsid w:val="006770F3"/>
    <w:rsid w:val="00683388"/>
    <w:rsid w:val="00683C48"/>
    <w:rsid w:val="00683F84"/>
    <w:rsid w:val="006A0C50"/>
    <w:rsid w:val="006A6A81"/>
    <w:rsid w:val="006B4476"/>
    <w:rsid w:val="006C0F17"/>
    <w:rsid w:val="006C2E67"/>
    <w:rsid w:val="006E0F87"/>
    <w:rsid w:val="006E3765"/>
    <w:rsid w:val="006E54EE"/>
    <w:rsid w:val="006F5B49"/>
    <w:rsid w:val="006F7393"/>
    <w:rsid w:val="0070224F"/>
    <w:rsid w:val="007115F7"/>
    <w:rsid w:val="007360E7"/>
    <w:rsid w:val="00742F55"/>
    <w:rsid w:val="007463CD"/>
    <w:rsid w:val="00770BA3"/>
    <w:rsid w:val="0077565D"/>
    <w:rsid w:val="00785689"/>
    <w:rsid w:val="00791514"/>
    <w:rsid w:val="00795A68"/>
    <w:rsid w:val="0079754B"/>
    <w:rsid w:val="007A1E6D"/>
    <w:rsid w:val="007B0EB2"/>
    <w:rsid w:val="007B2B24"/>
    <w:rsid w:val="007E1CAB"/>
    <w:rsid w:val="007E2D34"/>
    <w:rsid w:val="00802897"/>
    <w:rsid w:val="008069F9"/>
    <w:rsid w:val="00810B6F"/>
    <w:rsid w:val="00812F7D"/>
    <w:rsid w:val="00814223"/>
    <w:rsid w:val="008220AF"/>
    <w:rsid w:val="00822CE0"/>
    <w:rsid w:val="00824566"/>
    <w:rsid w:val="0082598D"/>
    <w:rsid w:val="008265FA"/>
    <w:rsid w:val="00836CD1"/>
    <w:rsid w:val="00841AB1"/>
    <w:rsid w:val="00856E7E"/>
    <w:rsid w:val="00860980"/>
    <w:rsid w:val="00875BE1"/>
    <w:rsid w:val="0088783E"/>
    <w:rsid w:val="00887F44"/>
    <w:rsid w:val="00890E7B"/>
    <w:rsid w:val="008B1ED5"/>
    <w:rsid w:val="008B7487"/>
    <w:rsid w:val="008C1D8F"/>
    <w:rsid w:val="008C68F1"/>
    <w:rsid w:val="008E2382"/>
    <w:rsid w:val="008F163C"/>
    <w:rsid w:val="00921803"/>
    <w:rsid w:val="00926503"/>
    <w:rsid w:val="00934EA4"/>
    <w:rsid w:val="00936778"/>
    <w:rsid w:val="00953093"/>
    <w:rsid w:val="0095581A"/>
    <w:rsid w:val="009647CE"/>
    <w:rsid w:val="009726D8"/>
    <w:rsid w:val="009D7308"/>
    <w:rsid w:val="009F76DB"/>
    <w:rsid w:val="009F795A"/>
    <w:rsid w:val="00A17B04"/>
    <w:rsid w:val="00A26176"/>
    <w:rsid w:val="00A32C3B"/>
    <w:rsid w:val="00A351F9"/>
    <w:rsid w:val="00A37F7F"/>
    <w:rsid w:val="00A45F4F"/>
    <w:rsid w:val="00A600A9"/>
    <w:rsid w:val="00A65043"/>
    <w:rsid w:val="00A7030C"/>
    <w:rsid w:val="00A93485"/>
    <w:rsid w:val="00A97801"/>
    <w:rsid w:val="00AA55B7"/>
    <w:rsid w:val="00AA5B9E"/>
    <w:rsid w:val="00AB2407"/>
    <w:rsid w:val="00AB3096"/>
    <w:rsid w:val="00AB53DF"/>
    <w:rsid w:val="00AC211F"/>
    <w:rsid w:val="00AC5A8C"/>
    <w:rsid w:val="00AD0FF5"/>
    <w:rsid w:val="00AE06B0"/>
    <w:rsid w:val="00B07E5C"/>
    <w:rsid w:val="00B20913"/>
    <w:rsid w:val="00B235A6"/>
    <w:rsid w:val="00B36941"/>
    <w:rsid w:val="00B55D6C"/>
    <w:rsid w:val="00B56DCB"/>
    <w:rsid w:val="00B7518F"/>
    <w:rsid w:val="00B7683D"/>
    <w:rsid w:val="00B811F7"/>
    <w:rsid w:val="00B8245B"/>
    <w:rsid w:val="00B97BE0"/>
    <w:rsid w:val="00BA5020"/>
    <w:rsid w:val="00BA5DC6"/>
    <w:rsid w:val="00BA6196"/>
    <w:rsid w:val="00BB07FC"/>
    <w:rsid w:val="00BC6D8C"/>
    <w:rsid w:val="00BD31A4"/>
    <w:rsid w:val="00BD3206"/>
    <w:rsid w:val="00BE1B64"/>
    <w:rsid w:val="00C014B4"/>
    <w:rsid w:val="00C0700D"/>
    <w:rsid w:val="00C233EA"/>
    <w:rsid w:val="00C24772"/>
    <w:rsid w:val="00C25AED"/>
    <w:rsid w:val="00C34006"/>
    <w:rsid w:val="00C36B4C"/>
    <w:rsid w:val="00C426B1"/>
    <w:rsid w:val="00C45C73"/>
    <w:rsid w:val="00C4758D"/>
    <w:rsid w:val="00C64C1A"/>
    <w:rsid w:val="00C6547E"/>
    <w:rsid w:val="00C66160"/>
    <w:rsid w:val="00C721AC"/>
    <w:rsid w:val="00C90D6A"/>
    <w:rsid w:val="00CA247E"/>
    <w:rsid w:val="00CA5BC3"/>
    <w:rsid w:val="00CA6D21"/>
    <w:rsid w:val="00CB192B"/>
    <w:rsid w:val="00CB1AAF"/>
    <w:rsid w:val="00CB6156"/>
    <w:rsid w:val="00CB6C27"/>
    <w:rsid w:val="00CC1430"/>
    <w:rsid w:val="00CC40EE"/>
    <w:rsid w:val="00CC72B6"/>
    <w:rsid w:val="00CD4E94"/>
    <w:rsid w:val="00CE2F6C"/>
    <w:rsid w:val="00CF03AA"/>
    <w:rsid w:val="00D0218D"/>
    <w:rsid w:val="00D14F8E"/>
    <w:rsid w:val="00D25FB5"/>
    <w:rsid w:val="00D44223"/>
    <w:rsid w:val="00D56266"/>
    <w:rsid w:val="00D63DE3"/>
    <w:rsid w:val="00D74315"/>
    <w:rsid w:val="00D91BD0"/>
    <w:rsid w:val="00DA2529"/>
    <w:rsid w:val="00DB130A"/>
    <w:rsid w:val="00DB27EA"/>
    <w:rsid w:val="00DB2EBB"/>
    <w:rsid w:val="00DC10A1"/>
    <w:rsid w:val="00DC264C"/>
    <w:rsid w:val="00DC655F"/>
    <w:rsid w:val="00DD0B59"/>
    <w:rsid w:val="00DD7EBD"/>
    <w:rsid w:val="00DE32C1"/>
    <w:rsid w:val="00DF62B6"/>
    <w:rsid w:val="00DF6D80"/>
    <w:rsid w:val="00E07225"/>
    <w:rsid w:val="00E37ECE"/>
    <w:rsid w:val="00E5409F"/>
    <w:rsid w:val="00E62A81"/>
    <w:rsid w:val="00E81DFC"/>
    <w:rsid w:val="00EB70D2"/>
    <w:rsid w:val="00EC4294"/>
    <w:rsid w:val="00ED4BF1"/>
    <w:rsid w:val="00ED7E66"/>
    <w:rsid w:val="00EE47F5"/>
    <w:rsid w:val="00EE6488"/>
    <w:rsid w:val="00EF24E6"/>
    <w:rsid w:val="00EF78B5"/>
    <w:rsid w:val="00F021FA"/>
    <w:rsid w:val="00F13333"/>
    <w:rsid w:val="00F23E3F"/>
    <w:rsid w:val="00F3020A"/>
    <w:rsid w:val="00F43A46"/>
    <w:rsid w:val="00F62E97"/>
    <w:rsid w:val="00F64209"/>
    <w:rsid w:val="00F65BDA"/>
    <w:rsid w:val="00F73EED"/>
    <w:rsid w:val="00F751C9"/>
    <w:rsid w:val="00F8469B"/>
    <w:rsid w:val="00F919DE"/>
    <w:rsid w:val="00F93BF5"/>
    <w:rsid w:val="00F9562D"/>
    <w:rsid w:val="00FA0A50"/>
    <w:rsid w:val="00FA5699"/>
    <w:rsid w:val="00FB746C"/>
    <w:rsid w:val="1D1DEB0C"/>
    <w:rsid w:val="41E6FD2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775AFF"/>
  <w15:chartTrackingRefBased/>
  <w15:docId w15:val="{BE867753-2317-4F42-B37D-70D1C287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235F4"/>
    <w:pPr>
      <w:widowControl w:val="0"/>
    </w:pPr>
    <w:rPr>
      <w:snapToGrid w:val="0"/>
      <w:kern w:val="28"/>
      <w:sz w:val="22"/>
    </w:rPr>
  </w:style>
  <w:style w:type="paragraph" w:styleId="Heading1">
    <w:name w:val="heading 1"/>
    <w:basedOn w:val="Normal"/>
    <w:next w:val="ParaNum"/>
    <w:qFormat/>
    <w:rsid w:val="002235F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235F4"/>
    <w:pPr>
      <w:keepNext/>
      <w:numPr>
        <w:ilvl w:val="1"/>
        <w:numId w:val="3"/>
      </w:numPr>
      <w:spacing w:after="120"/>
      <w:outlineLvl w:val="1"/>
    </w:pPr>
    <w:rPr>
      <w:b/>
    </w:rPr>
  </w:style>
  <w:style w:type="paragraph" w:styleId="Heading3">
    <w:name w:val="heading 3"/>
    <w:basedOn w:val="Normal"/>
    <w:next w:val="ParaNum"/>
    <w:qFormat/>
    <w:rsid w:val="002235F4"/>
    <w:pPr>
      <w:keepNext/>
      <w:numPr>
        <w:ilvl w:val="2"/>
        <w:numId w:val="3"/>
      </w:numPr>
      <w:tabs>
        <w:tab w:val="left" w:pos="2160"/>
      </w:tabs>
      <w:spacing w:after="120"/>
      <w:outlineLvl w:val="2"/>
    </w:pPr>
    <w:rPr>
      <w:b/>
    </w:rPr>
  </w:style>
  <w:style w:type="paragraph" w:styleId="Heading4">
    <w:name w:val="heading 4"/>
    <w:basedOn w:val="Normal"/>
    <w:next w:val="ParaNum"/>
    <w:qFormat/>
    <w:rsid w:val="002235F4"/>
    <w:pPr>
      <w:keepNext/>
      <w:numPr>
        <w:ilvl w:val="3"/>
        <w:numId w:val="3"/>
      </w:numPr>
      <w:tabs>
        <w:tab w:val="left" w:pos="2880"/>
      </w:tabs>
      <w:spacing w:after="120"/>
      <w:outlineLvl w:val="3"/>
    </w:pPr>
    <w:rPr>
      <w:b/>
    </w:rPr>
  </w:style>
  <w:style w:type="paragraph" w:styleId="Heading5">
    <w:name w:val="heading 5"/>
    <w:basedOn w:val="Normal"/>
    <w:next w:val="ParaNum"/>
    <w:qFormat/>
    <w:rsid w:val="002235F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235F4"/>
    <w:pPr>
      <w:numPr>
        <w:ilvl w:val="5"/>
        <w:numId w:val="3"/>
      </w:numPr>
      <w:tabs>
        <w:tab w:val="left" w:pos="4320"/>
      </w:tabs>
      <w:spacing w:after="120"/>
      <w:outlineLvl w:val="5"/>
    </w:pPr>
    <w:rPr>
      <w:b/>
    </w:rPr>
  </w:style>
  <w:style w:type="paragraph" w:styleId="Heading7">
    <w:name w:val="heading 7"/>
    <w:basedOn w:val="Normal"/>
    <w:next w:val="ParaNum"/>
    <w:qFormat/>
    <w:rsid w:val="002235F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235F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235F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35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35F4"/>
  </w:style>
  <w:style w:type="paragraph" w:customStyle="1" w:styleId="ParaNum">
    <w:name w:val="ParaNum"/>
    <w:basedOn w:val="Normal"/>
    <w:link w:val="ParaNumChar"/>
    <w:rsid w:val="002235F4"/>
    <w:pPr>
      <w:numPr>
        <w:numId w:val="2"/>
      </w:numPr>
      <w:tabs>
        <w:tab w:val="clear" w:pos="1080"/>
        <w:tab w:val="num" w:pos="1440"/>
      </w:tabs>
      <w:spacing w:after="120"/>
    </w:pPr>
  </w:style>
  <w:style w:type="paragraph" w:styleId="EndnoteText">
    <w:name w:val="endnote text"/>
    <w:basedOn w:val="Normal"/>
    <w:semiHidden/>
    <w:rsid w:val="002235F4"/>
    <w:rPr>
      <w:sz w:val="20"/>
    </w:rPr>
  </w:style>
  <w:style w:type="character" w:styleId="EndnoteReference">
    <w:name w:val="endnote reference"/>
    <w:semiHidden/>
    <w:rsid w:val="002235F4"/>
    <w:rPr>
      <w:vertAlign w:val="superscript"/>
    </w:rPr>
  </w:style>
  <w:style w:type="paragraph" w:styleId="FootnoteText">
    <w:name w:val="footnote text"/>
    <w:link w:val="FootnoteTextChar"/>
    <w:rsid w:val="002235F4"/>
    <w:pPr>
      <w:spacing w:after="120"/>
    </w:pPr>
  </w:style>
  <w:style w:type="character" w:styleId="FootnoteReference">
    <w:name w:val="footnote reference"/>
    <w:rsid w:val="002235F4"/>
    <w:rPr>
      <w:rFonts w:ascii="Times New Roman" w:hAnsi="Times New Roman"/>
      <w:dstrike w:val="0"/>
      <w:color w:val="auto"/>
      <w:sz w:val="20"/>
      <w:vertAlign w:val="superscript"/>
    </w:rPr>
  </w:style>
  <w:style w:type="paragraph" w:styleId="TOC1">
    <w:name w:val="toc 1"/>
    <w:basedOn w:val="Normal"/>
    <w:next w:val="Normal"/>
    <w:semiHidden/>
    <w:rsid w:val="002235F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235F4"/>
    <w:pPr>
      <w:tabs>
        <w:tab w:val="left" w:pos="720"/>
        <w:tab w:val="right" w:leader="dot" w:pos="9360"/>
      </w:tabs>
      <w:suppressAutoHyphens/>
      <w:ind w:left="720" w:right="720" w:hanging="360"/>
    </w:pPr>
    <w:rPr>
      <w:noProof/>
    </w:rPr>
  </w:style>
  <w:style w:type="paragraph" w:styleId="TOC3">
    <w:name w:val="toc 3"/>
    <w:basedOn w:val="Normal"/>
    <w:next w:val="Normal"/>
    <w:semiHidden/>
    <w:rsid w:val="002235F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235F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235F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235F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235F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235F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235F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235F4"/>
    <w:pPr>
      <w:tabs>
        <w:tab w:val="right" w:pos="9360"/>
      </w:tabs>
      <w:suppressAutoHyphens/>
    </w:pPr>
  </w:style>
  <w:style w:type="character" w:customStyle="1" w:styleId="EquationCaption">
    <w:name w:val="_Equation Caption"/>
    <w:rsid w:val="002235F4"/>
  </w:style>
  <w:style w:type="paragraph" w:styleId="Header">
    <w:name w:val="header"/>
    <w:basedOn w:val="Normal"/>
    <w:autoRedefine/>
    <w:rsid w:val="002235F4"/>
    <w:pPr>
      <w:tabs>
        <w:tab w:val="center" w:pos="4680"/>
        <w:tab w:val="right" w:pos="9360"/>
      </w:tabs>
    </w:pPr>
    <w:rPr>
      <w:b/>
    </w:rPr>
  </w:style>
  <w:style w:type="paragraph" w:styleId="Footer">
    <w:name w:val="footer"/>
    <w:basedOn w:val="Normal"/>
    <w:link w:val="FooterChar"/>
    <w:uiPriority w:val="99"/>
    <w:rsid w:val="002235F4"/>
    <w:pPr>
      <w:tabs>
        <w:tab w:val="center" w:pos="4320"/>
        <w:tab w:val="right" w:pos="8640"/>
      </w:tabs>
    </w:pPr>
  </w:style>
  <w:style w:type="character" w:styleId="PageNumber">
    <w:name w:val="page number"/>
    <w:basedOn w:val="DefaultParagraphFont"/>
    <w:rsid w:val="002235F4"/>
  </w:style>
  <w:style w:type="paragraph" w:styleId="BlockText">
    <w:name w:val="Block Text"/>
    <w:basedOn w:val="Normal"/>
    <w:rsid w:val="002235F4"/>
    <w:pPr>
      <w:spacing w:after="240"/>
      <w:ind w:left="1440" w:right="1440"/>
    </w:pPr>
  </w:style>
  <w:style w:type="paragraph" w:customStyle="1" w:styleId="Paratitle">
    <w:name w:val="Para title"/>
    <w:basedOn w:val="Normal"/>
    <w:rsid w:val="002235F4"/>
    <w:pPr>
      <w:tabs>
        <w:tab w:val="center" w:pos="9270"/>
      </w:tabs>
      <w:spacing w:after="240"/>
    </w:pPr>
    <w:rPr>
      <w:spacing w:val="-2"/>
    </w:rPr>
  </w:style>
  <w:style w:type="paragraph" w:customStyle="1" w:styleId="Bullet">
    <w:name w:val="Bullet"/>
    <w:basedOn w:val="Normal"/>
    <w:rsid w:val="002235F4"/>
    <w:pPr>
      <w:tabs>
        <w:tab w:val="left" w:pos="2160"/>
      </w:tabs>
      <w:spacing w:after="220"/>
      <w:ind w:left="2160" w:hanging="720"/>
    </w:pPr>
  </w:style>
  <w:style w:type="paragraph" w:customStyle="1" w:styleId="TableFormat">
    <w:name w:val="TableFormat"/>
    <w:basedOn w:val="Bullet"/>
    <w:rsid w:val="002235F4"/>
    <w:pPr>
      <w:tabs>
        <w:tab w:val="clear" w:pos="2160"/>
        <w:tab w:val="left" w:pos="5040"/>
      </w:tabs>
      <w:ind w:left="5040" w:hanging="3600"/>
    </w:pPr>
  </w:style>
  <w:style w:type="paragraph" w:customStyle="1" w:styleId="TOCTitle">
    <w:name w:val="TOC Title"/>
    <w:basedOn w:val="Normal"/>
    <w:rsid w:val="002235F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35F4"/>
    <w:pPr>
      <w:jc w:val="center"/>
    </w:pPr>
    <w:rPr>
      <w:rFonts w:ascii="Times New Roman Bold" w:hAnsi="Times New Roman Bold"/>
      <w:b/>
      <w:bCs/>
      <w:caps/>
      <w:szCs w:val="22"/>
    </w:rPr>
  </w:style>
  <w:style w:type="character" w:styleId="Hyperlink">
    <w:name w:val="Hyperlink"/>
    <w:rsid w:val="002235F4"/>
    <w:rPr>
      <w:color w:val="0000FF"/>
      <w:u w:val="single"/>
    </w:rPr>
  </w:style>
  <w:style w:type="character" w:customStyle="1" w:styleId="FooterChar">
    <w:name w:val="Footer Char"/>
    <w:link w:val="Footer"/>
    <w:uiPriority w:val="99"/>
    <w:rsid w:val="002235F4"/>
    <w:rPr>
      <w:snapToGrid w:val="0"/>
      <w:kern w:val="28"/>
      <w:sz w:val="22"/>
    </w:rPr>
  </w:style>
  <w:style w:type="character" w:customStyle="1" w:styleId="ParaNumChar">
    <w:name w:val="ParaNum Char"/>
    <w:link w:val="ParaNum"/>
    <w:locked/>
    <w:rsid w:val="00AB3096"/>
    <w:rPr>
      <w:snapToGrid w:val="0"/>
      <w:kern w:val="28"/>
      <w:sz w:val="22"/>
    </w:rPr>
  </w:style>
  <w:style w:type="character" w:customStyle="1" w:styleId="FootnoteTextChar">
    <w:name w:val="Footnote Text Char"/>
    <w:link w:val="FootnoteText"/>
    <w:rsid w:val="00AB3096"/>
  </w:style>
  <w:style w:type="character" w:customStyle="1" w:styleId="apple-converted-space">
    <w:name w:val="apple-converted-space"/>
    <w:rsid w:val="00AB3096"/>
  </w:style>
  <w:style w:type="character" w:customStyle="1" w:styleId="xapple-converted-space">
    <w:name w:val="xapple-converted-space"/>
    <w:rsid w:val="00AB3096"/>
  </w:style>
  <w:style w:type="character" w:styleId="CommentReference">
    <w:name w:val="annotation reference"/>
    <w:basedOn w:val="DefaultParagraphFont"/>
    <w:rsid w:val="00592C4B"/>
    <w:rPr>
      <w:sz w:val="16"/>
      <w:szCs w:val="16"/>
    </w:rPr>
  </w:style>
  <w:style w:type="paragraph" w:styleId="CommentText">
    <w:name w:val="annotation text"/>
    <w:basedOn w:val="Normal"/>
    <w:link w:val="CommentTextChar"/>
    <w:rsid w:val="00592C4B"/>
    <w:rPr>
      <w:sz w:val="20"/>
    </w:rPr>
  </w:style>
  <w:style w:type="character" w:customStyle="1" w:styleId="CommentTextChar">
    <w:name w:val="Comment Text Char"/>
    <w:basedOn w:val="DefaultParagraphFont"/>
    <w:link w:val="CommentText"/>
    <w:rsid w:val="00592C4B"/>
    <w:rPr>
      <w:snapToGrid w:val="0"/>
      <w:kern w:val="28"/>
    </w:rPr>
  </w:style>
  <w:style w:type="paragraph" w:styleId="CommentSubject">
    <w:name w:val="annotation subject"/>
    <w:basedOn w:val="CommentText"/>
    <w:next w:val="CommentText"/>
    <w:link w:val="CommentSubjectChar"/>
    <w:rsid w:val="00592C4B"/>
    <w:rPr>
      <w:b/>
      <w:bCs/>
    </w:rPr>
  </w:style>
  <w:style w:type="character" w:customStyle="1" w:styleId="CommentSubjectChar">
    <w:name w:val="Comment Subject Char"/>
    <w:basedOn w:val="CommentTextChar"/>
    <w:link w:val="CommentSubject"/>
    <w:rsid w:val="00592C4B"/>
    <w:rPr>
      <w:b/>
      <w:bCs/>
      <w:snapToGrid w:val="0"/>
      <w:kern w:val="28"/>
    </w:rPr>
  </w:style>
  <w:style w:type="paragraph" w:styleId="BalloonText">
    <w:name w:val="Balloon Text"/>
    <w:basedOn w:val="Normal"/>
    <w:link w:val="BalloonTextChar"/>
    <w:rsid w:val="00592C4B"/>
    <w:rPr>
      <w:rFonts w:ascii="Segoe UI" w:hAnsi="Segoe UI" w:cs="Segoe UI"/>
      <w:sz w:val="18"/>
      <w:szCs w:val="18"/>
    </w:rPr>
  </w:style>
  <w:style w:type="character" w:customStyle="1" w:styleId="BalloonTextChar">
    <w:name w:val="Balloon Text Char"/>
    <w:basedOn w:val="DefaultParagraphFont"/>
    <w:link w:val="BalloonText"/>
    <w:rsid w:val="00592C4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