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48CD3F0E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4F8DBC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5A13ECAE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496BC06D" w14:textId="77777777"/>
    <w:p w:rsidR="004C2EE3" w:rsidP="0070224F" w14:paraId="45C2010B" w14:textId="77777777"/>
    <w:tbl>
      <w:tblPr>
        <w:tblW w:w="13824" w:type="dxa"/>
        <w:tblLayout w:type="fixed"/>
        <w:tblLook w:val="0000"/>
      </w:tblPr>
      <w:tblGrid>
        <w:gridCol w:w="4698"/>
        <w:gridCol w:w="630"/>
        <w:gridCol w:w="4248"/>
        <w:gridCol w:w="4248"/>
      </w:tblGrid>
      <w:tr w14:paraId="6BA60D09" w14:textId="77777777" w:rsidTr="00BA33C2">
        <w:tblPrEx>
          <w:tblW w:w="13824" w:type="dxa"/>
          <w:tblLayout w:type="fixed"/>
          <w:tblLook w:val="0000"/>
        </w:tblPrEx>
        <w:tc>
          <w:tcPr>
            <w:tcW w:w="4698" w:type="dxa"/>
          </w:tcPr>
          <w:p w:rsidR="00BA33C2" w:rsidP="00BA33C2" w14:paraId="3EAEEEF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BA33C2" w:rsidP="00BA33C2" w14:paraId="5812701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A33C2" w:rsidRPr="002B2129" w:rsidP="00BA33C2" w14:paraId="2C08CE96" w14:textId="77777777">
            <w:pPr>
              <w:rPr>
                <w:szCs w:val="22"/>
              </w:rPr>
            </w:pPr>
            <w:r w:rsidRPr="002B2129">
              <w:rPr>
                <w:szCs w:val="22"/>
              </w:rPr>
              <w:t xml:space="preserve">BellSouth Telecommunications, LLC </w:t>
            </w:r>
          </w:p>
          <w:p w:rsidR="00BA33C2" w:rsidP="00BA33C2" w14:paraId="68EA25FC" w14:textId="77777777">
            <w:pPr>
              <w:rPr>
                <w:szCs w:val="22"/>
              </w:rPr>
            </w:pPr>
            <w:r w:rsidRPr="002B2129">
              <w:rPr>
                <w:szCs w:val="22"/>
              </w:rPr>
              <w:t>d/b/a AT&amp;T Florida,</w:t>
            </w:r>
          </w:p>
          <w:p w:rsidR="00BA33C2" w:rsidRPr="002B2129" w:rsidP="00BA33C2" w14:paraId="79C0180C" w14:textId="77777777">
            <w:pPr>
              <w:rPr>
                <w:szCs w:val="22"/>
              </w:rPr>
            </w:pPr>
          </w:p>
          <w:p w:rsidR="00BA33C2" w:rsidRPr="002B2129" w:rsidP="00BA33C2" w14:paraId="59678CF4" w14:textId="7777777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</w:t>
            </w:r>
            <w:r w:rsidRPr="002B2129">
              <w:rPr>
                <w:szCs w:val="22"/>
              </w:rPr>
              <w:t>Complainant,</w:t>
            </w:r>
          </w:p>
          <w:p w:rsidR="00BA33C2" w:rsidP="00BA33C2" w14:paraId="74974B92" w14:textId="77777777">
            <w:pPr>
              <w:rPr>
                <w:szCs w:val="22"/>
              </w:rPr>
            </w:pPr>
          </w:p>
          <w:p w:rsidR="00BA33C2" w:rsidRPr="002B2129" w:rsidP="00BA33C2" w14:paraId="6B3B258F" w14:textId="77777777">
            <w:pPr>
              <w:rPr>
                <w:szCs w:val="22"/>
              </w:rPr>
            </w:pPr>
            <w:r w:rsidRPr="002B2129">
              <w:rPr>
                <w:szCs w:val="22"/>
              </w:rPr>
              <w:t xml:space="preserve">       v.</w:t>
            </w:r>
          </w:p>
          <w:p w:rsidR="00BA33C2" w:rsidP="00BA33C2" w14:paraId="571CD329" w14:textId="77777777">
            <w:pPr>
              <w:rPr>
                <w:szCs w:val="22"/>
              </w:rPr>
            </w:pPr>
          </w:p>
          <w:p w:rsidR="00BA33C2" w:rsidRPr="002B2129" w:rsidP="00BA33C2" w14:paraId="07DDC19C" w14:textId="77777777">
            <w:pPr>
              <w:rPr>
                <w:szCs w:val="22"/>
              </w:rPr>
            </w:pPr>
            <w:r w:rsidRPr="002B2129">
              <w:rPr>
                <w:szCs w:val="22"/>
              </w:rPr>
              <w:t>Florida Power and Light Company,</w:t>
            </w:r>
          </w:p>
          <w:p w:rsidR="00BA33C2" w:rsidP="00BA33C2" w14:paraId="61593EDC" w14:textId="7777777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:rsidR="00BA33C2" w:rsidRPr="007115F7" w:rsidP="00BA33C2" w14:paraId="56640870" w14:textId="37CD58D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zCs w:val="22"/>
              </w:rPr>
              <w:t xml:space="preserve">                         </w:t>
            </w:r>
            <w:r w:rsidRPr="002B2129">
              <w:rPr>
                <w:szCs w:val="22"/>
              </w:rPr>
              <w:t>Defendant.</w:t>
            </w:r>
          </w:p>
        </w:tc>
        <w:tc>
          <w:tcPr>
            <w:tcW w:w="630" w:type="dxa"/>
          </w:tcPr>
          <w:p w:rsidR="00BA33C2" w:rsidP="00BA33C2" w14:paraId="56A48CD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01BC4AB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2F8ACE7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7B201E8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1A3FE35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2001EA7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048C608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185FBC3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4BF4311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04F0CE8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45E1F85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A33C2" w:rsidP="00BA33C2" w14:paraId="2BC5358C" w14:textId="0901BAA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BA33C2" w:rsidRPr="002B2129" w:rsidP="00BA33C2" w14:paraId="0183E04A" w14:textId="77777777">
            <w:pPr>
              <w:rPr>
                <w:szCs w:val="22"/>
              </w:rPr>
            </w:pPr>
            <w:r w:rsidRPr="002B2129">
              <w:rPr>
                <w:szCs w:val="22"/>
              </w:rPr>
              <w:t>Proceeding No. 19-187</w:t>
            </w:r>
          </w:p>
          <w:p w:rsidR="00BA33C2" w:rsidP="00BA33C2" w14:paraId="01496C08" w14:textId="3B40250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B2129">
              <w:rPr>
                <w:szCs w:val="22"/>
              </w:rPr>
              <w:t>Bureau ID No. EB-19-MD-006</w:t>
            </w:r>
          </w:p>
        </w:tc>
        <w:tc>
          <w:tcPr>
            <w:tcW w:w="4248" w:type="dxa"/>
          </w:tcPr>
          <w:p w:rsidR="00BA33C2" w:rsidP="00BA33C2" w14:paraId="47A3F6FA" w14:textId="4A3228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A33C2" w:rsidP="00BA33C2" w14:paraId="7846BAB8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BA33C2" w:rsidP="00BA33C2" w14:paraId="4C76263F" w14:textId="4A4DC08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P="0070224F" w14:paraId="5C4EFD6A" w14:textId="77777777"/>
    <w:p w:rsidR="00BA33C2" w:rsidP="00BA33C2" w14:paraId="70E77D36" w14:textId="77777777">
      <w:pPr>
        <w:pStyle w:val="StyleBoldCentered"/>
      </w:pPr>
      <w:r>
        <w:t>memorandum opinion and order</w:t>
      </w:r>
    </w:p>
    <w:p w:rsidR="004C2EE3" w14:paraId="4A8FE758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0DAAEAC5" w14:textId="10A76FD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3C2F99">
        <w:rPr>
          <w:b/>
          <w:spacing w:val="-2"/>
        </w:rPr>
        <w:t>August 16,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3C2F99">
        <w:rPr>
          <w:b/>
          <w:spacing w:val="-2"/>
        </w:rPr>
        <w:t>August 16, 2021</w:t>
      </w:r>
    </w:p>
    <w:p w:rsidR="00822CE0" w14:paraId="70FD4C33" w14:textId="77777777"/>
    <w:p w:rsidR="004C2EE3" w14:paraId="4061290D" w14:textId="65527B32">
      <w:pPr>
        <w:rPr>
          <w:spacing w:val="-2"/>
        </w:rPr>
      </w:pPr>
      <w:r>
        <w:t xml:space="preserve">By </w:t>
      </w:r>
      <w:r w:rsidR="004E4A22">
        <w:t>the</w:t>
      </w:r>
      <w:r w:rsidR="00AE4C53">
        <w:t xml:space="preserve"> Chief, Enforcement Bureau:</w:t>
      </w:r>
    </w:p>
    <w:p w:rsidR="00822CE0" w14:paraId="6A70C08C" w14:textId="77777777">
      <w:pPr>
        <w:rPr>
          <w:spacing w:val="-2"/>
        </w:rPr>
      </w:pPr>
    </w:p>
    <w:p w:rsidR="00885A2B" w:rsidRPr="00AE4A4E" w:rsidP="00B35BC7" w14:paraId="70F9479A" w14:textId="77777777">
      <w:pPr>
        <w:pStyle w:val="ParaNum"/>
        <w:rPr>
          <w:snapToGrid/>
          <w:color w:val="000000"/>
          <w:kern w:val="0"/>
          <w:szCs w:val="22"/>
        </w:rPr>
      </w:pPr>
      <w:bookmarkStart w:id="0" w:name="_Hlk57881003"/>
      <w:r w:rsidRPr="1D1DEB0C">
        <w:t xml:space="preserve">In this </w:t>
      </w:r>
      <w:r w:rsidRPr="00CF6BA8">
        <w:rPr>
          <w:snapToGrid/>
        </w:rPr>
        <w:t>Memorandum</w:t>
      </w:r>
      <w:r w:rsidRPr="1D1DEB0C">
        <w:t xml:space="preserve"> Opinion and Order, we </w:t>
      </w:r>
      <w:r>
        <w:t>dismiss without prejudice</w:t>
      </w:r>
      <w:r w:rsidRPr="1D1DEB0C">
        <w:t xml:space="preserve"> the</w:t>
      </w:r>
      <w:r>
        <w:t xml:space="preserve"> remainder of the </w:t>
      </w:r>
      <w:r w:rsidRPr="1D1DEB0C">
        <w:t>Complaint filed by BellSouth Telecommunications, LLC d/b/a AT&amp;T Florida</w:t>
      </w:r>
      <w:r>
        <w:t xml:space="preserve"> (AT&amp;T)</w:t>
      </w:r>
      <w:r w:rsidRPr="1D1DEB0C">
        <w:t xml:space="preserve">, an incumbent </w:t>
      </w:r>
      <w:r>
        <w:t xml:space="preserve">local exchange carrier (LEC) </w:t>
      </w:r>
      <w:r w:rsidRPr="1D1DEB0C">
        <w:t>in Florida, against Florida Power and Light Company</w:t>
      </w:r>
      <w:r>
        <w:t xml:space="preserve"> (FPL)</w:t>
      </w:r>
      <w:r w:rsidRPr="1D1DEB0C">
        <w:t>, an electric utility</w:t>
      </w:r>
      <w:r>
        <w:t>,</w:t>
      </w:r>
      <w:r w:rsidRPr="1D1DEB0C">
        <w:t xml:space="preserve"> </w:t>
      </w:r>
      <w:r>
        <w:t>to the extent that the Complaint seeks a remedy for the period after December 31, 2018</w:t>
      </w:r>
      <w:r w:rsidRPr="1D1DEB0C">
        <w:t>.</w:t>
      </w:r>
      <w:r>
        <w:rPr>
          <w:rStyle w:val="FootnoteReference"/>
        </w:rPr>
        <w:footnoteReference w:id="3"/>
      </w:r>
      <w:r w:rsidRPr="1D1DEB0C">
        <w:t xml:space="preserve">  </w:t>
      </w:r>
      <w:r>
        <w:t>In its Complaint, AT&amp;T</w:t>
      </w:r>
      <w:r w:rsidRPr="1D1DEB0C">
        <w:t xml:space="preserve"> allege</w:t>
      </w:r>
      <w:r>
        <w:t>s</w:t>
      </w:r>
      <w:r w:rsidRPr="1D1DEB0C">
        <w:t xml:space="preserve"> that the r</w:t>
      </w:r>
      <w:r w:rsidRPr="00504415">
        <w:rPr>
          <w:szCs w:val="22"/>
        </w:rPr>
        <w:t>ate it pays under the parties’ joint use agreement (JUA)</w:t>
      </w:r>
      <w:r>
        <w:rPr>
          <w:szCs w:val="22"/>
        </w:rPr>
        <w:t xml:space="preserve"> </w:t>
      </w:r>
      <w:r w:rsidRPr="00504415">
        <w:rPr>
          <w:szCs w:val="22"/>
        </w:rPr>
        <w:t xml:space="preserve">to attach its facilities to FPL’s </w:t>
      </w:r>
      <w:r>
        <w:rPr>
          <w:szCs w:val="22"/>
        </w:rPr>
        <w:t xml:space="preserve">utility </w:t>
      </w:r>
      <w:r w:rsidRPr="00504415">
        <w:rPr>
          <w:szCs w:val="22"/>
        </w:rPr>
        <w:t xml:space="preserve">poles is </w:t>
      </w:r>
      <w:r>
        <w:rPr>
          <w:szCs w:val="22"/>
        </w:rPr>
        <w:t xml:space="preserve">excessive.  AT&amp;T seeks relief under the </w:t>
      </w:r>
      <w:r w:rsidRPr="009629CA">
        <w:rPr>
          <w:i/>
          <w:iCs/>
          <w:szCs w:val="22"/>
        </w:rPr>
        <w:t>2011</w:t>
      </w:r>
      <w:r>
        <w:rPr>
          <w:szCs w:val="22"/>
        </w:rPr>
        <w:t xml:space="preserve"> and </w:t>
      </w:r>
      <w:r w:rsidRPr="009629CA">
        <w:rPr>
          <w:i/>
          <w:iCs/>
          <w:szCs w:val="22"/>
        </w:rPr>
        <w:t>2018 Pole Attachment Orders</w:t>
      </w:r>
      <w:r>
        <w:rPr>
          <w:szCs w:val="22"/>
        </w:rPr>
        <w:t xml:space="preserve">, which the </w:t>
      </w:r>
      <w:r w:rsidRPr="00504415">
        <w:rPr>
          <w:szCs w:val="22"/>
        </w:rPr>
        <w:t>Commission issued pursuant to section 224 of the Communications Act of 1934, as amended (Act).</w:t>
      </w:r>
      <w:r>
        <w:rPr>
          <w:rStyle w:val="FootnoteReference"/>
          <w:sz w:val="22"/>
          <w:szCs w:val="22"/>
        </w:rPr>
        <w:footnoteReference w:id="4"/>
      </w:r>
      <w:r w:rsidRPr="00504415">
        <w:rPr>
          <w:szCs w:val="22"/>
        </w:rPr>
        <w:t xml:space="preserve">  </w:t>
      </w:r>
      <w:r>
        <w:rPr>
          <w:color w:val="000000"/>
          <w:szCs w:val="22"/>
        </w:rPr>
        <w:t>In two prior orders in this proceeding</w:t>
      </w:r>
      <w:r w:rsidRPr="00504415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we found that AT&amp;T was entitled to a reduced rate</w:t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under the </w:t>
      </w:r>
      <w:r w:rsidRPr="009629CA">
        <w:rPr>
          <w:i/>
          <w:iCs/>
          <w:color w:val="000000"/>
          <w:szCs w:val="22"/>
        </w:rPr>
        <w:t>2011 Pole Attachment Order</w:t>
      </w:r>
      <w:r>
        <w:rPr>
          <w:color w:val="000000"/>
          <w:szCs w:val="22"/>
        </w:rPr>
        <w:t xml:space="preserve"> </w:t>
      </w:r>
      <w:r w:rsidRPr="00504415">
        <w:rPr>
          <w:color w:val="000000"/>
          <w:szCs w:val="22"/>
        </w:rPr>
        <w:t xml:space="preserve">for the period ending December 31, 2018, </w:t>
      </w:r>
      <w:r>
        <w:rPr>
          <w:color w:val="000000"/>
          <w:szCs w:val="22"/>
        </w:rPr>
        <w:t xml:space="preserve">which is the end of the 2018 pole rental year under the JUA, and </w:t>
      </w:r>
      <w:r w:rsidRPr="00504415">
        <w:rPr>
          <w:color w:val="000000"/>
          <w:szCs w:val="22"/>
        </w:rPr>
        <w:t xml:space="preserve">stayed the proceeding </w:t>
      </w:r>
      <w:r>
        <w:rPr>
          <w:color w:val="000000"/>
          <w:szCs w:val="22"/>
        </w:rPr>
        <w:t>as to later pole rental years</w:t>
      </w:r>
      <w:r w:rsidRPr="00504415">
        <w:rPr>
          <w:color w:val="000000"/>
          <w:szCs w:val="22"/>
        </w:rPr>
        <w:t>.</w:t>
      </w:r>
      <w:r>
        <w:rPr>
          <w:rStyle w:val="FootnoteReference"/>
          <w:szCs w:val="22"/>
        </w:rPr>
        <w:footnoteReference w:id="5"/>
      </w:r>
      <w:r>
        <w:rPr>
          <w:color w:val="000000"/>
          <w:szCs w:val="22"/>
        </w:rPr>
        <w:t xml:space="preserve">  </w:t>
      </w:r>
      <w:r w:rsidRPr="00504415">
        <w:rPr>
          <w:szCs w:val="22"/>
        </w:rPr>
        <w:t xml:space="preserve">  </w:t>
      </w:r>
    </w:p>
    <w:p w:rsidR="00885A2B" w:rsidRPr="00504415" w:rsidP="00B35BC7" w14:paraId="263CCA3F" w14:textId="77777777">
      <w:pPr>
        <w:pStyle w:val="ParaNum"/>
        <w:rPr>
          <w:snapToGrid/>
          <w:color w:val="000000"/>
          <w:kern w:val="0"/>
          <w:szCs w:val="22"/>
        </w:rPr>
      </w:pPr>
      <w:r>
        <w:rPr>
          <w:color w:val="000000"/>
          <w:szCs w:val="22"/>
        </w:rPr>
        <w:t>Our previous orders</w:t>
      </w:r>
      <w:r w:rsidRPr="00504415">
        <w:rPr>
          <w:color w:val="000000"/>
          <w:szCs w:val="22"/>
        </w:rPr>
        <w:t xml:space="preserve"> did not address the post-201</w:t>
      </w:r>
      <w:r>
        <w:rPr>
          <w:color w:val="000000"/>
          <w:szCs w:val="22"/>
        </w:rPr>
        <w:t>8</w:t>
      </w:r>
      <w:r w:rsidRPr="00504415">
        <w:rPr>
          <w:color w:val="000000"/>
          <w:szCs w:val="22"/>
        </w:rPr>
        <w:t xml:space="preserve"> pole </w:t>
      </w:r>
      <w:r w:rsidRPr="00B35BC7">
        <w:t>rental</w:t>
      </w:r>
      <w:r w:rsidRPr="00504415">
        <w:rPr>
          <w:color w:val="000000"/>
          <w:szCs w:val="22"/>
        </w:rPr>
        <w:t xml:space="preserve"> years</w:t>
      </w:r>
      <w:r>
        <w:rPr>
          <w:color w:val="000000"/>
          <w:szCs w:val="22"/>
        </w:rPr>
        <w:t xml:space="preserve">, and therefore did not address AT&amp;T’s claim under the </w:t>
      </w:r>
      <w:r w:rsidRPr="00826A92">
        <w:rPr>
          <w:i/>
          <w:iCs/>
          <w:color w:val="000000"/>
          <w:szCs w:val="22"/>
        </w:rPr>
        <w:t>2018 Pole Attachment Order</w:t>
      </w:r>
      <w:r>
        <w:rPr>
          <w:color w:val="000000"/>
          <w:szCs w:val="22"/>
        </w:rPr>
        <w:t xml:space="preserve">, which came into effect as to incumbent </w:t>
      </w:r>
      <w:r>
        <w:rPr>
          <w:color w:val="000000"/>
          <w:szCs w:val="22"/>
        </w:rPr>
        <w:t xml:space="preserve">LEC complaints on March 11, 2019, because </w:t>
      </w:r>
      <w:r w:rsidRPr="00504415">
        <w:rPr>
          <w:color w:val="000000"/>
          <w:szCs w:val="22"/>
        </w:rPr>
        <w:t xml:space="preserve">FPL sent </w:t>
      </w:r>
      <w:r>
        <w:rPr>
          <w:color w:val="000000"/>
          <w:szCs w:val="22"/>
        </w:rPr>
        <w:t xml:space="preserve">AT&amp;T </w:t>
      </w:r>
      <w:r w:rsidRPr="00504415">
        <w:rPr>
          <w:color w:val="000000"/>
          <w:szCs w:val="22"/>
        </w:rPr>
        <w:t xml:space="preserve">a Notice of Termination </w:t>
      </w:r>
      <w:r>
        <w:rPr>
          <w:color w:val="000000"/>
          <w:szCs w:val="22"/>
        </w:rPr>
        <w:t>purporting to end</w:t>
      </w:r>
      <w:r w:rsidRPr="00504415">
        <w:rPr>
          <w:color w:val="000000"/>
          <w:szCs w:val="22"/>
        </w:rPr>
        <w:t xml:space="preserve"> AT&amp;T’s right to attach to FPL’s poles on March 25, 2019.</w:t>
      </w:r>
      <w:r>
        <w:rPr>
          <w:rStyle w:val="FootnoteReference"/>
          <w:szCs w:val="22"/>
        </w:rPr>
        <w:footnoteReference w:id="6"/>
      </w:r>
      <w:r w:rsidRPr="00504415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The effect of the Notice of Termination is at issue in a lawsuit filed by FPL against AT&amp;T that is pending </w:t>
      </w:r>
      <w:r w:rsidRPr="00504415">
        <w:rPr>
          <w:color w:val="000000"/>
          <w:szCs w:val="22"/>
        </w:rPr>
        <w:t xml:space="preserve">before the United States District Court for the </w:t>
      </w:r>
      <w:r>
        <w:rPr>
          <w:color w:val="000000"/>
          <w:szCs w:val="22"/>
        </w:rPr>
        <w:t xml:space="preserve">Southern </w:t>
      </w:r>
      <w:r w:rsidRPr="00504415">
        <w:rPr>
          <w:color w:val="000000"/>
          <w:szCs w:val="22"/>
        </w:rPr>
        <w:t>District of Florida.</w:t>
      </w:r>
      <w:r>
        <w:rPr>
          <w:rStyle w:val="FootnoteReference"/>
          <w:szCs w:val="22"/>
        </w:rPr>
        <w:footnoteReference w:id="7"/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In our first order in this case</w:t>
      </w:r>
      <w:r w:rsidRPr="00504415">
        <w:rPr>
          <w:color w:val="000000"/>
          <w:szCs w:val="22"/>
        </w:rPr>
        <w:t xml:space="preserve">, we </w:t>
      </w:r>
      <w:r>
        <w:rPr>
          <w:color w:val="000000"/>
          <w:szCs w:val="22"/>
        </w:rPr>
        <w:t>concluded that the validity of the Notice of Termination should be decided by the court because it “</w:t>
      </w:r>
      <w:r w:rsidRPr="00504415">
        <w:rPr>
          <w:color w:val="000000"/>
          <w:szCs w:val="22"/>
        </w:rPr>
        <w:t xml:space="preserve">is purely a matter of state contract law, as AT&amp;T does not argue that the provision </w:t>
      </w:r>
      <w:r>
        <w:rPr>
          <w:color w:val="000000"/>
          <w:szCs w:val="22"/>
        </w:rPr>
        <w:t xml:space="preserve">[of the JUA] </w:t>
      </w:r>
      <w:r w:rsidRPr="00504415">
        <w:rPr>
          <w:color w:val="000000"/>
          <w:szCs w:val="22"/>
        </w:rPr>
        <w:t>under which FPL gave notice is unjust or unreasonable under section 224 of the Act.</w:t>
      </w:r>
      <w:r>
        <w:rPr>
          <w:color w:val="000000"/>
          <w:szCs w:val="22"/>
        </w:rPr>
        <w:t>”</w:t>
      </w:r>
      <w:r>
        <w:rPr>
          <w:rStyle w:val="FootnoteReference"/>
          <w:szCs w:val="22"/>
        </w:rPr>
        <w:footnoteReference w:id="8"/>
      </w:r>
      <w:bookmarkEnd w:id="0"/>
    </w:p>
    <w:p w:rsidR="00885A2B" w:rsidRPr="00504415" w:rsidP="00B35BC7" w14:paraId="0527961A" w14:textId="77777777">
      <w:pPr>
        <w:pStyle w:val="ParaNum"/>
        <w:rPr>
          <w:snapToGrid/>
          <w:color w:val="000000"/>
          <w:kern w:val="0"/>
          <w:szCs w:val="22"/>
        </w:rPr>
      </w:pPr>
      <w:r>
        <w:rPr>
          <w:color w:val="000000"/>
          <w:szCs w:val="22"/>
        </w:rPr>
        <w:t xml:space="preserve">After we released that order, </w:t>
      </w:r>
      <w:r w:rsidRPr="00504415">
        <w:rPr>
          <w:color w:val="000000"/>
          <w:szCs w:val="22"/>
        </w:rPr>
        <w:t>AT&amp;T fil</w:t>
      </w:r>
      <w:r>
        <w:rPr>
          <w:color w:val="000000"/>
          <w:szCs w:val="22"/>
        </w:rPr>
        <w:t>ed</w:t>
      </w:r>
      <w:r w:rsidRPr="00504415">
        <w:rPr>
          <w:color w:val="000000"/>
          <w:szCs w:val="22"/>
        </w:rPr>
        <w:t xml:space="preserve"> a </w:t>
      </w:r>
      <w:r w:rsidRPr="00B35BC7">
        <w:t>second</w:t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</w:t>
      </w:r>
      <w:r w:rsidRPr="00504415">
        <w:rPr>
          <w:color w:val="000000"/>
          <w:szCs w:val="22"/>
        </w:rPr>
        <w:t>omplaint with the Commission</w:t>
      </w:r>
      <w:r>
        <w:rPr>
          <w:color w:val="000000"/>
          <w:szCs w:val="22"/>
        </w:rPr>
        <w:t xml:space="preserve"> against FPL.  In its first count, AT&amp;T alleged</w:t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for the first time </w:t>
      </w:r>
      <w:r w:rsidRPr="00504415">
        <w:rPr>
          <w:color w:val="000000"/>
          <w:szCs w:val="22"/>
        </w:rPr>
        <w:t>that the Payment Default Clause</w:t>
      </w:r>
      <w:r>
        <w:rPr>
          <w:color w:val="000000"/>
          <w:szCs w:val="22"/>
        </w:rPr>
        <w:t xml:space="preserve"> is an </w:t>
      </w:r>
      <w:r w:rsidRPr="00504415">
        <w:rPr>
          <w:color w:val="000000"/>
          <w:szCs w:val="22"/>
        </w:rPr>
        <w:t xml:space="preserve">unjust and unreasonable </w:t>
      </w:r>
      <w:r>
        <w:rPr>
          <w:color w:val="000000"/>
          <w:szCs w:val="22"/>
        </w:rPr>
        <w:t xml:space="preserve">term, and the Notice of Termination is an unjust and unreasonable practice, </w:t>
      </w:r>
      <w:r w:rsidRPr="00504415">
        <w:rPr>
          <w:color w:val="000000"/>
          <w:szCs w:val="22"/>
        </w:rPr>
        <w:t>within the meaning of section 224 of the Act.</w:t>
      </w:r>
      <w:r>
        <w:rPr>
          <w:rStyle w:val="FootnoteReference"/>
          <w:sz w:val="22"/>
          <w:szCs w:val="22"/>
        </w:rPr>
        <w:footnoteReference w:id="9"/>
      </w:r>
      <w:r>
        <w:rPr>
          <w:color w:val="000000"/>
          <w:szCs w:val="22"/>
        </w:rPr>
        <w:t xml:space="preserve">  However, </w:t>
      </w:r>
      <w:r w:rsidRPr="00504415">
        <w:rPr>
          <w:color w:val="000000"/>
          <w:szCs w:val="22"/>
        </w:rPr>
        <w:t xml:space="preserve">we </w:t>
      </w:r>
      <w:r>
        <w:rPr>
          <w:color w:val="000000"/>
          <w:szCs w:val="22"/>
        </w:rPr>
        <w:t xml:space="preserve">have </w:t>
      </w:r>
      <w:r w:rsidRPr="00504415">
        <w:rPr>
          <w:color w:val="000000"/>
          <w:szCs w:val="22"/>
        </w:rPr>
        <w:t xml:space="preserve">dismissed </w:t>
      </w:r>
      <w:r>
        <w:rPr>
          <w:color w:val="000000"/>
          <w:szCs w:val="22"/>
        </w:rPr>
        <w:t>the first count</w:t>
      </w:r>
      <w:r w:rsidRPr="00504415">
        <w:rPr>
          <w:color w:val="000000"/>
          <w:szCs w:val="22"/>
        </w:rPr>
        <w:t xml:space="preserve"> with prejudice.</w:t>
      </w:r>
      <w:r>
        <w:rPr>
          <w:rStyle w:val="FootnoteReference"/>
          <w:szCs w:val="22"/>
        </w:rPr>
        <w:footnoteReference w:id="10"/>
      </w:r>
    </w:p>
    <w:p w:rsidR="00885A2B" w:rsidRPr="00A26EB4" w:rsidP="00B35BC7" w14:paraId="5AB6144C" w14:textId="7F1D21E0">
      <w:pPr>
        <w:pStyle w:val="ParaNum"/>
        <w:rPr>
          <w:szCs w:val="22"/>
        </w:rPr>
      </w:pPr>
      <w:r w:rsidRPr="00504415">
        <w:rPr>
          <w:color w:val="000000"/>
          <w:szCs w:val="22"/>
        </w:rPr>
        <w:t xml:space="preserve">Therefore, we affirm our </w:t>
      </w:r>
      <w:r>
        <w:rPr>
          <w:color w:val="000000"/>
          <w:szCs w:val="22"/>
        </w:rPr>
        <w:t xml:space="preserve">prior </w:t>
      </w:r>
      <w:r w:rsidRPr="00504415">
        <w:rPr>
          <w:color w:val="000000"/>
          <w:szCs w:val="22"/>
        </w:rPr>
        <w:t xml:space="preserve">finding </w:t>
      </w:r>
      <w:r>
        <w:rPr>
          <w:color w:val="000000"/>
          <w:szCs w:val="22"/>
        </w:rPr>
        <w:t xml:space="preserve">in </w:t>
      </w:r>
      <w:r w:rsidRPr="00B35BC7">
        <w:t>our</w:t>
      </w:r>
      <w:r>
        <w:rPr>
          <w:color w:val="000000"/>
          <w:szCs w:val="22"/>
        </w:rPr>
        <w:t xml:space="preserve"> first order in this proceeding </w:t>
      </w:r>
      <w:r w:rsidRPr="00504415">
        <w:rPr>
          <w:color w:val="000000"/>
          <w:szCs w:val="22"/>
        </w:rPr>
        <w:t xml:space="preserve">that the effect of the Notice of Termination is a matter of state law to be decided by the district court.  </w:t>
      </w:r>
      <w:r w:rsidR="000C1D45">
        <w:rPr>
          <w:color w:val="000000"/>
          <w:szCs w:val="22"/>
        </w:rPr>
        <w:t>Moreover</w:t>
      </w:r>
      <w:r>
        <w:rPr>
          <w:color w:val="000000"/>
          <w:szCs w:val="22"/>
        </w:rPr>
        <w:t xml:space="preserve">, we conclude that we should </w:t>
      </w:r>
      <w:r w:rsidRPr="00504415">
        <w:rPr>
          <w:color w:val="000000"/>
          <w:szCs w:val="22"/>
        </w:rPr>
        <w:t xml:space="preserve">dismiss </w:t>
      </w:r>
      <w:r>
        <w:rPr>
          <w:color w:val="000000"/>
          <w:szCs w:val="22"/>
        </w:rPr>
        <w:t xml:space="preserve">the remainder of the Complaint </w:t>
      </w:r>
      <w:r w:rsidRPr="00504415">
        <w:rPr>
          <w:color w:val="000000"/>
          <w:szCs w:val="22"/>
        </w:rPr>
        <w:t xml:space="preserve">because the parties’ dispute as to the effect of the Notice of Termination </w:t>
      </w:r>
      <w:r>
        <w:rPr>
          <w:color w:val="000000"/>
          <w:szCs w:val="22"/>
        </w:rPr>
        <w:t>must be</w:t>
      </w:r>
      <w:r w:rsidRPr="00504415">
        <w:rPr>
          <w:color w:val="000000"/>
          <w:szCs w:val="22"/>
        </w:rPr>
        <w:t xml:space="preserve"> decided </w:t>
      </w:r>
      <w:r>
        <w:rPr>
          <w:color w:val="000000"/>
          <w:szCs w:val="22"/>
        </w:rPr>
        <w:t xml:space="preserve">by the federal district court </w:t>
      </w:r>
      <w:r w:rsidRPr="00504415">
        <w:rPr>
          <w:color w:val="000000"/>
          <w:szCs w:val="22"/>
        </w:rPr>
        <w:t>before we proceed</w:t>
      </w:r>
      <w:r>
        <w:rPr>
          <w:color w:val="000000"/>
          <w:szCs w:val="22"/>
        </w:rPr>
        <w:t xml:space="preserve"> further</w:t>
      </w:r>
      <w:r w:rsidRPr="00504415">
        <w:rPr>
          <w:color w:val="000000"/>
          <w:szCs w:val="22"/>
        </w:rPr>
        <w:t xml:space="preserve">, and we have provided AT&amp;T all the relief to which it is entitled for the period </w:t>
      </w:r>
      <w:r>
        <w:rPr>
          <w:color w:val="000000"/>
          <w:szCs w:val="22"/>
        </w:rPr>
        <w:t>ending</w:t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December</w:t>
      </w:r>
      <w:r w:rsidR="000C1D45">
        <w:rPr>
          <w:color w:val="000000"/>
          <w:szCs w:val="22"/>
        </w:rPr>
        <w:t> </w:t>
      </w:r>
      <w:r>
        <w:rPr>
          <w:color w:val="000000"/>
          <w:szCs w:val="22"/>
        </w:rPr>
        <w:t>31, 2018</w:t>
      </w:r>
      <w:r w:rsidRPr="00504415">
        <w:rPr>
          <w:color w:val="000000"/>
          <w:szCs w:val="22"/>
        </w:rPr>
        <w:t xml:space="preserve">.  </w:t>
      </w:r>
      <w:bookmarkStart w:id="3" w:name="_Hlk73608181"/>
      <w:r>
        <w:rPr>
          <w:color w:val="000000"/>
          <w:szCs w:val="22"/>
        </w:rPr>
        <w:t xml:space="preserve">Our dismissal is without prejudice to allow AT&amp;T to file a new complaint </w:t>
      </w:r>
      <w:r w:rsidRPr="00504415">
        <w:rPr>
          <w:color w:val="000000"/>
          <w:szCs w:val="22"/>
        </w:rPr>
        <w:t xml:space="preserve">if it presents a valid, final judgment finding that </w:t>
      </w:r>
      <w:r>
        <w:rPr>
          <w:color w:val="000000"/>
          <w:szCs w:val="22"/>
        </w:rPr>
        <w:t>it</w:t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may</w:t>
      </w:r>
      <w:r w:rsidRPr="00504415">
        <w:rPr>
          <w:color w:val="000000"/>
          <w:szCs w:val="22"/>
        </w:rPr>
        <w:t xml:space="preserve"> attach to FPL’s JUA poles after March 25, 2019</w:t>
      </w:r>
      <w:r>
        <w:rPr>
          <w:color w:val="000000"/>
          <w:szCs w:val="22"/>
        </w:rPr>
        <w:t>,</w:t>
      </w:r>
      <w:r w:rsidRPr="00504415">
        <w:rPr>
          <w:color w:val="000000"/>
          <w:szCs w:val="22"/>
        </w:rPr>
        <w:t xml:space="preserve"> or if it shows that it has entered into an agreement with FPL permitt</w:t>
      </w:r>
      <w:r>
        <w:rPr>
          <w:color w:val="000000"/>
          <w:szCs w:val="22"/>
        </w:rPr>
        <w:t>ing</w:t>
      </w:r>
      <w:r w:rsidRPr="0050441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it </w:t>
      </w:r>
      <w:r w:rsidRPr="00504415">
        <w:rPr>
          <w:color w:val="000000"/>
          <w:szCs w:val="22"/>
        </w:rPr>
        <w:t xml:space="preserve">to attach </w:t>
      </w:r>
      <w:r>
        <w:rPr>
          <w:color w:val="000000"/>
          <w:szCs w:val="22"/>
        </w:rPr>
        <w:t xml:space="preserve">to FPL’s poles </w:t>
      </w:r>
      <w:r w:rsidRPr="00CE17FA">
        <w:rPr>
          <w:color w:val="000000"/>
          <w:szCs w:val="22"/>
        </w:rPr>
        <w:t>after that date</w:t>
      </w:r>
      <w:r>
        <w:rPr>
          <w:b/>
          <w:bCs/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bookmarkStart w:id="4" w:name="_Hlk73606864"/>
      <w:r>
        <w:rPr>
          <w:color w:val="000000"/>
          <w:szCs w:val="22"/>
        </w:rPr>
        <w:t xml:space="preserve"> Finally, we incorp</w:t>
      </w:r>
      <w:bookmarkEnd w:id="3"/>
      <w:r>
        <w:rPr>
          <w:color w:val="000000"/>
          <w:szCs w:val="22"/>
        </w:rPr>
        <w:t xml:space="preserve">orate by reference </w:t>
      </w:r>
      <w:r>
        <w:t xml:space="preserve">our first two orders in this proceeding, so that any application for review or petition for reconsideration should be of this </w:t>
      </w:r>
      <w:r w:rsidRPr="00432E2D">
        <w:rPr>
          <w:i/>
          <w:iCs/>
        </w:rPr>
        <w:t>Order</w:t>
      </w:r>
      <w:r>
        <w:t>.</w:t>
      </w:r>
      <w:bookmarkEnd w:id="4"/>
      <w:r>
        <w:rPr>
          <w:rStyle w:val="FootnoteReference"/>
          <w:szCs w:val="22"/>
        </w:rPr>
        <w:footnoteReference w:id="11"/>
      </w:r>
    </w:p>
    <w:p w:rsidR="00885A2B" w:rsidP="00B35BC7" w14:paraId="163591EF" w14:textId="7622DAAB">
      <w:pPr>
        <w:pStyle w:val="ParaNum"/>
        <w:rPr>
          <w:szCs w:val="22"/>
        </w:rPr>
      </w:pPr>
      <w:r>
        <w:rPr>
          <w:szCs w:val="22"/>
        </w:rPr>
        <w:br w:type="page"/>
      </w:r>
      <w:r w:rsidRPr="00811D42">
        <w:rPr>
          <w:szCs w:val="22"/>
        </w:rPr>
        <w:t>A</w:t>
      </w:r>
      <w:r>
        <w:rPr>
          <w:szCs w:val="22"/>
        </w:rPr>
        <w:t>ccordingly</w:t>
      </w:r>
      <w:r w:rsidRPr="00811D42">
        <w:rPr>
          <w:szCs w:val="22"/>
        </w:rPr>
        <w:t xml:space="preserve">, </w:t>
      </w:r>
      <w:r w:rsidRPr="006E0127">
        <w:rPr>
          <w:b/>
          <w:bCs/>
          <w:szCs w:val="22"/>
        </w:rPr>
        <w:t>IT IS ORDERED</w:t>
      </w:r>
      <w:r>
        <w:rPr>
          <w:szCs w:val="22"/>
        </w:rPr>
        <w:t xml:space="preserve">, </w:t>
      </w:r>
      <w:r w:rsidRPr="00811D42">
        <w:rPr>
          <w:szCs w:val="22"/>
        </w:rPr>
        <w:t xml:space="preserve">pursuant to </w:t>
      </w:r>
      <w:r w:rsidRPr="00B35BC7">
        <w:t>sections</w:t>
      </w:r>
      <w:r w:rsidRPr="00811D42">
        <w:rPr>
          <w:szCs w:val="22"/>
        </w:rPr>
        <w:t xml:space="preserve"> 4(i), 4(j)</w:t>
      </w:r>
      <w:r>
        <w:rPr>
          <w:szCs w:val="22"/>
        </w:rPr>
        <w:t>, 155, 224</w:t>
      </w:r>
      <w:r w:rsidRPr="00811D42">
        <w:rPr>
          <w:szCs w:val="22"/>
        </w:rPr>
        <w:t xml:space="preserve"> and </w:t>
      </w:r>
      <w:r>
        <w:rPr>
          <w:szCs w:val="22"/>
        </w:rPr>
        <w:t>405</w:t>
      </w:r>
      <w:r w:rsidRPr="00811D42">
        <w:rPr>
          <w:szCs w:val="22"/>
        </w:rPr>
        <w:t xml:space="preserve"> of the Communications Act, 47 U.S.C. §§ 154(i), 154(j), </w:t>
      </w:r>
      <w:r>
        <w:rPr>
          <w:szCs w:val="22"/>
        </w:rPr>
        <w:t>155,</w:t>
      </w:r>
      <w:r w:rsidRPr="00811D42">
        <w:rPr>
          <w:szCs w:val="22"/>
        </w:rPr>
        <w:t xml:space="preserve"> 224, </w:t>
      </w:r>
      <w:r>
        <w:rPr>
          <w:szCs w:val="22"/>
        </w:rPr>
        <w:t xml:space="preserve">and 405, </w:t>
      </w:r>
      <w:r w:rsidRPr="00811D42">
        <w:rPr>
          <w:szCs w:val="22"/>
        </w:rPr>
        <w:t xml:space="preserve">and sections 0.111, 0.311, </w:t>
      </w:r>
      <w:r>
        <w:rPr>
          <w:szCs w:val="22"/>
        </w:rPr>
        <w:t xml:space="preserve">1.104, 1.106, 1.115, </w:t>
      </w:r>
      <w:r w:rsidRPr="00811D42">
        <w:rPr>
          <w:szCs w:val="22"/>
        </w:rPr>
        <w:t>1.1401, 1.1402, 1.1404,</w:t>
      </w:r>
      <w:r>
        <w:rPr>
          <w:szCs w:val="22"/>
        </w:rPr>
        <w:t xml:space="preserve"> 1.1407, and 1.1413 </w:t>
      </w:r>
      <w:r w:rsidRPr="00811D42">
        <w:rPr>
          <w:szCs w:val="22"/>
        </w:rPr>
        <w:t xml:space="preserve">of the Commission’s rules, 47 CFR §§ 0.111, 0.311, </w:t>
      </w:r>
      <w:r>
        <w:rPr>
          <w:szCs w:val="22"/>
        </w:rPr>
        <w:t xml:space="preserve">1.104, 1.106, 1.115, </w:t>
      </w:r>
      <w:r w:rsidRPr="00811D42">
        <w:rPr>
          <w:szCs w:val="22"/>
        </w:rPr>
        <w:t xml:space="preserve">1.1401, 1.1402, </w:t>
      </w:r>
      <w:r>
        <w:rPr>
          <w:szCs w:val="22"/>
        </w:rPr>
        <w:t xml:space="preserve">1.1404, </w:t>
      </w:r>
      <w:r w:rsidRPr="00811D42">
        <w:rPr>
          <w:szCs w:val="22"/>
        </w:rPr>
        <w:t>1.140</w:t>
      </w:r>
      <w:r>
        <w:rPr>
          <w:szCs w:val="22"/>
        </w:rPr>
        <w:t>7</w:t>
      </w:r>
      <w:r w:rsidRPr="00811D42">
        <w:rPr>
          <w:szCs w:val="22"/>
        </w:rPr>
        <w:t xml:space="preserve">, </w:t>
      </w:r>
      <w:r>
        <w:rPr>
          <w:szCs w:val="22"/>
        </w:rPr>
        <w:t>and 1.1413,</w:t>
      </w:r>
      <w:bookmarkStart w:id="5" w:name="_Hlk73521379"/>
      <w:r>
        <w:rPr>
          <w:szCs w:val="22"/>
        </w:rPr>
        <w:t xml:space="preserve"> </w:t>
      </w:r>
      <w:bookmarkStart w:id="6" w:name="_Hlk73607006"/>
      <w:r>
        <w:rPr>
          <w:szCs w:val="22"/>
        </w:rPr>
        <w:t xml:space="preserve">that </w:t>
      </w:r>
      <w:r w:rsidRPr="00811D42">
        <w:rPr>
          <w:szCs w:val="22"/>
        </w:rPr>
        <w:t>the Complaint is</w:t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GRANTED IN PART </w:t>
      </w:r>
      <w:r>
        <w:rPr>
          <w:szCs w:val="22"/>
        </w:rPr>
        <w:t xml:space="preserve">in accordance with the </w:t>
      </w:r>
      <w:r w:rsidR="00FA139B">
        <w:rPr>
          <w:i/>
          <w:iCs/>
          <w:szCs w:val="22"/>
        </w:rPr>
        <w:t xml:space="preserve">Bureau Order </w:t>
      </w:r>
      <w:r>
        <w:rPr>
          <w:szCs w:val="22"/>
        </w:rPr>
        <w:t>and</w:t>
      </w:r>
      <w:r w:rsidR="00FA139B">
        <w:rPr>
          <w:szCs w:val="22"/>
        </w:rPr>
        <w:t xml:space="preserve"> the</w:t>
      </w:r>
      <w:r>
        <w:rPr>
          <w:szCs w:val="22"/>
        </w:rPr>
        <w:t xml:space="preserve"> </w:t>
      </w:r>
      <w:r w:rsidRPr="00B535E3">
        <w:rPr>
          <w:i/>
          <w:iCs/>
          <w:szCs w:val="22"/>
        </w:rPr>
        <w:t>Second Bureau Order</w:t>
      </w:r>
      <w:r>
        <w:rPr>
          <w:szCs w:val="22"/>
        </w:rPr>
        <w:t xml:space="preserve"> and</w:t>
      </w:r>
      <w:r>
        <w:rPr>
          <w:b/>
          <w:bCs/>
          <w:szCs w:val="22"/>
        </w:rPr>
        <w:t xml:space="preserve"> DISMISSED WITHOUT PREJUDICE IN PART</w:t>
      </w:r>
      <w:r>
        <w:rPr>
          <w:szCs w:val="22"/>
        </w:rPr>
        <w:t xml:space="preserve"> in accordance with this </w:t>
      </w:r>
      <w:r w:rsidRPr="00B535E3">
        <w:rPr>
          <w:i/>
          <w:iCs/>
          <w:szCs w:val="22"/>
        </w:rPr>
        <w:t>Order</w:t>
      </w:r>
      <w:r w:rsidRPr="00B535E3">
        <w:rPr>
          <w:szCs w:val="22"/>
        </w:rPr>
        <w:t>,</w:t>
      </w:r>
      <w:r>
        <w:rPr>
          <w:b/>
          <w:bCs/>
          <w:szCs w:val="22"/>
        </w:rPr>
        <w:t xml:space="preserve"> </w:t>
      </w:r>
      <w:r w:rsidRPr="00AD0FA8">
        <w:rPr>
          <w:szCs w:val="22"/>
        </w:rPr>
        <w:t>and that</w:t>
      </w:r>
      <w:r>
        <w:rPr>
          <w:b/>
          <w:bCs/>
          <w:szCs w:val="22"/>
        </w:rPr>
        <w:t xml:space="preserve"> </w:t>
      </w:r>
      <w:r w:rsidRPr="00AD0FA8">
        <w:rPr>
          <w:szCs w:val="22"/>
        </w:rPr>
        <w:t xml:space="preserve">this proceeding </w:t>
      </w:r>
      <w:r w:rsidRPr="007F6BB0" w:rsidR="007F6BB0">
        <w:rPr>
          <w:b/>
          <w:bCs/>
          <w:szCs w:val="22"/>
        </w:rPr>
        <w:t>IS</w:t>
      </w:r>
      <w:r>
        <w:rPr>
          <w:b/>
          <w:bCs/>
          <w:szCs w:val="22"/>
        </w:rPr>
        <w:t xml:space="preserve"> TERMINATED</w:t>
      </w:r>
      <w:r w:rsidRPr="00811D42">
        <w:rPr>
          <w:szCs w:val="22"/>
        </w:rPr>
        <w:t>.</w:t>
      </w:r>
      <w:bookmarkEnd w:id="5"/>
      <w:bookmarkEnd w:id="6"/>
    </w:p>
    <w:p w:rsidR="00885A2B" w:rsidRPr="00811D42" w:rsidP="00885A2B" w14:paraId="202C4E00" w14:textId="77777777"/>
    <w:p w:rsidR="00885A2B" w:rsidP="00885A2B" w14:paraId="5EB9171C" w14:textId="77777777">
      <w:r>
        <w:t xml:space="preserve">                                          </w:t>
      </w:r>
      <w:r>
        <w:tab/>
      </w:r>
      <w:r>
        <w:tab/>
      </w:r>
      <w:r>
        <w:tab/>
      </w:r>
      <w:r w:rsidRPr="00811D42">
        <w:t>FEDERAL COMMUNICATIONS COMMISSION</w:t>
      </w:r>
    </w:p>
    <w:p w:rsidR="00885A2B" w:rsidP="00885A2B" w14:paraId="7DB88774" w14:textId="77777777"/>
    <w:p w:rsidR="00885A2B" w:rsidP="00885A2B" w14:paraId="2B3157C4" w14:textId="77777777"/>
    <w:p w:rsidR="00885A2B" w:rsidP="00885A2B" w14:paraId="1F00BFF7" w14:textId="5BCDFBCE"/>
    <w:p w:rsidR="007E01CA" w:rsidP="00885A2B" w14:paraId="0841E715" w14:textId="77777777"/>
    <w:p w:rsidR="00885A2B" w:rsidRPr="00811D42" w:rsidP="00885A2B" w14:paraId="7AD11E53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D42">
        <w:t>Rosemary C. Harold</w:t>
      </w:r>
    </w:p>
    <w:p w:rsidR="00885A2B" w:rsidRPr="00811D42" w:rsidP="00885A2B" w14:paraId="43854DD0" w14:textId="77777777">
      <w:r w:rsidRPr="00811D42">
        <w:t xml:space="preserve">                                                              </w:t>
      </w:r>
      <w:r>
        <w:tab/>
      </w:r>
      <w:r>
        <w:tab/>
      </w:r>
      <w:r w:rsidRPr="00811D42">
        <w:t>Chief</w:t>
      </w:r>
    </w:p>
    <w:p w:rsidR="00412FC5" w:rsidP="00885A2B" w14:paraId="02979920" w14:textId="752A995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D42">
        <w:t>Enforcement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326E8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6BBDF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0AA5B5E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1240027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156C48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66F85" w14:paraId="199CCE04" w14:textId="77777777">
      <w:r>
        <w:separator/>
      </w:r>
    </w:p>
  </w:footnote>
  <w:footnote w:type="continuationSeparator" w:id="1">
    <w:p w:rsidR="00866F85" w:rsidP="00C721AC" w14:paraId="7CBFBC4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66F85" w:rsidP="00C721AC" w14:paraId="253882E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85A2B" w:rsidP="00885A2B" w14:paraId="63D341A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E67">
        <w:rPr>
          <w:i/>
          <w:iCs/>
        </w:rPr>
        <w:t>See</w:t>
      </w:r>
      <w:r>
        <w:t xml:space="preserve"> Pole Attachment Complaint, Proceeding No. 19-187 (filed July 1, 2019); Amended Pole Attachment Complaint, Proceeding No. 19-187 (filed July 12, 2019) (Complaint).        </w:t>
      </w:r>
    </w:p>
  </w:footnote>
  <w:footnote w:id="4">
    <w:p w:rsidR="00885A2B" w:rsidP="00885A2B" w14:paraId="3A8AB627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</w:t>
      </w:r>
      <w:r w:rsidRPr="1D1DEB0C">
        <w:t>§</w:t>
      </w:r>
      <w:r>
        <w:t xml:space="preserve"> 224.  Section 224(b)(1) requires the Commission to “regulate the rates, terms, and conditions for pole attachments to provide that such rates, terms, and conditions are just and reasonable…”  </w:t>
      </w:r>
      <w:r w:rsidRPr="00DE726B">
        <w:rPr>
          <w:i/>
          <w:iCs/>
        </w:rPr>
        <w:t>Id.</w:t>
      </w:r>
      <w:r>
        <w:t xml:space="preserve">  </w:t>
      </w:r>
      <w:r w:rsidRPr="00125598">
        <w:rPr>
          <w:i/>
          <w:iCs/>
        </w:rPr>
        <w:t>See</w:t>
      </w:r>
      <w:r>
        <w:t xml:space="preserve"> Complaint at 12-18, paras. 20-28 (arguing that AT&amp;T is entitled to a lower rate under </w:t>
      </w:r>
      <w:r w:rsidRPr="00346095">
        <w:rPr>
          <w:i/>
          <w:iCs/>
        </w:rPr>
        <w:t>Implementation of Section 224 of the Act</w:t>
      </w:r>
      <w:r w:rsidRPr="00346095">
        <w:t>, Report and Order, 26 FCC Rcd 5240 (2011) (</w:t>
      </w:r>
      <w:r w:rsidRPr="00125598">
        <w:rPr>
          <w:i/>
          <w:iCs/>
        </w:rPr>
        <w:t>2011</w:t>
      </w:r>
      <w:r>
        <w:t xml:space="preserve"> </w:t>
      </w:r>
      <w:r w:rsidRPr="00346095">
        <w:rPr>
          <w:i/>
          <w:iCs/>
        </w:rPr>
        <w:t>Pole Attachment Order</w:t>
      </w:r>
      <w:r w:rsidRPr="00346095">
        <w:t xml:space="preserve">), </w:t>
      </w:r>
      <w:r w:rsidRPr="00346095">
        <w:rPr>
          <w:i/>
          <w:iCs/>
        </w:rPr>
        <w:t>aff’d, Am. Elec. Power Serv. Corp. v. FCC</w:t>
      </w:r>
      <w:r w:rsidRPr="00346095">
        <w:t xml:space="preserve">, 708 F.3d 1183 (D.C. Cir. 2013), </w:t>
      </w:r>
      <w:r w:rsidRPr="00346095">
        <w:rPr>
          <w:i/>
          <w:iCs/>
        </w:rPr>
        <w:t>cert. denied</w:t>
      </w:r>
      <w:r w:rsidRPr="00346095">
        <w:t>, 571 U.S. 940 (2013)</w:t>
      </w:r>
      <w:r>
        <w:t xml:space="preserve">), and 5-8, paras. 11-13 (arguing that AT&amp;T is entitled to a lower rate under </w:t>
      </w:r>
      <w:r w:rsidRPr="007D2228">
        <w:rPr>
          <w:i/>
          <w:iCs/>
        </w:rPr>
        <w:t>Accelerating Wireline Broadband Deployment by Removing Barriers to Infrastructure Development</w:t>
      </w:r>
      <w:r w:rsidRPr="00166E4F">
        <w:t>,</w:t>
      </w:r>
      <w:r w:rsidRPr="007D2228">
        <w:rPr>
          <w:i/>
          <w:iCs/>
        </w:rPr>
        <w:t xml:space="preserve"> </w:t>
      </w:r>
      <w:r w:rsidRPr="00FD3DDB">
        <w:t>Third Report and Order</w:t>
      </w:r>
      <w:r>
        <w:t>, 33 FCC Rcd 7705 (2018) (</w:t>
      </w:r>
      <w:r w:rsidRPr="005721BE">
        <w:rPr>
          <w:i/>
          <w:iCs/>
        </w:rPr>
        <w:t>2018 Pole Attachment Order</w:t>
      </w:r>
      <w:r>
        <w:t>)).</w:t>
      </w:r>
    </w:p>
  </w:footnote>
  <w:footnote w:id="5">
    <w:p w:rsidR="00885A2B" w:rsidP="00885A2B" w14:paraId="767AD420" w14:textId="0A6A05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4B84">
        <w:rPr>
          <w:i/>
          <w:iCs/>
        </w:rPr>
        <w:t>See</w:t>
      </w:r>
      <w:r>
        <w:t xml:space="preserve"> </w:t>
      </w:r>
      <w:r w:rsidRPr="006F5B49">
        <w:rPr>
          <w:i/>
          <w:iCs/>
        </w:rPr>
        <w:t>BellSouth Telecommunications, LLC v. Florida Power &amp; Light</w:t>
      </w:r>
      <w:r>
        <w:rPr>
          <w:i/>
          <w:iCs/>
        </w:rPr>
        <w:t xml:space="preserve"> Co.</w:t>
      </w:r>
      <w:r>
        <w:t>, Memorandum Opinion and Order, 35 FCC Rcd 5321 (</w:t>
      </w:r>
      <w:r w:rsidR="00D65EC4">
        <w:t>EB</w:t>
      </w:r>
      <w:r>
        <w:t xml:space="preserve"> 2020) (</w:t>
      </w:r>
      <w:r w:rsidRPr="00FA469F">
        <w:rPr>
          <w:i/>
          <w:iCs/>
        </w:rPr>
        <w:t>Bureau Order</w:t>
      </w:r>
      <w:r>
        <w:t xml:space="preserve">) (finding AT&amp;T’s JUA rate to be excessive under the guidance provided in the </w:t>
      </w:r>
      <w:r w:rsidRPr="004E56AA">
        <w:rPr>
          <w:i/>
          <w:iCs/>
        </w:rPr>
        <w:t>2011 Pole Attachment Order</w:t>
      </w:r>
      <w:r>
        <w:t xml:space="preserve">); </w:t>
      </w:r>
      <w:r w:rsidRPr="006F5B49">
        <w:rPr>
          <w:i/>
          <w:iCs/>
        </w:rPr>
        <w:t>BellSouth Telecommunications, LLC v. Florida Power &amp; Light</w:t>
      </w:r>
      <w:r>
        <w:rPr>
          <w:i/>
          <w:iCs/>
        </w:rPr>
        <w:t xml:space="preserve"> Co.</w:t>
      </w:r>
      <w:r>
        <w:t>, Memorandum Opinion and Order, 36 FCC Rcd 253 (</w:t>
      </w:r>
      <w:r w:rsidR="00D65EC4">
        <w:t>EB</w:t>
      </w:r>
      <w:r>
        <w:t xml:space="preserve"> 2021) (</w:t>
      </w:r>
      <w:r w:rsidRPr="000F7490">
        <w:rPr>
          <w:i/>
          <w:iCs/>
        </w:rPr>
        <w:t>Second</w:t>
      </w:r>
      <w:r>
        <w:t xml:space="preserve"> </w:t>
      </w:r>
      <w:r w:rsidRPr="006B4476">
        <w:rPr>
          <w:i/>
          <w:iCs/>
        </w:rPr>
        <w:t>Bureau Order</w:t>
      </w:r>
      <w:r>
        <w:t xml:space="preserve">) (resolving the parties’ disputes as to the proper calculation of AT&amp;T’s rate under our finding in the </w:t>
      </w:r>
      <w:r w:rsidRPr="009C138C">
        <w:rPr>
          <w:i/>
          <w:iCs/>
        </w:rPr>
        <w:t>Bureau</w:t>
      </w:r>
      <w:r>
        <w:t xml:space="preserve"> </w:t>
      </w:r>
      <w:r w:rsidRPr="009C138C">
        <w:rPr>
          <w:i/>
          <w:iCs/>
        </w:rPr>
        <w:t>Order</w:t>
      </w:r>
      <w:r>
        <w:t xml:space="preserve"> and finding that AT&amp;T is entitled to a refund of any overpayments for the period July 1, 2014 to December 31, 2018).</w:t>
      </w:r>
    </w:p>
  </w:footnote>
  <w:footnote w:id="6">
    <w:p w:rsidR="00885A2B" w:rsidP="00885A2B" w14:paraId="6128C749" w14:textId="420D8A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23AB">
        <w:rPr>
          <w:i/>
          <w:iCs/>
        </w:rPr>
        <w:t>See</w:t>
      </w:r>
      <w:r>
        <w:t xml:space="preserve"> Amended Answer, Proceeding No. 19-187 (filed Mar. 6, 2020) at </w:t>
      </w:r>
      <w:r w:rsidRPr="0009546B">
        <w:rPr>
          <w:i/>
          <w:iCs/>
        </w:rPr>
        <w:t>e.g.</w:t>
      </w:r>
      <w:r>
        <w:t xml:space="preserve">, 38-39 (Affirm. Def. M).  </w:t>
      </w:r>
      <w:r w:rsidRPr="00A423AB">
        <w:rPr>
          <w:i/>
          <w:iCs/>
        </w:rPr>
        <w:t>See also</w:t>
      </w:r>
      <w:r>
        <w:t xml:space="preserve"> Complaint Ex</w:t>
      </w:r>
      <w:r w:rsidR="002302F5">
        <w:t>h</w:t>
      </w:r>
      <w:r>
        <w:t>. 1 (JUA) at 12.3 (Payment Default Clause) and Ex</w:t>
      </w:r>
      <w:r w:rsidR="007C705B">
        <w:t>h</w:t>
      </w:r>
      <w:r>
        <w:t xml:space="preserve"> 23 (Notice of Termination); </w:t>
      </w:r>
      <w:r w:rsidRPr="00042921">
        <w:rPr>
          <w:i/>
          <w:iCs/>
        </w:rPr>
        <w:t>2018</w:t>
      </w:r>
      <w:r>
        <w:rPr>
          <w:i/>
          <w:iCs/>
        </w:rPr>
        <w:t xml:space="preserve"> Pole </w:t>
      </w:r>
      <w:r w:rsidRPr="00042921">
        <w:rPr>
          <w:i/>
          <w:iCs/>
        </w:rPr>
        <w:t>Attachment Order</w:t>
      </w:r>
      <w:r>
        <w:t xml:space="preserve">, 33 FCC Rcd at 7769, para. 126 (2018). </w:t>
      </w:r>
    </w:p>
  </w:footnote>
  <w:footnote w:id="7">
    <w:p w:rsidR="00885A2B" w:rsidP="00885A2B" w14:paraId="74721881" w14:textId="24EA8D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1978">
        <w:rPr>
          <w:i/>
          <w:iCs/>
        </w:rPr>
        <w:t xml:space="preserve">See </w:t>
      </w:r>
      <w:r>
        <w:rPr>
          <w:i/>
          <w:iCs/>
        </w:rPr>
        <w:t>Bureau Order</w:t>
      </w:r>
      <w:r w:rsidRPr="00613CB9">
        <w:t>, 35 FCC Rcd at 5323, para. 9 &amp; n.29 (</w:t>
      </w:r>
      <w:r>
        <w:t xml:space="preserve">citing </w:t>
      </w:r>
      <w:r w:rsidRPr="006F5B49">
        <w:rPr>
          <w:i/>
          <w:iCs/>
        </w:rPr>
        <w:t>Florida Power &amp; Light</w:t>
      </w:r>
      <w:r>
        <w:rPr>
          <w:i/>
          <w:iCs/>
        </w:rPr>
        <w:t xml:space="preserve"> Co. v. </w:t>
      </w:r>
      <w:r w:rsidRPr="006F5B49">
        <w:rPr>
          <w:i/>
          <w:iCs/>
        </w:rPr>
        <w:t>Bel</w:t>
      </w:r>
      <w:bookmarkStart w:id="1" w:name="_Hlk80016448"/>
      <w:r w:rsidRPr="006F5B49">
        <w:rPr>
          <w:i/>
          <w:iCs/>
        </w:rPr>
        <w:t>lSouth Telecommunications, LLC</w:t>
      </w:r>
      <w:r w:rsidRPr="00613CB9">
        <w:t>,</w:t>
      </w:r>
      <w:bookmarkEnd w:id="1"/>
      <w:r w:rsidRPr="00613CB9">
        <w:t xml:space="preserve"> No. 9:19-cv-81043-RLR (S.D. Fla. 2019)</w:t>
      </w:r>
      <w:r>
        <w:t xml:space="preserve">).  The district court </w:t>
      </w:r>
      <w:r w:rsidRPr="006D7F74">
        <w:t>has stayed</w:t>
      </w:r>
      <w:r>
        <w:t xml:space="preserve"> the proceeding under the doctrine of primary jurisdiction.  </w:t>
      </w:r>
      <w:r w:rsidRPr="007D1D2C">
        <w:rPr>
          <w:i/>
          <w:iCs/>
        </w:rPr>
        <w:t>See</w:t>
      </w:r>
      <w:r>
        <w:t xml:space="preserve"> </w:t>
      </w:r>
      <w:r>
        <w:rPr>
          <w:i/>
          <w:iCs/>
        </w:rPr>
        <w:t>i</w:t>
      </w:r>
      <w:r w:rsidRPr="00D562DE">
        <w:rPr>
          <w:i/>
          <w:iCs/>
        </w:rPr>
        <w:t>d.</w:t>
      </w:r>
      <w:r>
        <w:t xml:space="preserve"> at para. 9.  AT&amp;T admits that the Notice of Termination ended its right to attach to new FPL JUA poles.  </w:t>
      </w:r>
      <w:r w:rsidRPr="00713D1C">
        <w:rPr>
          <w:i/>
          <w:iCs/>
        </w:rPr>
        <w:t>See</w:t>
      </w:r>
      <w:r>
        <w:rPr>
          <w:i/>
          <w:iCs/>
        </w:rPr>
        <w:t xml:space="preserve"> Bureau Order </w:t>
      </w:r>
      <w:r>
        <w:t xml:space="preserve">at 5326, para. 10 n.32. </w:t>
      </w:r>
    </w:p>
  </w:footnote>
  <w:footnote w:id="8">
    <w:p w:rsidR="00885A2B" w:rsidP="00885A2B" w14:paraId="5822F6A9" w14:textId="667F7A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108">
        <w:rPr>
          <w:i/>
          <w:iCs/>
        </w:rPr>
        <w:t xml:space="preserve">See </w:t>
      </w:r>
      <w:r>
        <w:rPr>
          <w:i/>
          <w:iCs/>
        </w:rPr>
        <w:t>Bureau Order</w:t>
      </w:r>
      <w:r>
        <w:t xml:space="preserve"> at 5326, para. 10 n.32.  </w:t>
      </w:r>
    </w:p>
  </w:footnote>
  <w:footnote w:id="9">
    <w:p w:rsidR="00885A2B" w:rsidP="00885A2B" w14:paraId="505D9D8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1E01">
        <w:rPr>
          <w:i/>
          <w:iCs/>
        </w:rPr>
        <w:t>See</w:t>
      </w:r>
      <w:r>
        <w:t xml:space="preserve"> </w:t>
      </w:r>
      <w:r w:rsidRPr="1D1DEB0C">
        <w:t>Pole Attachment Complaint, Proceeding No. 20-214 (filed July 6, 2020) at 32</w:t>
      </w:r>
      <w:r>
        <w:t>-33</w:t>
      </w:r>
      <w:r w:rsidRPr="1D1DEB0C">
        <w:t>, para</w:t>
      </w:r>
      <w:r>
        <w:t>s</w:t>
      </w:r>
      <w:r w:rsidRPr="1D1DEB0C">
        <w:t>. 58</w:t>
      </w:r>
      <w:r>
        <w:t>-59</w:t>
      </w:r>
      <w:r w:rsidRPr="1D1DEB0C">
        <w:t>.</w:t>
      </w:r>
      <w:r>
        <w:t xml:space="preserve">  </w:t>
      </w:r>
    </w:p>
  </w:footnote>
  <w:footnote w:id="10">
    <w:p w:rsidR="00885A2B" w:rsidP="00885A2B" w14:paraId="3270AEEA" w14:textId="6DED93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80016299"/>
      <w:r w:rsidRPr="00166E4F">
        <w:rPr>
          <w:i/>
          <w:iCs/>
        </w:rPr>
        <w:t>See</w:t>
      </w:r>
      <w:r>
        <w:t xml:space="preserve"> </w:t>
      </w:r>
      <w:r w:rsidR="003C2F99">
        <w:rPr>
          <w:i/>
          <w:iCs/>
        </w:rPr>
        <w:t>AT&amp;T Florida</w:t>
      </w:r>
      <w:r w:rsidRPr="006F5B49">
        <w:rPr>
          <w:i/>
          <w:iCs/>
        </w:rPr>
        <w:t xml:space="preserve"> v. Florida Power &amp; Light</w:t>
      </w:r>
      <w:r>
        <w:rPr>
          <w:i/>
          <w:iCs/>
        </w:rPr>
        <w:t xml:space="preserve"> Co.</w:t>
      </w:r>
      <w:r>
        <w:t xml:space="preserve">, </w:t>
      </w:r>
      <w:r w:rsidR="00D76192">
        <w:t>EB Docket No. 20-214</w:t>
      </w:r>
      <w:r w:rsidR="00D76192">
        <w:t xml:space="preserve">, </w:t>
      </w:r>
      <w:r>
        <w:t>Memorandum Opinion and Order,</w:t>
      </w:r>
      <w:r w:rsidR="00D76192">
        <w:t xml:space="preserve"> DA</w:t>
      </w:r>
      <w:r w:rsidR="00D65EC4">
        <w:t xml:space="preserve"> 21-1002</w:t>
      </w:r>
      <w:r>
        <w:t xml:space="preserve"> (E</w:t>
      </w:r>
      <w:r w:rsidR="00D76192">
        <w:t>B</w:t>
      </w:r>
      <w:r>
        <w:t xml:space="preserve">  </w:t>
      </w:r>
      <w:r w:rsidR="00D76192">
        <w:t>Aug. 16</w:t>
      </w:r>
      <w:r>
        <w:t>, 2021) (finding AT&amp;T’s claim that the Payment Default Clause and the Notice of Termination are unjust and unreasonable violates the Commission’s procedural rules).</w:t>
      </w:r>
      <w:bookmarkEnd w:id="2"/>
    </w:p>
  </w:footnote>
  <w:footnote w:id="11">
    <w:p w:rsidR="00885A2B" w:rsidP="00885A2B" w14:paraId="27F3184F" w14:textId="2A27F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AC3">
        <w:rPr>
          <w:i/>
          <w:iCs/>
        </w:rPr>
        <w:t>See</w:t>
      </w:r>
      <w:r>
        <w:t xml:space="preserve"> 47 U.S.C. </w:t>
      </w:r>
      <w:r w:rsidRPr="1D1DEB0C">
        <w:t>§§</w:t>
      </w:r>
      <w:r>
        <w:t xml:space="preserve"> 155, 405; 47 CFR </w:t>
      </w:r>
      <w:r w:rsidRPr="1D1DEB0C">
        <w:t>§§</w:t>
      </w:r>
      <w:r>
        <w:t xml:space="preserve"> 1.104, 1.106, 1.115.</w:t>
      </w:r>
      <w:r w:rsidRPr="00C36FE0">
        <w:rPr>
          <w:i/>
          <w:iCs/>
        </w:rPr>
        <w:t xml:space="preserve">  Cf</w:t>
      </w:r>
      <w:r>
        <w:t>., Letter</w:t>
      </w:r>
      <w:r w:rsidR="005C2049">
        <w:t>-r</w:t>
      </w:r>
      <w:r w:rsidR="007C705B">
        <w:t xml:space="preserve">ulings </w:t>
      </w:r>
      <w:r w:rsidR="00CF348C">
        <w:t>fr</w:t>
      </w:r>
      <w:r>
        <w:t>om Rosemary McEnery, FCC, to Chris Huther, Claire Evans and Frank Scaduto, counsel to AT&amp;T, and Charles Zdbeski and Robert Gastner, counsel to FPL, Proceeding No. 19-187 (dated June 5, 2020) (</w:t>
      </w:r>
      <w:r w:rsidRPr="00CF65A7">
        <w:rPr>
          <w:i/>
          <w:iCs/>
        </w:rPr>
        <w:t>Bureau Order</w:t>
      </w:r>
      <w:r w:rsidRPr="00CF65A7">
        <w:t xml:space="preserve"> is “not immediately reviewable” for purposes of 47 CFR § 1.115)</w:t>
      </w:r>
      <w:r>
        <w:t xml:space="preserve"> and Lisa Griffin, FCC, to counsel to AT&amp;T and FPL, Proceeding No. 19-187 (dated Feb. 3, 2021) (</w:t>
      </w:r>
      <w:r w:rsidRPr="006F6BA9">
        <w:rPr>
          <w:i/>
          <w:iCs/>
        </w:rPr>
        <w:t>Second</w:t>
      </w:r>
      <w:r w:rsidRPr="00CF65A7">
        <w:t xml:space="preserve"> </w:t>
      </w:r>
      <w:r w:rsidRPr="00CF65A7">
        <w:rPr>
          <w:i/>
          <w:iCs/>
        </w:rPr>
        <w:t>Bureau Order</w:t>
      </w:r>
      <w:r w:rsidRPr="00CF65A7">
        <w:t xml:space="preserve"> “not immediately reviewable” for purposes of 47 CFR § 1.115</w:t>
      </w:r>
      <w:r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B471FBE" w14:textId="6F34995B">
    <w:pPr>
      <w:pStyle w:val="Header"/>
      <w:rPr>
        <w:b w:val="0"/>
      </w:rPr>
    </w:pPr>
    <w:r>
      <w:tab/>
      <w:t>Federal Communications Commission</w:t>
    </w:r>
    <w:r>
      <w:tab/>
    </w:r>
    <w:r w:rsidR="005C2049">
      <w:t>DA-</w:t>
    </w:r>
    <w:r w:rsidR="007E01CA">
      <w:t>21</w:t>
    </w:r>
    <w:r w:rsidR="006B1081">
      <w:t>-</w:t>
    </w:r>
    <w:r w:rsidR="007E01CA">
      <w:t>1004</w:t>
    </w:r>
  </w:p>
  <w:p w:rsidR="00D25FB5" w14:paraId="02999C16" w14:textId="4A24450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5A05A639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97C7476" w14:textId="6EBEB795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BA33C2">
      <w:t>DA-</w:t>
    </w:r>
    <w:r w:rsidR="007E01CA">
      <w:t>21</w:t>
    </w:r>
    <w:r w:rsidR="00BA33C2">
      <w:t>-</w:t>
    </w:r>
    <w:r w:rsidR="007E01CA">
      <w:t>1004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9"/>
    <w:rsid w:val="00021978"/>
    <w:rsid w:val="00036039"/>
    <w:rsid w:val="00037F90"/>
    <w:rsid w:val="00042921"/>
    <w:rsid w:val="000875BF"/>
    <w:rsid w:val="0009546B"/>
    <w:rsid w:val="00096D8C"/>
    <w:rsid w:val="000C0B65"/>
    <w:rsid w:val="000C1D45"/>
    <w:rsid w:val="000E05FE"/>
    <w:rsid w:val="000E3D42"/>
    <w:rsid w:val="000F331C"/>
    <w:rsid w:val="000F7490"/>
    <w:rsid w:val="00122BD5"/>
    <w:rsid w:val="00125598"/>
    <w:rsid w:val="00133F79"/>
    <w:rsid w:val="00166E4F"/>
    <w:rsid w:val="00194A66"/>
    <w:rsid w:val="001D6BCF"/>
    <w:rsid w:val="001E01CA"/>
    <w:rsid w:val="002302F5"/>
    <w:rsid w:val="00275CF5"/>
    <w:rsid w:val="0028301F"/>
    <w:rsid w:val="00285017"/>
    <w:rsid w:val="002A2D2E"/>
    <w:rsid w:val="002B2129"/>
    <w:rsid w:val="002C00E8"/>
    <w:rsid w:val="00343749"/>
    <w:rsid w:val="003457D5"/>
    <w:rsid w:val="00346095"/>
    <w:rsid w:val="003660ED"/>
    <w:rsid w:val="003B0550"/>
    <w:rsid w:val="003B694F"/>
    <w:rsid w:val="003C2F99"/>
    <w:rsid w:val="003C65CA"/>
    <w:rsid w:val="003F171C"/>
    <w:rsid w:val="00412FC5"/>
    <w:rsid w:val="00422276"/>
    <w:rsid w:val="004242F1"/>
    <w:rsid w:val="00432E2D"/>
    <w:rsid w:val="00445A00"/>
    <w:rsid w:val="00451B0F"/>
    <w:rsid w:val="00477AC3"/>
    <w:rsid w:val="004836A9"/>
    <w:rsid w:val="004C2EE3"/>
    <w:rsid w:val="004E4A22"/>
    <w:rsid w:val="004E56AA"/>
    <w:rsid w:val="00504415"/>
    <w:rsid w:val="00511968"/>
    <w:rsid w:val="0055614C"/>
    <w:rsid w:val="00566D06"/>
    <w:rsid w:val="005721BE"/>
    <w:rsid w:val="005A34C7"/>
    <w:rsid w:val="005C2049"/>
    <w:rsid w:val="005E14C2"/>
    <w:rsid w:val="00607BA5"/>
    <w:rsid w:val="0061180A"/>
    <w:rsid w:val="00613CB9"/>
    <w:rsid w:val="00626EB6"/>
    <w:rsid w:val="00631E43"/>
    <w:rsid w:val="00655D03"/>
    <w:rsid w:val="00683388"/>
    <w:rsid w:val="00683F84"/>
    <w:rsid w:val="006A6A81"/>
    <w:rsid w:val="006B1081"/>
    <w:rsid w:val="006B4476"/>
    <w:rsid w:val="006C2E67"/>
    <w:rsid w:val="006D7F74"/>
    <w:rsid w:val="006E0127"/>
    <w:rsid w:val="006F5B49"/>
    <w:rsid w:val="006F6BA9"/>
    <w:rsid w:val="006F7393"/>
    <w:rsid w:val="0070224F"/>
    <w:rsid w:val="007115F7"/>
    <w:rsid w:val="00713D1C"/>
    <w:rsid w:val="00785689"/>
    <w:rsid w:val="0079754B"/>
    <w:rsid w:val="007A1E6D"/>
    <w:rsid w:val="007B0EB2"/>
    <w:rsid w:val="007C705B"/>
    <w:rsid w:val="007D1D2C"/>
    <w:rsid w:val="007D2228"/>
    <w:rsid w:val="007E01CA"/>
    <w:rsid w:val="007F6BB0"/>
    <w:rsid w:val="00810B6F"/>
    <w:rsid w:val="00811D42"/>
    <w:rsid w:val="00822CE0"/>
    <w:rsid w:val="00826A92"/>
    <w:rsid w:val="00841AB1"/>
    <w:rsid w:val="00866F85"/>
    <w:rsid w:val="00880604"/>
    <w:rsid w:val="00885A2B"/>
    <w:rsid w:val="008C68F1"/>
    <w:rsid w:val="008F4108"/>
    <w:rsid w:val="00921803"/>
    <w:rsid w:val="00926503"/>
    <w:rsid w:val="009629CA"/>
    <w:rsid w:val="009726D8"/>
    <w:rsid w:val="00973BB3"/>
    <w:rsid w:val="009C138C"/>
    <w:rsid w:val="009D7308"/>
    <w:rsid w:val="009F76DB"/>
    <w:rsid w:val="00A26EB4"/>
    <w:rsid w:val="00A32C3B"/>
    <w:rsid w:val="00A423AB"/>
    <w:rsid w:val="00A45F4F"/>
    <w:rsid w:val="00A600A9"/>
    <w:rsid w:val="00AA55B7"/>
    <w:rsid w:val="00AA5B9E"/>
    <w:rsid w:val="00AB2407"/>
    <w:rsid w:val="00AB53DF"/>
    <w:rsid w:val="00AD0FA8"/>
    <w:rsid w:val="00AE4A4E"/>
    <w:rsid w:val="00AE4C53"/>
    <w:rsid w:val="00B07E5C"/>
    <w:rsid w:val="00B35BC7"/>
    <w:rsid w:val="00B535E3"/>
    <w:rsid w:val="00B811F7"/>
    <w:rsid w:val="00BA33C2"/>
    <w:rsid w:val="00BA5DC6"/>
    <w:rsid w:val="00BA6196"/>
    <w:rsid w:val="00BC6D8C"/>
    <w:rsid w:val="00C34006"/>
    <w:rsid w:val="00C36B4C"/>
    <w:rsid w:val="00C36FE0"/>
    <w:rsid w:val="00C426B1"/>
    <w:rsid w:val="00C66160"/>
    <w:rsid w:val="00C71E01"/>
    <w:rsid w:val="00C721AC"/>
    <w:rsid w:val="00C84B84"/>
    <w:rsid w:val="00C90D6A"/>
    <w:rsid w:val="00CA247E"/>
    <w:rsid w:val="00CA6D21"/>
    <w:rsid w:val="00CC72B6"/>
    <w:rsid w:val="00CE17FA"/>
    <w:rsid w:val="00CF348C"/>
    <w:rsid w:val="00CF65A7"/>
    <w:rsid w:val="00CF6BA8"/>
    <w:rsid w:val="00D0218D"/>
    <w:rsid w:val="00D25FB5"/>
    <w:rsid w:val="00D44223"/>
    <w:rsid w:val="00D562DE"/>
    <w:rsid w:val="00D65EC4"/>
    <w:rsid w:val="00D76192"/>
    <w:rsid w:val="00DA2529"/>
    <w:rsid w:val="00DB130A"/>
    <w:rsid w:val="00DB2EBB"/>
    <w:rsid w:val="00DC10A1"/>
    <w:rsid w:val="00DC655F"/>
    <w:rsid w:val="00DD0B59"/>
    <w:rsid w:val="00DD7EBD"/>
    <w:rsid w:val="00DE726B"/>
    <w:rsid w:val="00DF62B6"/>
    <w:rsid w:val="00E07225"/>
    <w:rsid w:val="00E27E4F"/>
    <w:rsid w:val="00E47A67"/>
    <w:rsid w:val="00E52E4E"/>
    <w:rsid w:val="00E5409F"/>
    <w:rsid w:val="00EE6488"/>
    <w:rsid w:val="00F021FA"/>
    <w:rsid w:val="00F62E97"/>
    <w:rsid w:val="00F64209"/>
    <w:rsid w:val="00F93BF5"/>
    <w:rsid w:val="00FA139B"/>
    <w:rsid w:val="00FA469F"/>
    <w:rsid w:val="00FD3DDB"/>
    <w:rsid w:val="1D1DEB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9FA6F5"/>
  <w15:chartTrackingRefBased/>
  <w15:docId w15:val="{361D24C8-4831-4CDA-A013-FCAF1CBD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52E4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52E4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52E4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52E4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52E4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52E4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52E4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52E4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52E4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52E4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52E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2E4E"/>
  </w:style>
  <w:style w:type="paragraph" w:customStyle="1" w:styleId="ParaNum">
    <w:name w:val="ParaNum"/>
    <w:basedOn w:val="Normal"/>
    <w:link w:val="ParaNumChar"/>
    <w:rsid w:val="00E52E4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E52E4E"/>
    <w:rPr>
      <w:sz w:val="20"/>
    </w:rPr>
  </w:style>
  <w:style w:type="character" w:styleId="EndnoteReference">
    <w:name w:val="endnote reference"/>
    <w:semiHidden/>
    <w:rsid w:val="00E52E4E"/>
    <w:rPr>
      <w:vertAlign w:val="superscript"/>
    </w:rPr>
  </w:style>
  <w:style w:type="paragraph" w:styleId="FootnoteText">
    <w:name w:val="footnote text"/>
    <w:link w:val="FootnoteTextChar"/>
    <w:rsid w:val="00E52E4E"/>
    <w:pPr>
      <w:spacing w:after="120"/>
    </w:pPr>
  </w:style>
  <w:style w:type="character" w:styleId="FootnoteReference">
    <w:name w:val="footnote reference"/>
    <w:rsid w:val="00E52E4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E52E4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52E4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52E4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52E4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52E4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52E4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52E4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52E4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52E4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52E4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52E4E"/>
  </w:style>
  <w:style w:type="paragraph" w:styleId="Header">
    <w:name w:val="header"/>
    <w:basedOn w:val="Normal"/>
    <w:autoRedefine/>
    <w:rsid w:val="00E52E4E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E52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E4E"/>
  </w:style>
  <w:style w:type="paragraph" w:styleId="BlockText">
    <w:name w:val="Block Text"/>
    <w:basedOn w:val="Normal"/>
    <w:rsid w:val="00E52E4E"/>
    <w:pPr>
      <w:spacing w:after="240"/>
      <w:ind w:left="1440" w:right="1440"/>
    </w:pPr>
  </w:style>
  <w:style w:type="paragraph" w:customStyle="1" w:styleId="Paratitle">
    <w:name w:val="Para title"/>
    <w:basedOn w:val="Normal"/>
    <w:rsid w:val="00E52E4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52E4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52E4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52E4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52E4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52E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52E4E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885A2B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885A2B"/>
  </w:style>
  <w:style w:type="paragraph" w:styleId="BalloonText">
    <w:name w:val="Balloon Text"/>
    <w:basedOn w:val="Normal"/>
    <w:link w:val="BalloonTextChar"/>
    <w:rsid w:val="007C7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705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