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C4392E" w:rsidP="00013A8B" w14:paraId="1E247713" w14:textId="0E307519">
      <w:pPr>
        <w:jc w:val="right"/>
        <w:rPr>
          <w:b/>
          <w:szCs w:val="22"/>
        </w:rPr>
      </w:pPr>
      <w:r w:rsidRPr="00C4392E">
        <w:rPr>
          <w:b/>
          <w:szCs w:val="22"/>
        </w:rPr>
        <w:t xml:space="preserve">DA </w:t>
      </w:r>
      <w:r w:rsidR="00B321D1">
        <w:rPr>
          <w:b/>
          <w:szCs w:val="22"/>
        </w:rPr>
        <w:t>2</w:t>
      </w:r>
      <w:r w:rsidR="00BE3159">
        <w:rPr>
          <w:b/>
          <w:szCs w:val="22"/>
        </w:rPr>
        <w:t>1</w:t>
      </w:r>
      <w:r w:rsidRPr="00C4392E">
        <w:rPr>
          <w:b/>
          <w:szCs w:val="22"/>
        </w:rPr>
        <w:t>-</w:t>
      </w:r>
      <w:r w:rsidR="00924C4A">
        <w:rPr>
          <w:b/>
          <w:szCs w:val="22"/>
        </w:rPr>
        <w:t>1007</w:t>
      </w:r>
    </w:p>
    <w:p w:rsidR="00013A8B" w:rsidRPr="00C4392E" w:rsidP="00013A8B" w14:paraId="77F8E81E" w14:textId="07B8EE34">
      <w:pPr>
        <w:spacing w:before="60"/>
        <w:jc w:val="right"/>
        <w:rPr>
          <w:b/>
          <w:szCs w:val="22"/>
        </w:rPr>
      </w:pPr>
      <w:r w:rsidRPr="00C4392E">
        <w:rPr>
          <w:b/>
          <w:szCs w:val="22"/>
        </w:rPr>
        <w:t xml:space="preserve">Released:  </w:t>
      </w:r>
      <w:r w:rsidR="005770ED">
        <w:rPr>
          <w:b/>
          <w:szCs w:val="22"/>
        </w:rPr>
        <w:t>August</w:t>
      </w:r>
      <w:r w:rsidRPr="00C4392E" w:rsidR="0049465E">
        <w:rPr>
          <w:b/>
          <w:szCs w:val="22"/>
        </w:rPr>
        <w:t xml:space="preserve"> </w:t>
      </w:r>
      <w:r w:rsidR="00BE3159">
        <w:rPr>
          <w:b/>
          <w:szCs w:val="22"/>
        </w:rPr>
        <w:t>17</w:t>
      </w:r>
      <w:r w:rsidRPr="00C4392E" w:rsidR="0049465E">
        <w:rPr>
          <w:b/>
          <w:szCs w:val="22"/>
        </w:rPr>
        <w:t>, 20</w:t>
      </w:r>
      <w:r w:rsidR="00B321D1">
        <w:rPr>
          <w:b/>
          <w:szCs w:val="22"/>
        </w:rPr>
        <w:t>2</w:t>
      </w:r>
      <w:r w:rsidR="00BE3159">
        <w:rPr>
          <w:b/>
          <w:szCs w:val="22"/>
        </w:rPr>
        <w:t>1</w:t>
      </w:r>
    </w:p>
    <w:p w:rsidR="00013A8B" w:rsidRPr="00C4392E" w:rsidP="00013A8B" w14:paraId="22EDCD66" w14:textId="77777777">
      <w:pPr>
        <w:jc w:val="right"/>
        <w:rPr>
          <w:szCs w:val="22"/>
        </w:rPr>
      </w:pPr>
    </w:p>
    <w:p w:rsidR="00013A8B" w:rsidRPr="00C4392E" w:rsidP="00013A8B" w14:paraId="17ED7755" w14:textId="43234C39">
      <w:pPr>
        <w:spacing w:after="240"/>
        <w:jc w:val="center"/>
        <w:rPr>
          <w:b/>
          <w:caps/>
          <w:szCs w:val="22"/>
        </w:rPr>
      </w:pPr>
      <w:r>
        <w:rPr>
          <w:b/>
          <w:caps/>
          <w:szCs w:val="22"/>
        </w:rPr>
        <w:t>PUBLIC SAFETY AND HOMELAND SECURITY</w:t>
      </w:r>
      <w:r w:rsidRPr="00C4392E" w:rsidR="00872447">
        <w:rPr>
          <w:b/>
          <w:caps/>
          <w:szCs w:val="22"/>
        </w:rPr>
        <w:t xml:space="preserve"> Bureau Announces the Effective Date </w:t>
      </w:r>
      <w:r w:rsidR="0075142A">
        <w:rPr>
          <w:b/>
          <w:caps/>
          <w:szCs w:val="22"/>
        </w:rPr>
        <w:t>OF</w:t>
      </w:r>
      <w:r w:rsidRPr="00C4392E" w:rsidR="00872447">
        <w:rPr>
          <w:b/>
          <w:caps/>
          <w:szCs w:val="22"/>
        </w:rPr>
        <w:t xml:space="preserve"> </w:t>
      </w:r>
      <w:r w:rsidR="00EB737A">
        <w:rPr>
          <w:b/>
          <w:caps/>
          <w:szCs w:val="22"/>
        </w:rPr>
        <w:t xml:space="preserve">rules adopted pursuant to </w:t>
      </w:r>
      <w:r w:rsidRPr="00C4392E" w:rsidR="00872447">
        <w:rPr>
          <w:b/>
          <w:caps/>
          <w:szCs w:val="22"/>
        </w:rPr>
        <w:t xml:space="preserve">the </w:t>
      </w:r>
      <w:r w:rsidR="00A80790">
        <w:rPr>
          <w:b/>
          <w:caps/>
          <w:szCs w:val="22"/>
        </w:rPr>
        <w:t xml:space="preserve">911 </w:t>
      </w:r>
      <w:r w:rsidR="00BE3159">
        <w:rPr>
          <w:b/>
          <w:caps/>
          <w:szCs w:val="22"/>
        </w:rPr>
        <w:t xml:space="preserve">FEE DIVERSION </w:t>
      </w:r>
      <w:r w:rsidRPr="00C4392E" w:rsidR="00872447">
        <w:rPr>
          <w:b/>
          <w:caps/>
          <w:szCs w:val="22"/>
        </w:rPr>
        <w:t xml:space="preserve">Report and ORder </w:t>
      </w:r>
    </w:p>
    <w:p w:rsidR="00013A8B" w:rsidRPr="00C4392E" w:rsidP="00013A8B" w14:paraId="0C07B0FA" w14:textId="70B57D60">
      <w:pPr>
        <w:jc w:val="center"/>
        <w:rPr>
          <w:b/>
          <w:szCs w:val="22"/>
        </w:rPr>
      </w:pPr>
      <w:r>
        <w:rPr>
          <w:b/>
          <w:szCs w:val="22"/>
        </w:rPr>
        <w:t>PS</w:t>
      </w:r>
      <w:r w:rsidRPr="00C4392E" w:rsidR="00872447">
        <w:rPr>
          <w:b/>
          <w:szCs w:val="22"/>
        </w:rPr>
        <w:t xml:space="preserve"> Docket No</w:t>
      </w:r>
      <w:r w:rsidR="00BE3159">
        <w:rPr>
          <w:b/>
          <w:szCs w:val="22"/>
        </w:rPr>
        <w:t>s</w:t>
      </w:r>
      <w:r w:rsidRPr="00C4392E" w:rsidR="00872447">
        <w:rPr>
          <w:b/>
          <w:szCs w:val="22"/>
        </w:rPr>
        <w:t xml:space="preserve">. </w:t>
      </w:r>
      <w:r w:rsidR="00BE3159">
        <w:rPr>
          <w:b/>
          <w:szCs w:val="22"/>
        </w:rPr>
        <w:t>20-291 and 09-14</w:t>
      </w:r>
    </w:p>
    <w:p w:rsidR="00C4392E" w:rsidRPr="009F6AD6" w:rsidP="0049465E" w14:paraId="1A87E9AB" w14:textId="77777777">
      <w:pPr>
        <w:rPr>
          <w:szCs w:val="22"/>
        </w:rPr>
      </w:pPr>
    </w:p>
    <w:p w:rsidR="00EA17B1" w:rsidRPr="009F6AD6" w:rsidP="00EA17B1" w14:paraId="6B1C063B" w14:textId="2E4C6376">
      <w:pPr>
        <w:spacing w:after="120"/>
        <w:ind w:firstLine="810"/>
        <w:rPr>
          <w:szCs w:val="22"/>
        </w:rPr>
      </w:pPr>
      <w:r w:rsidRPr="009F6AD6">
        <w:rPr>
          <w:szCs w:val="22"/>
        </w:rPr>
        <w:t xml:space="preserve">On </w:t>
      </w:r>
      <w:r w:rsidR="00BE3159">
        <w:rPr>
          <w:szCs w:val="22"/>
        </w:rPr>
        <w:t>June 25</w:t>
      </w:r>
      <w:r w:rsidR="005770ED">
        <w:rPr>
          <w:szCs w:val="22"/>
        </w:rPr>
        <w:t>, 202</w:t>
      </w:r>
      <w:r w:rsidR="00BE3159">
        <w:rPr>
          <w:szCs w:val="22"/>
        </w:rPr>
        <w:t>1</w:t>
      </w:r>
      <w:r w:rsidRPr="009F6AD6">
        <w:rPr>
          <w:szCs w:val="22"/>
        </w:rPr>
        <w:t xml:space="preserve">, the Federal Communications Commission (Commission) released a Report and Order </w:t>
      </w:r>
      <w:r w:rsidR="009F6AD6">
        <w:rPr>
          <w:szCs w:val="22"/>
        </w:rPr>
        <w:t>(</w:t>
      </w:r>
      <w:r w:rsidRPr="00F9636D" w:rsidR="00A80790">
        <w:rPr>
          <w:i/>
          <w:iCs/>
          <w:szCs w:val="22"/>
        </w:rPr>
        <w:t>Report and Order</w:t>
      </w:r>
      <w:r w:rsidR="009F6AD6">
        <w:rPr>
          <w:szCs w:val="22"/>
        </w:rPr>
        <w:t>)</w:t>
      </w:r>
      <w:r w:rsidRPr="009F6AD6">
        <w:rPr>
          <w:szCs w:val="22"/>
        </w:rPr>
        <w:t xml:space="preserve"> </w:t>
      </w:r>
      <w:r w:rsidRPr="009F6AD6" w:rsidR="00C64FD7">
        <w:rPr>
          <w:szCs w:val="22"/>
        </w:rPr>
        <w:t xml:space="preserve">adopting rules </w:t>
      </w:r>
      <w:r w:rsidR="003752F2">
        <w:rPr>
          <w:szCs w:val="22"/>
        </w:rPr>
        <w:t xml:space="preserve">that address </w:t>
      </w:r>
      <w:r w:rsidR="00EB737A">
        <w:rPr>
          <w:szCs w:val="22"/>
        </w:rPr>
        <w:t>the diversion of 911 fees by states and other jurisdictions</w:t>
      </w:r>
      <w:r w:rsidRPr="009F6AD6">
        <w:rPr>
          <w:szCs w:val="22"/>
        </w:rPr>
        <w:t>.</w:t>
      </w:r>
      <w:r>
        <w:rPr>
          <w:rStyle w:val="FootnoteReference"/>
          <w:szCs w:val="22"/>
        </w:rPr>
        <w:footnoteReference w:id="3"/>
      </w:r>
      <w:r w:rsidRPr="009F6AD6">
        <w:rPr>
          <w:szCs w:val="22"/>
        </w:rPr>
        <w:t xml:space="preserve">  The adopted rules become effective </w:t>
      </w:r>
      <w:r w:rsidR="00BE3159">
        <w:rPr>
          <w:szCs w:val="22"/>
        </w:rPr>
        <w:t>6</w:t>
      </w:r>
      <w:r w:rsidRPr="009F6AD6">
        <w:rPr>
          <w:szCs w:val="22"/>
        </w:rPr>
        <w:t>0 days after publication in the Federal Register</w:t>
      </w:r>
      <w:r w:rsidR="007F3FBE">
        <w:rPr>
          <w:szCs w:val="22"/>
        </w:rPr>
        <w:t>.</w:t>
      </w:r>
      <w:r>
        <w:rPr>
          <w:rStyle w:val="FootnoteReference"/>
          <w:szCs w:val="22"/>
        </w:rPr>
        <w:footnoteReference w:id="4"/>
      </w:r>
      <w:r w:rsidR="001F24A5">
        <w:rPr>
          <w:szCs w:val="22"/>
        </w:rPr>
        <w:t xml:space="preserve">  </w:t>
      </w:r>
      <w:r w:rsidR="007F3FBE">
        <w:rPr>
          <w:szCs w:val="22"/>
        </w:rPr>
        <w:t xml:space="preserve">  </w:t>
      </w:r>
      <w:r w:rsidRPr="009F6AD6">
        <w:rPr>
          <w:i/>
          <w:szCs w:val="22"/>
        </w:rPr>
        <w:t xml:space="preserve">  </w:t>
      </w:r>
    </w:p>
    <w:p w:rsidR="00C4392E" w:rsidRPr="009F6AD6" w:rsidP="00EA17B1" w14:paraId="2D27FFB8" w14:textId="3FBD091C">
      <w:pPr>
        <w:spacing w:after="120"/>
        <w:ind w:firstLine="810"/>
        <w:rPr>
          <w:szCs w:val="22"/>
        </w:rPr>
      </w:pPr>
      <w:r w:rsidRPr="009F6AD6">
        <w:rPr>
          <w:szCs w:val="22"/>
        </w:rPr>
        <w:t xml:space="preserve">On </w:t>
      </w:r>
      <w:r w:rsidR="005770ED">
        <w:rPr>
          <w:szCs w:val="22"/>
        </w:rPr>
        <w:t xml:space="preserve">August </w:t>
      </w:r>
      <w:r w:rsidR="00BE3159">
        <w:rPr>
          <w:szCs w:val="22"/>
        </w:rPr>
        <w:t>17</w:t>
      </w:r>
      <w:r w:rsidRPr="009F6AD6">
        <w:rPr>
          <w:szCs w:val="22"/>
        </w:rPr>
        <w:t>, 20</w:t>
      </w:r>
      <w:r w:rsidRPr="009F6AD6" w:rsidR="00B321D1">
        <w:rPr>
          <w:szCs w:val="22"/>
        </w:rPr>
        <w:t>2</w:t>
      </w:r>
      <w:r w:rsidR="00BE3159">
        <w:rPr>
          <w:szCs w:val="22"/>
        </w:rPr>
        <w:t>1</w:t>
      </w:r>
      <w:r w:rsidRPr="009F6AD6">
        <w:rPr>
          <w:szCs w:val="22"/>
        </w:rPr>
        <w:t xml:space="preserve">, </w:t>
      </w:r>
      <w:r w:rsidRPr="009F6AD6" w:rsidR="00C64FD7">
        <w:rPr>
          <w:szCs w:val="22"/>
        </w:rPr>
        <w:t xml:space="preserve">the Office of </w:t>
      </w:r>
      <w:r w:rsidR="001156C2">
        <w:rPr>
          <w:szCs w:val="22"/>
        </w:rPr>
        <w:t xml:space="preserve">the </w:t>
      </w:r>
      <w:r w:rsidRPr="009F6AD6" w:rsidR="00C64FD7">
        <w:rPr>
          <w:szCs w:val="22"/>
        </w:rPr>
        <w:t xml:space="preserve">Federal Register published </w:t>
      </w:r>
      <w:r w:rsidRPr="009F6AD6">
        <w:rPr>
          <w:szCs w:val="22"/>
        </w:rPr>
        <w:t>a summary of the</w:t>
      </w:r>
      <w:r w:rsidR="00A80790">
        <w:rPr>
          <w:szCs w:val="22"/>
        </w:rPr>
        <w:t xml:space="preserve"> </w:t>
      </w:r>
      <w:r w:rsidRPr="00F9636D" w:rsidR="00A80790">
        <w:rPr>
          <w:i/>
          <w:iCs/>
          <w:szCs w:val="22"/>
        </w:rPr>
        <w:t>Report and Order</w:t>
      </w:r>
      <w:r w:rsidRPr="00F9636D" w:rsidR="005770ED">
        <w:rPr>
          <w:iCs/>
          <w:szCs w:val="22"/>
        </w:rPr>
        <w:t>.</w:t>
      </w:r>
      <w:r>
        <w:rPr>
          <w:rStyle w:val="FootnoteReference"/>
          <w:szCs w:val="22"/>
        </w:rPr>
        <w:footnoteReference w:id="5"/>
      </w:r>
      <w:r w:rsidR="00F073A6">
        <w:rPr>
          <w:szCs w:val="22"/>
        </w:rPr>
        <w:t xml:space="preserve"> </w:t>
      </w:r>
      <w:r w:rsidR="00A12B96">
        <w:rPr>
          <w:szCs w:val="22"/>
        </w:rPr>
        <w:t xml:space="preserve"> </w:t>
      </w:r>
      <w:r w:rsidRPr="009F6AD6">
        <w:rPr>
          <w:szCs w:val="22"/>
        </w:rPr>
        <w:t xml:space="preserve">Accordingly, </w:t>
      </w:r>
      <w:r w:rsidR="00905DC2">
        <w:rPr>
          <w:szCs w:val="22"/>
        </w:rPr>
        <w:t>the rules adopted in the</w:t>
      </w:r>
      <w:r w:rsidR="00A80790">
        <w:rPr>
          <w:szCs w:val="22"/>
        </w:rPr>
        <w:t xml:space="preserve"> </w:t>
      </w:r>
      <w:r w:rsidRPr="00F9636D" w:rsidR="00A80790">
        <w:rPr>
          <w:i/>
          <w:iCs/>
          <w:szCs w:val="22"/>
        </w:rPr>
        <w:t>Report and Order</w:t>
      </w:r>
      <w:r w:rsidR="00A80790">
        <w:rPr>
          <w:szCs w:val="22"/>
        </w:rPr>
        <w:t xml:space="preserve"> </w:t>
      </w:r>
      <w:r w:rsidR="00905DC2">
        <w:rPr>
          <w:szCs w:val="22"/>
        </w:rPr>
        <w:t xml:space="preserve">will take effect on </w:t>
      </w:r>
      <w:r w:rsidRPr="002E1DE6" w:rsidR="00BE3159">
        <w:rPr>
          <w:szCs w:val="22"/>
        </w:rPr>
        <w:t>October 1</w:t>
      </w:r>
      <w:r w:rsidR="001615BD">
        <w:rPr>
          <w:szCs w:val="22"/>
        </w:rPr>
        <w:t>8</w:t>
      </w:r>
      <w:r w:rsidRPr="002E1DE6" w:rsidR="00905DC2">
        <w:rPr>
          <w:szCs w:val="22"/>
        </w:rPr>
        <w:t>, 202</w:t>
      </w:r>
      <w:r w:rsidRPr="002E1DE6" w:rsidR="00BE3159">
        <w:rPr>
          <w:szCs w:val="22"/>
        </w:rPr>
        <w:t>1</w:t>
      </w:r>
      <w:r w:rsidR="00736F20">
        <w:rPr>
          <w:szCs w:val="22"/>
        </w:rPr>
        <w:t>.</w:t>
      </w:r>
      <w:r>
        <w:rPr>
          <w:rStyle w:val="FootnoteReference"/>
          <w:szCs w:val="22"/>
        </w:rPr>
        <w:footnoteReference w:id="6"/>
      </w:r>
      <w:r w:rsidR="005E7273">
        <w:rPr>
          <w:szCs w:val="22"/>
        </w:rPr>
        <w:t xml:space="preserve">  </w:t>
      </w:r>
      <w:r w:rsidR="00736F20">
        <w:t>Paragraph (b) in new section 9.25 of the rules contains</w:t>
      </w:r>
      <w:r w:rsidRPr="00197D5D" w:rsidR="00736F20">
        <w:t xml:space="preserve"> </w:t>
      </w:r>
      <w:r w:rsidRPr="00071F30" w:rsidR="00736F20">
        <w:t xml:space="preserve">new or modified information collection requirements that </w:t>
      </w:r>
      <w:r w:rsidR="005E3A76">
        <w:t>are subject to</w:t>
      </w:r>
      <w:r w:rsidRPr="00071F30" w:rsidR="00736F20">
        <w:t xml:space="preserve"> review by</w:t>
      </w:r>
      <w:r w:rsidR="00736F20">
        <w:t xml:space="preserve"> </w:t>
      </w:r>
      <w:r w:rsidR="005E7273">
        <w:t xml:space="preserve">the Office of Management and Budget (OMB) </w:t>
      </w:r>
      <w:r w:rsidRPr="00071F30" w:rsidR="00736F20">
        <w:t xml:space="preserve">under the </w:t>
      </w:r>
      <w:r w:rsidR="00736F20">
        <w:t>P</w:t>
      </w:r>
      <w:r w:rsidR="005E7273">
        <w:t>aperwork Reduction Act</w:t>
      </w:r>
      <w:r w:rsidRPr="00071F30" w:rsidR="00736F20">
        <w:t>.</w:t>
      </w:r>
      <w:r>
        <w:rPr>
          <w:rStyle w:val="FootnoteReference"/>
        </w:rPr>
        <w:footnoteReference w:id="7"/>
      </w:r>
      <w:r w:rsidR="00736F20">
        <w:t xml:space="preserve">  </w:t>
      </w:r>
      <w:bookmarkStart w:id="0" w:name="_GoBack"/>
      <w:bookmarkEnd w:id="0"/>
      <w:r w:rsidR="001F24A5">
        <w:t>Compliance with these requirements will not be required until the Commission receives OMB approval</w:t>
      </w:r>
      <w:r w:rsidR="004B5B66">
        <w:t xml:space="preserve"> and publishes a document in the Federal Register announcing the compliance date</w:t>
      </w:r>
      <w:r w:rsidR="001F24A5">
        <w:t>.</w:t>
      </w:r>
      <w:r>
        <w:rPr>
          <w:rStyle w:val="FootnoteReference"/>
        </w:rPr>
        <w:footnoteReference w:id="8"/>
      </w:r>
      <w:r w:rsidR="00736F20">
        <w:t xml:space="preserve">  </w:t>
      </w:r>
      <w:r w:rsidRPr="009F6AD6">
        <w:rPr>
          <w:szCs w:val="22"/>
        </w:rPr>
        <w:t xml:space="preserve"> </w:t>
      </w:r>
      <w:r w:rsidRPr="009F6AD6" w:rsidR="00B321D1">
        <w:rPr>
          <w:szCs w:val="22"/>
        </w:rPr>
        <w:t xml:space="preserve"> </w:t>
      </w:r>
    </w:p>
    <w:p w:rsidR="008F3E31" w:rsidRPr="009F6AD6" w:rsidP="009F6AD6" w14:paraId="7289FA1A" w14:textId="558D8D47">
      <w:pPr>
        <w:spacing w:after="120"/>
        <w:ind w:firstLine="720"/>
        <w:rPr>
          <w:szCs w:val="22"/>
        </w:rPr>
      </w:pPr>
      <w:r w:rsidRPr="009F6AD6">
        <w:rPr>
          <w:szCs w:val="22"/>
        </w:rPr>
        <w:t xml:space="preserve">For further information, please contact </w:t>
      </w:r>
      <w:r w:rsidR="00BE3159">
        <w:rPr>
          <w:szCs w:val="22"/>
        </w:rPr>
        <w:t>Brenda Boykin</w:t>
      </w:r>
      <w:r w:rsidRPr="009F6AD6" w:rsidR="00B321D1">
        <w:rPr>
          <w:szCs w:val="22"/>
        </w:rPr>
        <w:t xml:space="preserve">, </w:t>
      </w:r>
      <w:r w:rsidR="00BE3159">
        <w:rPr>
          <w:szCs w:val="22"/>
        </w:rPr>
        <w:t>Attorney</w:t>
      </w:r>
      <w:r w:rsidR="008129F9">
        <w:rPr>
          <w:szCs w:val="22"/>
        </w:rPr>
        <w:t xml:space="preserve"> </w:t>
      </w:r>
      <w:r w:rsidR="00BE3159">
        <w:rPr>
          <w:szCs w:val="22"/>
        </w:rPr>
        <w:t>Advisor</w:t>
      </w:r>
      <w:r w:rsidRPr="009F6AD6" w:rsidR="00B321D1">
        <w:rPr>
          <w:szCs w:val="22"/>
        </w:rPr>
        <w:t>, Policy and Licensing Division, Public Safety and Homeland Security Bureau</w:t>
      </w:r>
      <w:r w:rsidRPr="009F6AD6">
        <w:rPr>
          <w:szCs w:val="22"/>
        </w:rPr>
        <w:t xml:space="preserve"> at (202) 418</w:t>
      </w:r>
      <w:r w:rsidRPr="008129F9">
        <w:rPr>
          <w:szCs w:val="22"/>
        </w:rPr>
        <w:t>-</w:t>
      </w:r>
      <w:r w:rsidR="008129F9">
        <w:rPr>
          <w:szCs w:val="22"/>
        </w:rPr>
        <w:t>2062</w:t>
      </w:r>
      <w:r w:rsidRPr="009F6AD6">
        <w:rPr>
          <w:szCs w:val="22"/>
        </w:rPr>
        <w:t xml:space="preserve"> or </w:t>
      </w:r>
      <w:hyperlink r:id="rId5" w:history="1">
        <w:r w:rsidRPr="00555346" w:rsidR="00BE3159">
          <w:rPr>
            <w:rStyle w:val="Hyperlink"/>
            <w:szCs w:val="22"/>
          </w:rPr>
          <w:t>Brenda.Boykin@fcc.gov</w:t>
        </w:r>
      </w:hyperlink>
      <w:r w:rsidRPr="009F6AD6">
        <w:rPr>
          <w:szCs w:val="22"/>
        </w:rPr>
        <w:t xml:space="preserve">. </w:t>
      </w:r>
    </w:p>
    <w:p w:rsidR="00930ECF" w:rsidRPr="009F6AD6" w:rsidP="008F3E31" w14:paraId="324CA37E" w14:textId="77777777">
      <w:pPr>
        <w:spacing w:before="120" w:after="240"/>
        <w:jc w:val="center"/>
        <w:rPr>
          <w:szCs w:val="22"/>
        </w:rPr>
      </w:pPr>
      <w:r w:rsidRPr="009F6AD6">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C7B1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CEEAF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A5DE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2E64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4693" w14:paraId="3C12DF01" w14:textId="77777777">
      <w:r>
        <w:separator/>
      </w:r>
    </w:p>
  </w:footnote>
  <w:footnote w:type="continuationSeparator" w:id="1">
    <w:p w:rsidR="00AE4693" w14:paraId="57922FF1" w14:textId="77777777">
      <w:pPr>
        <w:rPr>
          <w:sz w:val="20"/>
        </w:rPr>
      </w:pPr>
      <w:r>
        <w:rPr>
          <w:sz w:val="20"/>
        </w:rPr>
        <w:t xml:space="preserve">(Continued from previous page)  </w:t>
      </w:r>
      <w:r>
        <w:rPr>
          <w:sz w:val="20"/>
        </w:rPr>
        <w:separator/>
      </w:r>
    </w:p>
  </w:footnote>
  <w:footnote w:type="continuationNotice" w:id="2">
    <w:p w:rsidR="00AE4693" w:rsidP="00910F12" w14:paraId="7FECB14A" w14:textId="77777777">
      <w:pPr>
        <w:jc w:val="right"/>
        <w:rPr>
          <w:sz w:val="20"/>
        </w:rPr>
      </w:pPr>
      <w:r>
        <w:rPr>
          <w:sz w:val="20"/>
        </w:rPr>
        <w:t>(continued….)</w:t>
      </w:r>
    </w:p>
  </w:footnote>
  <w:footnote w:id="3">
    <w:p w:rsidR="00EA17B1" w:rsidRPr="00BE3159" w14:paraId="23B0810A" w14:textId="5FD6FA81">
      <w:pPr>
        <w:pStyle w:val="FootnoteText"/>
      </w:pPr>
      <w:r w:rsidRPr="00BE3159">
        <w:rPr>
          <w:rStyle w:val="FootnoteReference"/>
          <w:sz w:val="20"/>
        </w:rPr>
        <w:footnoteRef/>
      </w:r>
      <w:r w:rsidRPr="00BE3159" w:rsidR="00BE3159">
        <w:rPr>
          <w:color w:val="1D2B3E"/>
        </w:rPr>
        <w:t xml:space="preserve"> </w:t>
      </w:r>
      <w:r w:rsidRPr="00BE3159" w:rsidR="00BE3159">
        <w:rPr>
          <w:i/>
          <w:iCs/>
          <w:color w:val="1D2B3E"/>
        </w:rPr>
        <w:t>911 Fee Diversion; New and Emerging Technologies 911 Improvement Act of 2008</w:t>
      </w:r>
      <w:r w:rsidRPr="00BE3159" w:rsidR="00C67F6E">
        <w:rPr>
          <w:i/>
        </w:rPr>
        <w:t>,</w:t>
      </w:r>
      <w:r w:rsidRPr="00BE3159" w:rsidR="005770ED">
        <w:t xml:space="preserve"> </w:t>
      </w:r>
      <w:r w:rsidRPr="00BE3159" w:rsidR="00C67F6E">
        <w:t xml:space="preserve">Report and Order, FCC </w:t>
      </w:r>
      <w:r w:rsidRPr="00BE3159" w:rsidR="005770ED">
        <w:t>2</w:t>
      </w:r>
      <w:r w:rsidR="00BE3159">
        <w:t>1</w:t>
      </w:r>
      <w:r w:rsidRPr="00BE3159" w:rsidR="005770ED">
        <w:t>-8</w:t>
      </w:r>
      <w:r w:rsidR="00BE3159">
        <w:t>0</w:t>
      </w:r>
      <w:r w:rsidRPr="00BE3159" w:rsidR="00C67F6E">
        <w:t xml:space="preserve"> (</w:t>
      </w:r>
      <w:r w:rsidR="00BE3159">
        <w:t xml:space="preserve">rel. </w:t>
      </w:r>
      <w:r w:rsidRPr="00BE3159" w:rsidR="005770ED">
        <w:t>Ju</w:t>
      </w:r>
      <w:r w:rsidRPr="00BE3159" w:rsidR="00BE3159">
        <w:t>ne</w:t>
      </w:r>
      <w:r w:rsidRPr="00BE3159" w:rsidR="005770ED">
        <w:t xml:space="preserve"> </w:t>
      </w:r>
      <w:r w:rsidRPr="00BE3159" w:rsidR="00BE3159">
        <w:t>25</w:t>
      </w:r>
      <w:r w:rsidRPr="00BE3159" w:rsidR="005770ED">
        <w:t>, 202</w:t>
      </w:r>
      <w:r w:rsidRPr="00BE3159" w:rsidR="00BE3159">
        <w:t>1</w:t>
      </w:r>
      <w:r w:rsidRPr="00BE3159" w:rsidR="00C67F6E">
        <w:t>)</w:t>
      </w:r>
      <w:r w:rsidRPr="00BE3159" w:rsidR="00A80790">
        <w:t xml:space="preserve"> (</w:t>
      </w:r>
      <w:r w:rsidRPr="00BE3159" w:rsidR="00A80790">
        <w:rPr>
          <w:i/>
          <w:iCs/>
        </w:rPr>
        <w:t>Report and Order</w:t>
      </w:r>
      <w:r w:rsidRPr="00BE3159" w:rsidR="00A80790">
        <w:t>)</w:t>
      </w:r>
      <w:r w:rsidRPr="00BE3159" w:rsidR="00053777">
        <w:t>.</w:t>
      </w:r>
    </w:p>
  </w:footnote>
  <w:footnote w:id="4">
    <w:p w:rsidR="007F3FBE" w14:paraId="5D302DD0" w14:textId="6B2056FC">
      <w:pPr>
        <w:pStyle w:val="FootnoteText"/>
      </w:pPr>
      <w:r>
        <w:rPr>
          <w:rStyle w:val="FootnoteReference"/>
        </w:rPr>
        <w:footnoteRef/>
      </w:r>
      <w:r>
        <w:t xml:space="preserve"> </w:t>
      </w:r>
      <w:r w:rsidRPr="007F3FBE">
        <w:rPr>
          <w:i/>
          <w:iCs/>
        </w:rPr>
        <w:t>See Report and Order</w:t>
      </w:r>
      <w:r>
        <w:t xml:space="preserve"> at para. 89.</w:t>
      </w:r>
    </w:p>
  </w:footnote>
  <w:footnote w:id="5">
    <w:p w:rsidR="00F073A6" w14:paraId="473C08BC" w14:textId="3A02A9E3">
      <w:pPr>
        <w:pStyle w:val="FootnoteText"/>
      </w:pPr>
      <w:r>
        <w:rPr>
          <w:rStyle w:val="FootnoteReference"/>
        </w:rPr>
        <w:footnoteRef/>
      </w:r>
      <w:r>
        <w:t xml:space="preserve"> </w:t>
      </w:r>
      <w:r w:rsidRPr="00BE2B48">
        <w:t>8</w:t>
      </w:r>
      <w:r w:rsidR="00BE3159">
        <w:t>6</w:t>
      </w:r>
      <w:r w:rsidRPr="00BE2B48">
        <w:t xml:space="preserve"> Fed. Reg.</w:t>
      </w:r>
      <w:r w:rsidR="00577107">
        <w:t xml:space="preserve"> </w:t>
      </w:r>
      <w:r w:rsidR="001615BD">
        <w:t>45892</w:t>
      </w:r>
      <w:r w:rsidRPr="00BE2B48">
        <w:t xml:space="preserve"> (</w:t>
      </w:r>
      <w:r w:rsidR="005770ED">
        <w:t>Aug</w:t>
      </w:r>
      <w:r w:rsidRPr="00BE2B48">
        <w:t xml:space="preserve">. </w:t>
      </w:r>
      <w:r w:rsidR="00BE3159">
        <w:t>17</w:t>
      </w:r>
      <w:r w:rsidRPr="00BE2B48">
        <w:t>, 202</w:t>
      </w:r>
      <w:r w:rsidR="00BE3159">
        <w:t>1</w:t>
      </w:r>
      <w:r w:rsidRPr="00BE2B48">
        <w:t>)</w:t>
      </w:r>
      <w:r>
        <w:t>.</w:t>
      </w:r>
    </w:p>
  </w:footnote>
  <w:footnote w:id="6">
    <w:p w:rsidR="005E7273" w14:paraId="01184803" w14:textId="4EB4CFF4">
      <w:pPr>
        <w:pStyle w:val="FootnoteText"/>
      </w:pPr>
      <w:r>
        <w:rPr>
          <w:rStyle w:val="FootnoteReference"/>
        </w:rPr>
        <w:footnoteRef/>
      </w:r>
      <w:r>
        <w:t xml:space="preserve"> </w:t>
      </w:r>
      <w:r w:rsidRPr="005E7273">
        <w:rPr>
          <w:i/>
          <w:iCs/>
        </w:rPr>
        <w:t>See</w:t>
      </w:r>
      <w:r>
        <w:t xml:space="preserve"> 86 Fed. Reg. 45892.</w:t>
      </w:r>
    </w:p>
  </w:footnote>
  <w:footnote w:id="7">
    <w:p w:rsidR="00736F20" w14:paraId="2D29DD5E" w14:textId="1CBAD171">
      <w:pPr>
        <w:pStyle w:val="FootnoteText"/>
      </w:pPr>
      <w:r>
        <w:rPr>
          <w:rStyle w:val="FootnoteReference"/>
        </w:rPr>
        <w:footnoteRef/>
      </w:r>
      <w:r>
        <w:t xml:space="preserve"> </w:t>
      </w:r>
      <w:r w:rsidRPr="00736F20">
        <w:rPr>
          <w:i/>
          <w:iCs/>
        </w:rPr>
        <w:t>See</w:t>
      </w:r>
      <w:r>
        <w:t xml:space="preserve"> 47 CFR § 9.25(b), (c); </w:t>
      </w:r>
      <w:r w:rsidRPr="00736F20">
        <w:rPr>
          <w:i/>
          <w:iCs/>
        </w:rPr>
        <w:t>see also Report and Order</w:t>
      </w:r>
      <w:r>
        <w:t xml:space="preserve"> at para. 89; 86 Fed. Reg. 45892.</w:t>
      </w:r>
    </w:p>
  </w:footnote>
  <w:footnote w:id="8">
    <w:p w:rsidR="003752F2" w14:paraId="50E65DD5" w14:textId="322A1FE1">
      <w:pPr>
        <w:pStyle w:val="FootnoteText"/>
      </w:pPr>
      <w:r>
        <w:rPr>
          <w:rStyle w:val="FootnoteReference"/>
        </w:rPr>
        <w:footnoteRef/>
      </w:r>
      <w:r>
        <w:t xml:space="preserve"> </w:t>
      </w:r>
      <w:r w:rsidRPr="009D2B33">
        <w:rPr>
          <w:i/>
          <w:iCs/>
        </w:rPr>
        <w:t>See</w:t>
      </w:r>
      <w:r>
        <w:t xml:space="preserve"> </w:t>
      </w:r>
      <w:r w:rsidRPr="00736F20">
        <w:rPr>
          <w:i/>
          <w:iCs/>
        </w:rPr>
        <w:t>Report and Order</w:t>
      </w:r>
      <w:r>
        <w:t xml:space="preserve"> at para. 89; 86 Fed. Reg. 45892.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3B8E0E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698E9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34E1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ED8668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8989068">
                          <w:pPr>
                            <w:rPr>
                              <w:rFonts w:ascii="Arial" w:hAnsi="Arial"/>
                              <w:b/>
                            </w:rPr>
                          </w:pPr>
                          <w:r>
                            <w:rPr>
                              <w:rFonts w:ascii="Arial" w:hAnsi="Arial"/>
                              <w:b/>
                            </w:rPr>
                            <w:t xml:space="preserve">45 </w:t>
                          </w:r>
                          <w:r w:rsidR="00C330CE">
                            <w:rPr>
                              <w:rFonts w:ascii="Arial" w:hAnsi="Arial"/>
                              <w:b/>
                            </w:rPr>
                            <w:t xml:space="preserve">L </w:t>
                          </w:r>
                          <w:r>
                            <w:rPr>
                              <w:rFonts w:ascii="Arial" w:hAnsi="Arial"/>
                              <w:b/>
                            </w:rPr>
                            <w:t xml:space="preserve">St., </w:t>
                          </w:r>
                          <w:r w:rsidR="00C330CE">
                            <w:rPr>
                              <w:rFonts w:ascii="Arial" w:hAnsi="Arial"/>
                              <w:b/>
                            </w:rPr>
                            <w:t>N</w:t>
                          </w:r>
                          <w:r>
                            <w:rPr>
                              <w:rFonts w:ascii="Arial" w:hAnsi="Arial"/>
                              <w:b/>
                            </w:rPr>
                            <w:t>.</w:t>
                          </w:r>
                          <w:r w:rsidR="00C330C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222F7FA" w14:textId="77777777">
                    <w:pPr>
                      <w:rPr>
                        <w:rFonts w:ascii="Arial" w:hAnsi="Arial"/>
                        <w:b/>
                      </w:rPr>
                    </w:pPr>
                    <w:r>
                      <w:rPr>
                        <w:rFonts w:ascii="Arial" w:hAnsi="Arial"/>
                        <w:b/>
                      </w:rPr>
                      <w:t>Federal Communications Commission</w:t>
                    </w:r>
                  </w:p>
                  <w:p w:rsidR="009838BC" w:rsidP="009838BC" w14:paraId="128FE167" w14:textId="48989068">
                    <w:pPr>
                      <w:rPr>
                        <w:rFonts w:ascii="Arial" w:hAnsi="Arial"/>
                        <w:b/>
                      </w:rPr>
                    </w:pPr>
                    <w:r>
                      <w:rPr>
                        <w:rFonts w:ascii="Arial" w:hAnsi="Arial"/>
                        <w:b/>
                      </w:rPr>
                      <w:t xml:space="preserve">45 </w:t>
                    </w:r>
                    <w:r w:rsidR="00C330CE">
                      <w:rPr>
                        <w:rFonts w:ascii="Arial" w:hAnsi="Arial"/>
                        <w:b/>
                      </w:rPr>
                      <w:t xml:space="preserve">L </w:t>
                    </w:r>
                    <w:r>
                      <w:rPr>
                        <w:rFonts w:ascii="Arial" w:hAnsi="Arial"/>
                        <w:b/>
                      </w:rPr>
                      <w:t xml:space="preserve">St., </w:t>
                    </w:r>
                    <w:r w:rsidR="00C330CE">
                      <w:rPr>
                        <w:rFonts w:ascii="Arial" w:hAnsi="Arial"/>
                        <w:b/>
                      </w:rPr>
                      <w:t>N</w:t>
                    </w:r>
                    <w:r>
                      <w:rPr>
                        <w:rFonts w:ascii="Arial" w:hAnsi="Arial"/>
                        <w:b/>
                      </w:rPr>
                      <w:t>.</w:t>
                    </w:r>
                    <w:r w:rsidR="00C330CE">
                      <w:rPr>
                        <w:rFonts w:ascii="Arial" w:hAnsi="Arial"/>
                        <w:b/>
                      </w:rPr>
                      <w:t>E</w:t>
                    </w:r>
                    <w:r>
                      <w:rPr>
                        <w:rFonts w:ascii="Arial" w:hAnsi="Arial"/>
                        <w:b/>
                      </w:rPr>
                      <w:t>.</w:t>
                    </w:r>
                  </w:p>
                  <w:p w:rsidR="009838BC" w:rsidP="009838BC" w14:paraId="34C6ED0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EE22CB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25552FF" w14:textId="77777777">
                    <w:pPr>
                      <w:spacing w:before="40"/>
                      <w:jc w:val="right"/>
                      <w:rPr>
                        <w:rFonts w:ascii="Arial" w:hAnsi="Arial"/>
                        <w:b/>
                        <w:sz w:val="16"/>
                      </w:rPr>
                    </w:pPr>
                    <w:r>
                      <w:rPr>
                        <w:rFonts w:ascii="Arial" w:hAnsi="Arial"/>
                        <w:b/>
                        <w:sz w:val="16"/>
                      </w:rPr>
                      <w:t>News Media Information 202 / 418-0500</w:t>
                    </w:r>
                  </w:p>
                  <w:p w:rsidR="009838BC" w:rsidP="009838BC" w14:paraId="1E5DA37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9556AEC" w14:textId="77777777">
                    <w:pPr>
                      <w:jc w:val="right"/>
                    </w:pPr>
                    <w:r>
                      <w:rPr>
                        <w:rFonts w:ascii="Arial" w:hAnsi="Arial"/>
                        <w:b/>
                        <w:sz w:val="16"/>
                      </w:rPr>
                      <w:t>TTY: 1-888-835-5322</w:t>
                    </w:r>
                  </w:p>
                </w:txbxContent>
              </v:textbox>
            </v:shape>
          </w:pict>
        </mc:Fallback>
      </mc:AlternateContent>
    </w:r>
  </w:p>
  <w:p w:rsidR="006F7393" w:rsidRPr="009838BC" w:rsidP="009838BC" w14:paraId="45D998D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5E"/>
    <w:rsid w:val="000072CE"/>
    <w:rsid w:val="00013A8B"/>
    <w:rsid w:val="00021445"/>
    <w:rsid w:val="00036039"/>
    <w:rsid w:val="00037F90"/>
    <w:rsid w:val="00053777"/>
    <w:rsid w:val="00071F30"/>
    <w:rsid w:val="00082FCD"/>
    <w:rsid w:val="000875BF"/>
    <w:rsid w:val="00096D8C"/>
    <w:rsid w:val="000C0B65"/>
    <w:rsid w:val="000E3D42"/>
    <w:rsid w:val="000E5884"/>
    <w:rsid w:val="001156C2"/>
    <w:rsid w:val="00122BD5"/>
    <w:rsid w:val="0014267A"/>
    <w:rsid w:val="001615BD"/>
    <w:rsid w:val="00171324"/>
    <w:rsid w:val="001979D9"/>
    <w:rsid w:val="00197D5D"/>
    <w:rsid w:val="001B4ADD"/>
    <w:rsid w:val="001C2D7D"/>
    <w:rsid w:val="001D6BCF"/>
    <w:rsid w:val="001E01CA"/>
    <w:rsid w:val="001F24A5"/>
    <w:rsid w:val="002060D9"/>
    <w:rsid w:val="00226822"/>
    <w:rsid w:val="00260594"/>
    <w:rsid w:val="00285017"/>
    <w:rsid w:val="002927F6"/>
    <w:rsid w:val="002A2D2E"/>
    <w:rsid w:val="002D3020"/>
    <w:rsid w:val="002E1DE6"/>
    <w:rsid w:val="00310126"/>
    <w:rsid w:val="00343749"/>
    <w:rsid w:val="00357D50"/>
    <w:rsid w:val="003752F2"/>
    <w:rsid w:val="003925DC"/>
    <w:rsid w:val="003B0550"/>
    <w:rsid w:val="003B2326"/>
    <w:rsid w:val="003B694F"/>
    <w:rsid w:val="003C2E82"/>
    <w:rsid w:val="003D4FDB"/>
    <w:rsid w:val="003E5288"/>
    <w:rsid w:val="003F171C"/>
    <w:rsid w:val="00412FC5"/>
    <w:rsid w:val="00422276"/>
    <w:rsid w:val="004242F1"/>
    <w:rsid w:val="00445A00"/>
    <w:rsid w:val="00451B0F"/>
    <w:rsid w:val="0046125F"/>
    <w:rsid w:val="00484519"/>
    <w:rsid w:val="00487524"/>
    <w:rsid w:val="00492332"/>
    <w:rsid w:val="0049465E"/>
    <w:rsid w:val="00496106"/>
    <w:rsid w:val="004B5B66"/>
    <w:rsid w:val="004B5F79"/>
    <w:rsid w:val="004C12D0"/>
    <w:rsid w:val="004C2EE3"/>
    <w:rsid w:val="004E4A22"/>
    <w:rsid w:val="00500866"/>
    <w:rsid w:val="00511968"/>
    <w:rsid w:val="00555346"/>
    <w:rsid w:val="0055614C"/>
    <w:rsid w:val="005770ED"/>
    <w:rsid w:val="00577107"/>
    <w:rsid w:val="005C3A73"/>
    <w:rsid w:val="005E3A76"/>
    <w:rsid w:val="005E7273"/>
    <w:rsid w:val="005F15D0"/>
    <w:rsid w:val="005F7CB6"/>
    <w:rsid w:val="00607BA5"/>
    <w:rsid w:val="00626EB6"/>
    <w:rsid w:val="006353A3"/>
    <w:rsid w:val="00651B04"/>
    <w:rsid w:val="00655D03"/>
    <w:rsid w:val="00683F84"/>
    <w:rsid w:val="006A6A81"/>
    <w:rsid w:val="006A73A5"/>
    <w:rsid w:val="006E20FE"/>
    <w:rsid w:val="006E26AF"/>
    <w:rsid w:val="006F7393"/>
    <w:rsid w:val="0070224F"/>
    <w:rsid w:val="007115F7"/>
    <w:rsid w:val="00736F20"/>
    <w:rsid w:val="0075142A"/>
    <w:rsid w:val="00785689"/>
    <w:rsid w:val="0079754B"/>
    <w:rsid w:val="007A1E6D"/>
    <w:rsid w:val="007C306B"/>
    <w:rsid w:val="007F3FBE"/>
    <w:rsid w:val="008129F9"/>
    <w:rsid w:val="00822CE0"/>
    <w:rsid w:val="00837C62"/>
    <w:rsid w:val="00841AB1"/>
    <w:rsid w:val="00854754"/>
    <w:rsid w:val="00872447"/>
    <w:rsid w:val="008C22FD"/>
    <w:rsid w:val="008F3E31"/>
    <w:rsid w:val="00905DC2"/>
    <w:rsid w:val="00910F12"/>
    <w:rsid w:val="0092188C"/>
    <w:rsid w:val="00921FC1"/>
    <w:rsid w:val="00924C4A"/>
    <w:rsid w:val="00926503"/>
    <w:rsid w:val="00930ECF"/>
    <w:rsid w:val="009838BC"/>
    <w:rsid w:val="009873BC"/>
    <w:rsid w:val="009D2B33"/>
    <w:rsid w:val="009E0B5B"/>
    <w:rsid w:val="009E5BD8"/>
    <w:rsid w:val="009E6ABA"/>
    <w:rsid w:val="009F6AD6"/>
    <w:rsid w:val="00A00191"/>
    <w:rsid w:val="00A12B96"/>
    <w:rsid w:val="00A137C3"/>
    <w:rsid w:val="00A27626"/>
    <w:rsid w:val="00A32C4A"/>
    <w:rsid w:val="00A45F4F"/>
    <w:rsid w:val="00A600A9"/>
    <w:rsid w:val="00A80790"/>
    <w:rsid w:val="00A866AC"/>
    <w:rsid w:val="00AA55B7"/>
    <w:rsid w:val="00AA5B9E"/>
    <w:rsid w:val="00AB2407"/>
    <w:rsid w:val="00AB53DF"/>
    <w:rsid w:val="00AC632E"/>
    <w:rsid w:val="00AE4693"/>
    <w:rsid w:val="00B07E5C"/>
    <w:rsid w:val="00B321D1"/>
    <w:rsid w:val="00B326E3"/>
    <w:rsid w:val="00B61B99"/>
    <w:rsid w:val="00B74281"/>
    <w:rsid w:val="00B811F7"/>
    <w:rsid w:val="00B91D02"/>
    <w:rsid w:val="00BA5DC6"/>
    <w:rsid w:val="00BA6196"/>
    <w:rsid w:val="00BC6D8C"/>
    <w:rsid w:val="00BE2B48"/>
    <w:rsid w:val="00BE3159"/>
    <w:rsid w:val="00C11BF7"/>
    <w:rsid w:val="00C16AF2"/>
    <w:rsid w:val="00C32544"/>
    <w:rsid w:val="00C330CE"/>
    <w:rsid w:val="00C34006"/>
    <w:rsid w:val="00C426B1"/>
    <w:rsid w:val="00C4392E"/>
    <w:rsid w:val="00C64FD7"/>
    <w:rsid w:val="00C67F6E"/>
    <w:rsid w:val="00C82B6B"/>
    <w:rsid w:val="00C90D6A"/>
    <w:rsid w:val="00CA3BBC"/>
    <w:rsid w:val="00CB2359"/>
    <w:rsid w:val="00CB2A10"/>
    <w:rsid w:val="00CC72B6"/>
    <w:rsid w:val="00D0218D"/>
    <w:rsid w:val="00D140BA"/>
    <w:rsid w:val="00D216CD"/>
    <w:rsid w:val="00DA2529"/>
    <w:rsid w:val="00DA2E2B"/>
    <w:rsid w:val="00DB130A"/>
    <w:rsid w:val="00DC10A1"/>
    <w:rsid w:val="00DC655F"/>
    <w:rsid w:val="00DD7EBD"/>
    <w:rsid w:val="00DF62B6"/>
    <w:rsid w:val="00E07225"/>
    <w:rsid w:val="00E155B7"/>
    <w:rsid w:val="00E5409F"/>
    <w:rsid w:val="00E6485D"/>
    <w:rsid w:val="00E66D01"/>
    <w:rsid w:val="00EA17B1"/>
    <w:rsid w:val="00EB737A"/>
    <w:rsid w:val="00EC0185"/>
    <w:rsid w:val="00F00C1B"/>
    <w:rsid w:val="00F021FA"/>
    <w:rsid w:val="00F073A6"/>
    <w:rsid w:val="00F57ACA"/>
    <w:rsid w:val="00F62E97"/>
    <w:rsid w:val="00F64209"/>
    <w:rsid w:val="00F93BF5"/>
    <w:rsid w:val="00F9636D"/>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0D2DAD"/>
  <w15:chartTrackingRefBased/>
  <w15:docId w15:val="{4186885D-AF79-46AB-9B8B-5EA5C5D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EA17B1"/>
  </w:style>
  <w:style w:type="paragraph" w:styleId="BodyText">
    <w:name w:val="Body Text"/>
    <w:basedOn w:val="Normal"/>
    <w:link w:val="BodyTextChar1"/>
    <w:rsid w:val="00EA17B1"/>
    <w:pPr>
      <w:spacing w:after="120"/>
      <w:ind w:firstLine="720"/>
    </w:pPr>
    <w:rPr>
      <w:snapToGrid/>
      <w:kern w:val="0"/>
    </w:rPr>
  </w:style>
  <w:style w:type="character" w:customStyle="1" w:styleId="BodyTextChar">
    <w:name w:val="Body Text Char"/>
    <w:basedOn w:val="DefaultParagraphFont"/>
    <w:uiPriority w:val="99"/>
    <w:semiHidden/>
    <w:rsid w:val="00EA17B1"/>
    <w:rPr>
      <w:snapToGrid w:val="0"/>
      <w:kern w:val="28"/>
      <w:sz w:val="22"/>
    </w:rPr>
  </w:style>
  <w:style w:type="character" w:customStyle="1" w:styleId="BodyTextChar1">
    <w:name w:val="Body Text Char1"/>
    <w:link w:val="BodyText"/>
    <w:rsid w:val="00EA17B1"/>
    <w:rPr>
      <w:sz w:val="22"/>
    </w:rPr>
  </w:style>
  <w:style w:type="paragraph" w:styleId="BalloonText">
    <w:name w:val="Balloon Text"/>
    <w:basedOn w:val="Normal"/>
    <w:link w:val="BalloonTextChar"/>
    <w:uiPriority w:val="99"/>
    <w:semiHidden/>
    <w:unhideWhenUsed/>
    <w:rsid w:val="003C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82"/>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B321D1"/>
    <w:rPr>
      <w:color w:val="605E5C"/>
      <w:shd w:val="clear" w:color="auto" w:fill="E1DFDD"/>
    </w:rPr>
  </w:style>
  <w:style w:type="character" w:customStyle="1" w:styleId="UnresolvedMention">
    <w:name w:val="Unresolved Mention"/>
    <w:basedOn w:val="DefaultParagraphFont"/>
    <w:uiPriority w:val="99"/>
    <w:rsid w:val="00BE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enda.Boyk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