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E273E3" w:rsidRPr="00BE70CC" w:rsidP="002659F3" w14:paraId="7F11F4C7" w14:textId="2E0942EE">
      <w:pPr>
        <w:widowControl/>
        <w:jc w:val="center"/>
        <w:rPr>
          <w:b/>
        </w:rPr>
      </w:pPr>
      <w:r w:rsidRPr="00BE70CC">
        <w:rPr>
          <w:b/>
          <w:kern w:val="0"/>
          <w:szCs w:val="22"/>
        </w:rPr>
        <w:t>Before</w:t>
      </w:r>
      <w:r w:rsidRPr="00BE70CC">
        <w:rPr>
          <w:b/>
        </w:rPr>
        <w:t xml:space="preserve"> the</w:t>
      </w:r>
    </w:p>
    <w:p w:rsidR="00E273E3" w:rsidRPr="00BE70CC" w:rsidP="002659F3" w14:paraId="6EE86569" w14:textId="77777777">
      <w:pPr>
        <w:pStyle w:val="StyleBoldCentered"/>
        <w:widowControl/>
        <w:rPr>
          <w:rFonts w:ascii="Times New Roman" w:hAnsi="Times New Roman"/>
        </w:rPr>
      </w:pPr>
      <w:r w:rsidRPr="00BE70CC">
        <w:rPr>
          <w:rFonts w:ascii="Times New Roman" w:hAnsi="Times New Roman"/>
        </w:rPr>
        <w:t>F</w:t>
      </w:r>
      <w:r w:rsidRPr="00BE70CC">
        <w:rPr>
          <w:rFonts w:ascii="Times New Roman" w:hAnsi="Times New Roman"/>
          <w:caps w:val="0"/>
        </w:rPr>
        <w:t>ederal Communications Commission</w:t>
      </w:r>
    </w:p>
    <w:p w:rsidR="00E273E3" w:rsidRPr="00BE70CC" w:rsidP="002659F3" w14:paraId="6487555E" w14:textId="38DF04A0">
      <w:pPr>
        <w:pStyle w:val="StyleBoldCentered"/>
        <w:widowControl/>
        <w:rPr>
          <w:rFonts w:ascii="Times New Roman" w:hAnsi="Times New Roman"/>
        </w:rPr>
      </w:pPr>
      <w:r w:rsidRPr="00BE70CC">
        <w:rPr>
          <w:rFonts w:ascii="Times New Roman" w:hAnsi="Times New Roman"/>
          <w:caps w:val="0"/>
        </w:rPr>
        <w:t>Washington</w:t>
      </w:r>
      <w:r w:rsidR="00BD0B73">
        <w:rPr>
          <w:rFonts w:ascii="Times New Roman" w:hAnsi="Times New Roman"/>
        </w:rPr>
        <w:t>, D</w:t>
      </w:r>
      <w:r w:rsidR="001E7C0D">
        <w:rPr>
          <w:rFonts w:ascii="Times New Roman" w:hAnsi="Times New Roman"/>
        </w:rPr>
        <w:t>.</w:t>
      </w:r>
      <w:r w:rsidR="00BD0B73">
        <w:rPr>
          <w:rFonts w:ascii="Times New Roman" w:hAnsi="Times New Roman"/>
        </w:rPr>
        <w:t>C</w:t>
      </w:r>
      <w:r w:rsidR="001E7C0D">
        <w:rPr>
          <w:rFonts w:ascii="Times New Roman" w:hAnsi="Times New Roman"/>
        </w:rPr>
        <w:t>.</w:t>
      </w:r>
      <w:r w:rsidRPr="00BE70CC">
        <w:rPr>
          <w:rFonts w:ascii="Times New Roman" w:hAnsi="Times New Roman"/>
        </w:rPr>
        <w:t xml:space="preserve"> 20554</w:t>
      </w:r>
    </w:p>
    <w:p w:rsidR="00E273E3" w:rsidRPr="00BE70CC" w:rsidP="002659F3" w14:paraId="36E2EA77" w14:textId="77777777">
      <w:pPr>
        <w:widowControl/>
      </w:pPr>
    </w:p>
    <w:tbl>
      <w:tblPr>
        <w:tblW w:w="0" w:type="auto"/>
        <w:tblLayout w:type="fixed"/>
        <w:tblLook w:val="0000"/>
      </w:tblPr>
      <w:tblGrid>
        <w:gridCol w:w="4698"/>
        <w:gridCol w:w="630"/>
        <w:gridCol w:w="4248"/>
      </w:tblGrid>
      <w:tr w14:paraId="130714DD" w14:textId="77777777">
        <w:tblPrEx>
          <w:tblW w:w="0" w:type="auto"/>
          <w:tblLayout w:type="fixed"/>
          <w:tblLook w:val="0000"/>
        </w:tblPrEx>
        <w:tc>
          <w:tcPr>
            <w:tcW w:w="4698" w:type="dxa"/>
          </w:tcPr>
          <w:p w:rsidR="00ED3A3D" w:rsidRPr="00ED3A3D" w:rsidP="00ED3A3D" w14:paraId="3F871DBB" w14:textId="77777777">
            <w:pPr>
              <w:widowControl/>
              <w:suppressAutoHyphens/>
              <w:rPr>
                <w:spacing w:val="-2"/>
              </w:rPr>
            </w:pPr>
            <w:r w:rsidRPr="00ED3A3D">
              <w:rPr>
                <w:spacing w:val="-2"/>
              </w:rPr>
              <w:t>In the Matter of</w:t>
            </w:r>
          </w:p>
          <w:p w:rsidR="00ED3A3D" w:rsidRPr="00ED3A3D" w:rsidP="00ED3A3D" w14:paraId="3D8C5465" w14:textId="77777777">
            <w:pPr>
              <w:widowControl/>
              <w:suppressAutoHyphens/>
              <w:rPr>
                <w:spacing w:val="-2"/>
              </w:rPr>
            </w:pPr>
          </w:p>
          <w:p w:rsidR="00ED3A3D" w:rsidRPr="00ED3A3D" w:rsidP="00ED3A3D" w14:paraId="4B8E68C7" w14:textId="77777777">
            <w:pPr>
              <w:widowControl/>
              <w:suppressAutoHyphens/>
              <w:rPr>
                <w:spacing w:val="-2"/>
              </w:rPr>
            </w:pPr>
            <w:r w:rsidRPr="00ED3A3D">
              <w:rPr>
                <w:spacing w:val="-2"/>
              </w:rPr>
              <w:t xml:space="preserve">ViaTalk, LLC </w:t>
            </w:r>
          </w:p>
          <w:p w:rsidR="00ED3A3D" w:rsidRPr="00ED3A3D" w:rsidP="00ED3A3D" w14:paraId="31567C13" w14:textId="77777777">
            <w:pPr>
              <w:widowControl/>
              <w:suppressAutoHyphens/>
              <w:rPr>
                <w:spacing w:val="-2"/>
              </w:rPr>
            </w:pPr>
          </w:p>
          <w:p w:rsidR="00E273E3" w:rsidRPr="00BE70CC" w:rsidP="00ED3A3D" w14:paraId="19C27D7C" w14:textId="053745C3">
            <w:pPr>
              <w:widowControl/>
              <w:suppressAutoHyphens/>
              <w:rPr>
                <w:spacing w:val="-2"/>
              </w:rPr>
            </w:pPr>
          </w:p>
        </w:tc>
        <w:tc>
          <w:tcPr>
            <w:tcW w:w="630" w:type="dxa"/>
          </w:tcPr>
          <w:p w:rsidR="00E273E3" w:rsidRPr="00BE70CC" w:rsidP="002659F3" w14:paraId="5554C1B5" w14:textId="77777777">
            <w:pPr>
              <w:widowControl/>
              <w:suppressAutoHyphens/>
              <w:rPr>
                <w:spacing w:val="-2"/>
              </w:rPr>
            </w:pPr>
            <w:r w:rsidRPr="00BE70CC">
              <w:rPr>
                <w:spacing w:val="-2"/>
              </w:rPr>
              <w:t>)</w:t>
            </w:r>
          </w:p>
          <w:p w:rsidR="00E273E3" w:rsidRPr="00BE70CC" w:rsidP="002659F3" w14:paraId="2F98176B" w14:textId="77777777">
            <w:pPr>
              <w:widowControl/>
              <w:suppressAutoHyphens/>
              <w:rPr>
                <w:spacing w:val="-2"/>
              </w:rPr>
            </w:pPr>
            <w:r w:rsidRPr="00BE70CC">
              <w:rPr>
                <w:spacing w:val="-2"/>
              </w:rPr>
              <w:t>)</w:t>
            </w:r>
          </w:p>
          <w:p w:rsidR="00E273E3" w:rsidRPr="00BE70CC" w:rsidP="002659F3" w14:paraId="78C73577" w14:textId="77777777">
            <w:pPr>
              <w:widowControl/>
              <w:suppressAutoHyphens/>
              <w:rPr>
                <w:spacing w:val="-2"/>
              </w:rPr>
            </w:pPr>
            <w:r w:rsidRPr="00BE70CC">
              <w:rPr>
                <w:spacing w:val="-2"/>
              </w:rPr>
              <w:t>)</w:t>
            </w:r>
          </w:p>
          <w:p w:rsidR="00E273E3" w:rsidRPr="00BE70CC" w:rsidP="002659F3" w14:paraId="0D5B0F05" w14:textId="77777777">
            <w:pPr>
              <w:widowControl/>
              <w:suppressAutoHyphens/>
              <w:rPr>
                <w:spacing w:val="-2"/>
              </w:rPr>
            </w:pPr>
            <w:r w:rsidRPr="00BE70CC">
              <w:rPr>
                <w:spacing w:val="-2"/>
              </w:rPr>
              <w:t>)</w:t>
            </w:r>
          </w:p>
          <w:p w:rsidR="00E273E3" w:rsidRPr="00BE70CC" w:rsidP="002659F3" w14:paraId="795BDECC" w14:textId="77777777">
            <w:pPr>
              <w:widowControl/>
              <w:suppressAutoHyphens/>
              <w:rPr>
                <w:spacing w:val="-2"/>
              </w:rPr>
            </w:pPr>
          </w:p>
        </w:tc>
        <w:tc>
          <w:tcPr>
            <w:tcW w:w="4248" w:type="dxa"/>
          </w:tcPr>
          <w:p w:rsidR="00E273E3" w:rsidRPr="00BE70CC" w:rsidP="002659F3" w14:paraId="547F29DA" w14:textId="77777777">
            <w:pPr>
              <w:widowControl/>
              <w:suppressAutoHyphens/>
              <w:rPr>
                <w:spacing w:val="-2"/>
              </w:rPr>
            </w:pPr>
          </w:p>
          <w:p w:rsidR="00E273E3" w:rsidRPr="00BE70CC" w:rsidP="002659F3" w14:paraId="2D755FD8" w14:textId="77777777">
            <w:pPr>
              <w:widowControl/>
              <w:suppressAutoHyphens/>
              <w:rPr>
                <w:spacing w:val="-2"/>
              </w:rPr>
            </w:pPr>
          </w:p>
          <w:p w:rsidR="00E273E3" w:rsidRPr="00BE70CC" w:rsidP="00EE05DB" w14:paraId="0AEABE89" w14:textId="168581CA">
            <w:pPr>
              <w:widowControl/>
              <w:suppressAutoHyphens/>
              <w:ind w:left="432"/>
              <w:rPr>
                <w:spacing w:val="-2"/>
              </w:rPr>
            </w:pPr>
            <w:r w:rsidRPr="00AA595D">
              <w:rPr>
                <w:spacing w:val="-2"/>
              </w:rPr>
              <w:t xml:space="preserve">File No.:  </w:t>
            </w:r>
            <w:r w:rsidRPr="00AA595D" w:rsidR="00AA595D">
              <w:rPr>
                <w:spacing w:val="-2"/>
              </w:rPr>
              <w:t>EB-TCD-21-00032632</w:t>
            </w:r>
          </w:p>
          <w:p w:rsidR="00E273E3" w:rsidRPr="00BE70CC" w:rsidP="00ED3A3D" w14:paraId="052FBA34" w14:textId="77777777">
            <w:pPr>
              <w:widowControl/>
              <w:suppressAutoHyphens/>
              <w:ind w:left="432"/>
              <w:rPr>
                <w:spacing w:val="-2"/>
              </w:rPr>
            </w:pPr>
          </w:p>
        </w:tc>
      </w:tr>
    </w:tbl>
    <w:p w:rsidR="00E273E3" w:rsidRPr="00BE70CC" w:rsidP="002659F3" w14:paraId="11B83010" w14:textId="77777777">
      <w:pPr>
        <w:pStyle w:val="StyleBoldCentered"/>
        <w:widowControl/>
        <w:spacing w:after="220"/>
      </w:pPr>
      <w:r w:rsidRPr="00BE70CC">
        <w:t xml:space="preserve">CITATION AND </w:t>
      </w:r>
      <w:r w:rsidRPr="00BE70CC">
        <w:t>ORDER</w:t>
      </w:r>
    </w:p>
    <w:p w:rsidR="00E36B56" w:rsidP="005321F0" w14:paraId="1CA4C013" w14:textId="77777777">
      <w:pPr>
        <w:spacing w:after="240"/>
        <w:jc w:val="center"/>
        <w:rPr>
          <w:b/>
          <w:szCs w:val="22"/>
        </w:rPr>
      </w:pPr>
      <w:r>
        <w:rPr>
          <w:b/>
          <w:szCs w:val="22"/>
        </w:rPr>
        <w:t xml:space="preserve">Failure to </w:t>
      </w:r>
      <w:r w:rsidR="00F53FB4">
        <w:rPr>
          <w:b/>
          <w:szCs w:val="22"/>
        </w:rPr>
        <w:t>Ensur</w:t>
      </w:r>
      <w:r>
        <w:rPr>
          <w:b/>
          <w:szCs w:val="22"/>
        </w:rPr>
        <w:t>e</w:t>
      </w:r>
      <w:r w:rsidR="00F53FB4">
        <w:rPr>
          <w:b/>
          <w:szCs w:val="22"/>
        </w:rPr>
        <w:t xml:space="preserve"> </w:t>
      </w:r>
      <w:r w:rsidR="00ED3A3D">
        <w:rPr>
          <w:b/>
          <w:szCs w:val="22"/>
        </w:rPr>
        <w:t xml:space="preserve">Access to Information </w:t>
      </w:r>
    </w:p>
    <w:p w:rsidR="005321F0" w:rsidRPr="00BE70CC" w:rsidP="005321F0" w14:paraId="62189E1E" w14:textId="217896C0">
      <w:pPr>
        <w:spacing w:after="240"/>
        <w:jc w:val="center"/>
        <w:rPr>
          <w:b/>
          <w:szCs w:val="22"/>
        </w:rPr>
      </w:pPr>
      <w:r>
        <w:rPr>
          <w:b/>
          <w:szCs w:val="22"/>
        </w:rPr>
        <w:t>Failure to File Annual Compliance Certifications</w:t>
      </w:r>
    </w:p>
    <w:p w:rsidR="00E273E3" w:rsidRPr="00BE70CC" w:rsidP="00226191" w14:paraId="6576C99A" w14:textId="119DE2B6">
      <w:pPr>
        <w:widowControl/>
        <w:tabs>
          <w:tab w:val="right" w:pos="9360"/>
        </w:tabs>
        <w:suppressAutoHyphens/>
        <w:rPr>
          <w:spacing w:val="-2"/>
        </w:rPr>
      </w:pPr>
      <w:r w:rsidRPr="00BE70CC">
        <w:rPr>
          <w:b/>
          <w:spacing w:val="-2"/>
        </w:rPr>
        <w:t xml:space="preserve">Adopted:  </w:t>
      </w:r>
      <w:r w:rsidR="0095179D">
        <w:rPr>
          <w:b/>
          <w:spacing w:val="-2"/>
        </w:rPr>
        <w:t>August 18, 2021</w:t>
      </w:r>
      <w:r w:rsidRPr="00BE70CC" w:rsidR="006D2212">
        <w:rPr>
          <w:b/>
          <w:spacing w:val="-2"/>
        </w:rPr>
        <w:tab/>
        <w:t xml:space="preserve">Released:  </w:t>
      </w:r>
      <w:r w:rsidR="0095179D">
        <w:rPr>
          <w:b/>
          <w:spacing w:val="-2"/>
        </w:rPr>
        <w:t>August 18, 2021</w:t>
      </w:r>
    </w:p>
    <w:p w:rsidR="00E273E3" w:rsidRPr="00BE70CC" w:rsidP="00EE05DB" w14:paraId="1920F795" w14:textId="77777777">
      <w:pPr>
        <w:widowControl/>
        <w:jc w:val="center"/>
      </w:pPr>
    </w:p>
    <w:p w:rsidR="00E273E3" w:rsidRPr="00BE70CC" w:rsidP="002659F3" w14:paraId="20C6D26B" w14:textId="37042CE1">
      <w:pPr>
        <w:widowControl/>
        <w:rPr>
          <w:spacing w:val="-2"/>
        </w:rPr>
      </w:pPr>
      <w:r w:rsidRPr="00BE70CC">
        <w:t xml:space="preserve">By the </w:t>
      </w:r>
      <w:r w:rsidRPr="006D73F2" w:rsidR="00EE36BE">
        <w:rPr>
          <w:spacing w:val="-2"/>
          <w:szCs w:val="22"/>
        </w:rPr>
        <w:t>Chief, Enforcement Bureau:</w:t>
      </w:r>
    </w:p>
    <w:p w:rsidR="00E273E3" w:rsidRPr="00BE70CC" w:rsidP="002659F3" w14:paraId="06830AB2" w14:textId="77777777">
      <w:pPr>
        <w:widowControl/>
        <w:rPr>
          <w:spacing w:val="-2"/>
        </w:rPr>
      </w:pPr>
    </w:p>
    <w:p w:rsidR="00E273E3" w:rsidRPr="00BE70CC" w:rsidP="00226191" w14:paraId="6C3E0E80" w14:textId="77777777">
      <w:pPr>
        <w:pStyle w:val="Heading1"/>
      </w:pPr>
      <w:bookmarkStart w:id="0" w:name="_Toc379288998"/>
      <w:bookmarkStart w:id="1" w:name="_Toc379365499"/>
      <w:r w:rsidRPr="00BE70CC">
        <w:t>NOTICE OF CITATION</w:t>
      </w:r>
      <w:bookmarkEnd w:id="0"/>
      <w:bookmarkEnd w:id="1"/>
    </w:p>
    <w:p w:rsidR="001E5FFC" w:rsidRPr="001E5FFC" w:rsidP="008D682F" w14:paraId="36613C1F" w14:textId="1CA7226F">
      <w:pPr>
        <w:pStyle w:val="ParaNum"/>
        <w:rPr>
          <w:i/>
        </w:rPr>
      </w:pPr>
      <w:r>
        <w:t>T</w:t>
      </w:r>
      <w:r w:rsidRPr="00BE70CC" w:rsidR="00500FF2">
        <w:t xml:space="preserve">his </w:t>
      </w:r>
      <w:r w:rsidRPr="00BE70CC" w:rsidR="00500FF2">
        <w:rPr>
          <w:b/>
        </w:rPr>
        <w:t>CITATION AND ORDER</w:t>
      </w:r>
      <w:r w:rsidRPr="00BE70CC" w:rsidR="00716E89">
        <w:rPr>
          <w:b/>
        </w:rPr>
        <w:t xml:space="preserve"> </w:t>
      </w:r>
      <w:r w:rsidRPr="00BE70CC" w:rsidR="00716E89">
        <w:t>(Citation)</w:t>
      </w:r>
      <w:r>
        <w:t>, notifies</w:t>
      </w:r>
      <w:r w:rsidRPr="00BE70CC" w:rsidR="00500FF2">
        <w:t xml:space="preserve"> </w:t>
      </w:r>
      <w:r w:rsidR="00E3797B">
        <w:t xml:space="preserve">ViaTalk, LLC </w:t>
      </w:r>
      <w:r w:rsidRPr="00BE70CC" w:rsidR="00E273E3">
        <w:t>(</w:t>
      </w:r>
      <w:r w:rsidR="00E3797B">
        <w:t>ViaTalk)</w:t>
      </w:r>
      <w:r w:rsidRPr="00BE70CC" w:rsidR="00E273E3">
        <w:t xml:space="preserve"> </w:t>
      </w:r>
      <w:r w:rsidRPr="00BE70CC" w:rsidR="00500FF2">
        <w:t xml:space="preserve">that it </w:t>
      </w:r>
      <w:r w:rsidR="00E3797B">
        <w:t xml:space="preserve">failed to </w:t>
      </w:r>
      <w:bookmarkStart w:id="2" w:name="_Hlk79051203"/>
      <w:r w:rsidR="00E3797B">
        <w:t xml:space="preserve">ensure </w:t>
      </w:r>
      <w:r w:rsidR="000A7F7D">
        <w:t xml:space="preserve">that </w:t>
      </w:r>
      <w:r w:rsidR="00E3797B">
        <w:t>individuals with disabilities had access to information provided to other customers and failed to file annual compliance certifications with the Commission</w:t>
      </w:r>
      <w:bookmarkEnd w:id="2"/>
      <w:r w:rsidRPr="00BE70CC" w:rsidR="00500FF2">
        <w:t xml:space="preserve">.  We direct </w:t>
      </w:r>
      <w:r w:rsidR="00E3797B">
        <w:t>ViaTalk</w:t>
      </w:r>
      <w:r w:rsidRPr="00BE70CC" w:rsidR="00500FF2">
        <w:t xml:space="preserve"> to take immediate steps to comply with </w:t>
      </w:r>
      <w:r w:rsidR="00E3797B">
        <w:t>the accessibility rules applicable to service providers</w:t>
      </w:r>
      <w:r w:rsidR="00EA7956">
        <w:t xml:space="preserve"> subject to section 255, 716, or 718 of the Act, including filing its 2021 annual compliance certification within 30 days </w:t>
      </w:r>
      <w:r w:rsidR="00C016EF">
        <w:t>after</w:t>
      </w:r>
      <w:r w:rsidR="00EA7956">
        <w:t xml:space="preserve"> the release of this Order</w:t>
      </w:r>
      <w:r w:rsidRPr="00BE70CC" w:rsidR="00500FF2">
        <w:t xml:space="preserve">.  </w:t>
      </w:r>
    </w:p>
    <w:p w:rsidR="00EF1FDD" w:rsidRPr="00BE70CC" w:rsidP="00716E89" w14:paraId="5C41C403" w14:textId="52E0C5FA">
      <w:pPr>
        <w:pStyle w:val="ParaNum"/>
      </w:pPr>
      <w:r w:rsidRPr="00BE70CC">
        <w:rPr>
          <w:b/>
          <w:i/>
        </w:rPr>
        <w:t xml:space="preserve">Notice of Duty to Comply with </w:t>
      </w:r>
      <w:r w:rsidRPr="00BE70CC" w:rsidR="00F6754D">
        <w:rPr>
          <w:b/>
          <w:i/>
        </w:rPr>
        <w:t>the Law</w:t>
      </w:r>
      <w:r w:rsidRPr="00BE70CC">
        <w:t xml:space="preserve">:  </w:t>
      </w:r>
      <w:r w:rsidRPr="00BE70CC" w:rsidR="00716E89">
        <w:t xml:space="preserve">We issue this Citation pursuant to </w:t>
      </w:r>
      <w:r w:rsidR="002141E6">
        <w:t>s</w:t>
      </w:r>
      <w:r w:rsidRPr="00BE70CC" w:rsidR="00716E89">
        <w:t xml:space="preserve">ection 503(b)(5) of the Communications Act of 1934, as amended (Act), which </w:t>
      </w:r>
      <w:r w:rsidRPr="00BE70CC" w:rsidR="00727F4F">
        <w:t xml:space="preserve">states that the Commission may not impose </w:t>
      </w:r>
      <w:r w:rsidRPr="00BE70CC" w:rsidR="00716E89">
        <w:t>monetary forfeitures against</w:t>
      </w:r>
      <w:r w:rsidR="00782388">
        <w:t xml:space="preserve"> entities without FCC authorizations </w:t>
      </w:r>
      <w:r w:rsidRPr="00BE70CC" w:rsidR="00716E89">
        <w:t>who violate Commission rules or the Act</w:t>
      </w:r>
      <w:r w:rsidRPr="00BE70CC" w:rsidR="00727F4F">
        <w:t xml:space="preserve"> </w:t>
      </w:r>
      <w:r w:rsidRPr="00BE70CC" w:rsidR="00C42D39">
        <w:t>unless and until</w:t>
      </w:r>
      <w:r w:rsidRPr="00BE70CC" w:rsidR="00BF39AF">
        <w:t xml:space="preserve">: </w:t>
      </w:r>
      <w:r w:rsidRPr="00BE70CC" w:rsidR="00716E89">
        <w:t xml:space="preserve"> (a)</w:t>
      </w:r>
      <w:r w:rsidRPr="00BE70CC" w:rsidR="00C42D39">
        <w:t xml:space="preserve"> the Commission</w:t>
      </w:r>
      <w:r w:rsidRPr="00BE70CC" w:rsidR="00716E89">
        <w:t xml:space="preserve"> issues a citation to the violator</w:t>
      </w:r>
      <w:r w:rsidRPr="00BE70CC" w:rsidR="00C42D39">
        <w:t xml:space="preserve">; (b) the Commission </w:t>
      </w:r>
      <w:r w:rsidRPr="00BE70CC" w:rsidR="00716E89">
        <w:t>provides the violator a reasonable opportunity to respond; and (c) the violator subsequently engages in conduct described in the citation.</w:t>
      </w:r>
      <w:r>
        <w:rPr>
          <w:rStyle w:val="FootnoteReference"/>
          <w:kern w:val="2"/>
          <w:szCs w:val="22"/>
        </w:rPr>
        <w:footnoteReference w:id="3"/>
      </w:r>
      <w:r w:rsidRPr="00BE70CC" w:rsidR="00716E89">
        <w:t xml:space="preserve">  </w:t>
      </w:r>
      <w:r w:rsidRPr="00BE70CC" w:rsidR="006E6234">
        <w:t xml:space="preserve">Accordingly, </w:t>
      </w:r>
      <w:r w:rsidR="001E5FFC">
        <w:t>ViaTalk</w:t>
      </w:r>
      <w:r w:rsidRPr="00BE70CC" w:rsidR="00BF790E">
        <w:t xml:space="preserve"> </w:t>
      </w:r>
      <w:r w:rsidRPr="00BE70CC" w:rsidR="00BF790E">
        <w:rPr>
          <w:kern w:val="2"/>
        </w:rPr>
        <w:t>is hereby on notice that it must comply with</w:t>
      </w:r>
      <w:r w:rsidR="001E5FFC">
        <w:rPr>
          <w:kern w:val="2"/>
        </w:rPr>
        <w:t xml:space="preserve"> section 255 of the Act</w:t>
      </w:r>
      <w:r>
        <w:rPr>
          <w:rStyle w:val="FootnoteReference"/>
          <w:kern w:val="2"/>
        </w:rPr>
        <w:footnoteReference w:id="4"/>
      </w:r>
      <w:r w:rsidR="001E5FFC">
        <w:rPr>
          <w:kern w:val="2"/>
        </w:rPr>
        <w:t xml:space="preserve"> and </w:t>
      </w:r>
      <w:r w:rsidRPr="00BE70CC" w:rsidR="00BF790E">
        <w:rPr>
          <w:kern w:val="2"/>
        </w:rPr>
        <w:t xml:space="preserve"> </w:t>
      </w:r>
      <w:r w:rsidR="002141E6">
        <w:rPr>
          <w:kern w:val="2"/>
        </w:rPr>
        <w:t>s</w:t>
      </w:r>
      <w:r w:rsidRPr="00BE70CC" w:rsidR="0027183B">
        <w:rPr>
          <w:kern w:val="2"/>
        </w:rPr>
        <w:t>ection</w:t>
      </w:r>
      <w:r w:rsidR="001E5FFC">
        <w:rPr>
          <w:kern w:val="2"/>
        </w:rPr>
        <w:t>s 6.11(a) and 14.31(b)</w:t>
      </w:r>
      <w:r w:rsidRPr="00BE70CC" w:rsidR="0027183B">
        <w:rPr>
          <w:color w:val="000000"/>
          <w:kern w:val="2"/>
        </w:rPr>
        <w:t xml:space="preserve"> of the </w:t>
      </w:r>
      <w:r w:rsidRPr="00BE70CC" w:rsidR="00C42D39">
        <w:rPr>
          <w:color w:val="000000"/>
          <w:kern w:val="2"/>
        </w:rPr>
        <w:t>Commission’s rules</w:t>
      </w:r>
      <w:r w:rsidRPr="00BE70CC" w:rsidR="00BF790E">
        <w:rPr>
          <w:color w:val="000000"/>
          <w:kern w:val="2"/>
        </w:rPr>
        <w:t>.</w:t>
      </w:r>
      <w:r>
        <w:rPr>
          <w:rStyle w:val="FootnoteReference"/>
          <w:kern w:val="2"/>
        </w:rPr>
        <w:footnoteReference w:id="5"/>
      </w:r>
      <w:r w:rsidRPr="00BE70CC" w:rsidR="00BF790E">
        <w:rPr>
          <w:color w:val="000000"/>
          <w:kern w:val="2"/>
        </w:rPr>
        <w:t xml:space="preserve">  </w:t>
      </w:r>
      <w:r w:rsidRPr="00FB3E3B" w:rsidR="00FB3E3B">
        <w:rPr>
          <w:color w:val="000000"/>
          <w:kern w:val="2"/>
        </w:rPr>
        <w:t xml:space="preserve">If ViaTalk fails to comply with these </w:t>
      </w:r>
      <w:r w:rsidR="00117582">
        <w:rPr>
          <w:color w:val="000000"/>
          <w:kern w:val="2"/>
        </w:rPr>
        <w:t>requirements</w:t>
      </w:r>
      <w:r w:rsidRPr="00FB3E3B" w:rsidR="00FB3E3B">
        <w:rPr>
          <w:color w:val="000000"/>
          <w:kern w:val="2"/>
        </w:rPr>
        <w:t>, it may be liable for significant penalties</w:t>
      </w:r>
      <w:r w:rsidR="00FB3E3B">
        <w:rPr>
          <w:color w:val="000000"/>
          <w:kern w:val="2"/>
        </w:rPr>
        <w:t xml:space="preserve"> and sanctions</w:t>
      </w:r>
      <w:r w:rsidRPr="00FB3E3B" w:rsidR="00FB3E3B">
        <w:rPr>
          <w:color w:val="000000"/>
          <w:kern w:val="2"/>
        </w:rPr>
        <w:t>, including fines of up to $100,000 per violation or per day of a continuing violation, not to exceed $1,000,000 for any single act or failure to act.</w:t>
      </w:r>
      <w:r>
        <w:rPr>
          <w:rStyle w:val="FootnoteReference"/>
          <w:kern w:val="2"/>
        </w:rPr>
        <w:footnoteReference w:id="6"/>
      </w:r>
      <w:r w:rsidRPr="00FB3E3B" w:rsidR="00FB3E3B">
        <w:rPr>
          <w:color w:val="000000"/>
          <w:kern w:val="2"/>
        </w:rPr>
        <w:t xml:space="preserve"> </w:t>
      </w:r>
      <w:r w:rsidR="002F3405">
        <w:rPr>
          <w:color w:val="000000"/>
          <w:kern w:val="2"/>
        </w:rPr>
        <w:t xml:space="preserve"> </w:t>
      </w:r>
      <w:r w:rsidRPr="00BE70CC" w:rsidR="00BF790E">
        <w:rPr>
          <w:kern w:val="2"/>
        </w:rPr>
        <w:t>In assessing such forfeitures, the Commission may consider both the conduct that led to this Citation and the conduct following it.</w:t>
      </w:r>
      <w:r>
        <w:rPr>
          <w:kern w:val="2"/>
          <w:vertAlign w:val="superscript"/>
        </w:rPr>
        <w:footnoteReference w:id="7"/>
      </w:r>
    </w:p>
    <w:p w:rsidR="00E273E3" w:rsidP="00226191" w14:paraId="520F37DF" w14:textId="68F9B92A">
      <w:pPr>
        <w:pStyle w:val="Heading1"/>
      </w:pPr>
      <w:bookmarkStart w:id="3" w:name="_Toc379288999"/>
      <w:bookmarkStart w:id="4" w:name="_Toc379365500"/>
      <w:r w:rsidRPr="00BE70CC">
        <w:t>BACKGROUND</w:t>
      </w:r>
      <w:bookmarkEnd w:id="3"/>
      <w:bookmarkEnd w:id="4"/>
      <w:r w:rsidRPr="00BE70CC" w:rsidR="00A8604A">
        <w:t xml:space="preserve"> </w:t>
      </w:r>
    </w:p>
    <w:p w:rsidR="00EE6E00" w:rsidRPr="00BE70CC" w:rsidP="00226191" w14:paraId="0F5E94CE" w14:textId="1D898A3C">
      <w:pPr>
        <w:pStyle w:val="ParaNum"/>
      </w:pPr>
      <w:r>
        <w:t xml:space="preserve">Congress </w:t>
      </w:r>
      <w:r w:rsidR="00E44170">
        <w:t xml:space="preserve">adopted laws to bring the benefits of communications to all Americans, including the millions </w:t>
      </w:r>
      <w:r w:rsidR="00117582">
        <w:t xml:space="preserve">of individuals </w:t>
      </w:r>
      <w:r w:rsidR="00E44170">
        <w:t xml:space="preserve">with disabilities who face accessibility barriers </w:t>
      </w:r>
      <w:r w:rsidR="00B94A16">
        <w:t>in</w:t>
      </w:r>
      <w:r w:rsidR="00E44170">
        <w:t xml:space="preserve"> </w:t>
      </w:r>
      <w:r w:rsidR="00B94A16">
        <w:t xml:space="preserve">utilizing </w:t>
      </w:r>
      <w:r w:rsidR="00E44170">
        <w:t xml:space="preserve">communications products and services.  </w:t>
      </w:r>
      <w:r w:rsidRPr="001229B0">
        <w:t xml:space="preserve">Sections 255 and 716 </w:t>
      </w:r>
      <w:r>
        <w:t xml:space="preserve">of the Act </w:t>
      </w:r>
      <w:r w:rsidRPr="001229B0">
        <w:t xml:space="preserve">generally require equipment manufacturers and service providers to make their products and services accessible to and usable by </w:t>
      </w:r>
      <w:r w:rsidRPr="001229B0">
        <w:t>individuals with disabilities.</w:t>
      </w:r>
      <w:r>
        <w:rPr>
          <w:rStyle w:val="FootnoteReference"/>
        </w:rPr>
        <w:footnoteReference w:id="8"/>
      </w:r>
      <w:r w:rsidRPr="001229B0">
        <w:t xml:space="preserve">  </w:t>
      </w:r>
      <w:r w:rsidR="00284377">
        <w:t>T</w:t>
      </w:r>
      <w:r w:rsidR="00117582">
        <w:t>he Commission has established rules t</w:t>
      </w:r>
      <w:r w:rsidR="00302578">
        <w:t xml:space="preserve">o implement the </w:t>
      </w:r>
      <w:r w:rsidR="0073381B">
        <w:t xml:space="preserve">Act’s </w:t>
      </w:r>
      <w:r w:rsidR="00302578">
        <w:t>accessibility provisions.</w:t>
      </w:r>
    </w:p>
    <w:p w:rsidR="0096675D" w:rsidRPr="00BE70CC" w:rsidP="00117582" w14:paraId="3A7F5EA1" w14:textId="77777777">
      <w:pPr>
        <w:pStyle w:val="Heading1"/>
      </w:pPr>
      <w:r w:rsidRPr="00BE70CC">
        <w:t xml:space="preserve">aPPLICABLE LAW </w:t>
      </w:r>
      <w:r w:rsidRPr="00BE70CC" w:rsidR="00654D13">
        <w:t>and violations</w:t>
      </w:r>
    </w:p>
    <w:p w:rsidR="00C935BB" w:rsidRPr="00C935BB" w:rsidP="00F50F55" w14:paraId="69535302" w14:textId="0CD156D1">
      <w:pPr>
        <w:pStyle w:val="ParaNum"/>
      </w:pPr>
      <w:r w:rsidRPr="00BE70CC">
        <w:rPr>
          <w:szCs w:val="22"/>
        </w:rPr>
        <w:t xml:space="preserve">Section </w:t>
      </w:r>
      <w:r w:rsidR="00024E11">
        <w:rPr>
          <w:szCs w:val="22"/>
        </w:rPr>
        <w:t xml:space="preserve">255(c) of the Act requires </w:t>
      </w:r>
      <w:r w:rsidR="008A6E2C">
        <w:rPr>
          <w:szCs w:val="22"/>
        </w:rPr>
        <w:t xml:space="preserve">telecommunications service providers </w:t>
      </w:r>
      <w:r w:rsidR="00117582">
        <w:rPr>
          <w:szCs w:val="22"/>
        </w:rPr>
        <w:t>to</w:t>
      </w:r>
      <w:r w:rsidR="008A6E2C">
        <w:rPr>
          <w:szCs w:val="22"/>
        </w:rPr>
        <w:t xml:space="preserve"> ensure that the service is accessible to and usable by individuals with disabilities, if readily achievable.</w:t>
      </w:r>
      <w:r>
        <w:rPr>
          <w:rStyle w:val="FootnoteReference"/>
          <w:szCs w:val="22"/>
        </w:rPr>
        <w:footnoteReference w:id="9"/>
      </w:r>
      <w:r w:rsidR="00A413EE">
        <w:rPr>
          <w:szCs w:val="22"/>
        </w:rPr>
        <w:t xml:space="preserve">  </w:t>
      </w:r>
      <w:r w:rsidR="00117582">
        <w:rPr>
          <w:szCs w:val="22"/>
        </w:rPr>
        <w:t>The Commission held that Voice over Internet Protocol (VoIP) service providers must comply with section 255</w:t>
      </w:r>
      <w:r w:rsidR="00524337">
        <w:rPr>
          <w:szCs w:val="22"/>
        </w:rPr>
        <w:t xml:space="preserve"> of the Act</w:t>
      </w:r>
      <w:r>
        <w:rPr>
          <w:rStyle w:val="FootnoteReference"/>
          <w:szCs w:val="22"/>
        </w:rPr>
        <w:footnoteReference w:id="10"/>
      </w:r>
      <w:r w:rsidR="00524337">
        <w:rPr>
          <w:szCs w:val="22"/>
        </w:rPr>
        <w:t xml:space="preserve">  and section 6.1(d) of the Commission’s rules</w:t>
      </w:r>
      <w:r w:rsidR="00117582">
        <w:rPr>
          <w:szCs w:val="22"/>
        </w:rPr>
        <w:t>.</w:t>
      </w:r>
      <w:bookmarkStart w:id="5" w:name="_Hlk79571623"/>
      <w:r>
        <w:rPr>
          <w:rStyle w:val="FootnoteReference"/>
          <w:szCs w:val="22"/>
        </w:rPr>
        <w:footnoteReference w:id="11"/>
      </w:r>
      <w:r w:rsidR="00117582">
        <w:rPr>
          <w:szCs w:val="22"/>
        </w:rPr>
        <w:t xml:space="preserve"> </w:t>
      </w:r>
      <w:bookmarkEnd w:id="5"/>
      <w:r w:rsidR="00117582">
        <w:rPr>
          <w:szCs w:val="22"/>
        </w:rPr>
        <w:t xml:space="preserve"> </w:t>
      </w:r>
      <w:r w:rsidR="00A413EE">
        <w:rPr>
          <w:szCs w:val="22"/>
        </w:rPr>
        <w:t xml:space="preserve">Section 6.11(a) of </w:t>
      </w:r>
      <w:r w:rsidRPr="00BE70CC" w:rsidR="00753BD2">
        <w:rPr>
          <w:szCs w:val="22"/>
        </w:rPr>
        <w:t xml:space="preserve">the </w:t>
      </w:r>
      <w:r w:rsidR="002141E6">
        <w:rPr>
          <w:szCs w:val="22"/>
        </w:rPr>
        <w:t>Commission’s r</w:t>
      </w:r>
      <w:r w:rsidRPr="00BE70CC" w:rsidR="00753BD2">
        <w:rPr>
          <w:szCs w:val="22"/>
        </w:rPr>
        <w:t>ules requires</w:t>
      </w:r>
      <w:r w:rsidR="00A413EE">
        <w:rPr>
          <w:szCs w:val="22"/>
        </w:rPr>
        <w:t xml:space="preserve"> that service providers ensure that individuals with disabilities have access to information and documentatio</w:t>
      </w:r>
      <w:r w:rsidR="00D0253E">
        <w:rPr>
          <w:szCs w:val="22"/>
        </w:rPr>
        <w:t xml:space="preserve">n </w:t>
      </w:r>
      <w:r>
        <w:rPr>
          <w:szCs w:val="22"/>
        </w:rPr>
        <w:t xml:space="preserve">that the service provider </w:t>
      </w:r>
      <w:r w:rsidR="00D0253E">
        <w:rPr>
          <w:szCs w:val="22"/>
        </w:rPr>
        <w:t>provide</w:t>
      </w:r>
      <w:r>
        <w:rPr>
          <w:szCs w:val="22"/>
        </w:rPr>
        <w:t>s</w:t>
      </w:r>
      <w:r w:rsidR="00D0253E">
        <w:rPr>
          <w:szCs w:val="22"/>
        </w:rPr>
        <w:t xml:space="preserve"> to other customers</w:t>
      </w:r>
      <w:r w:rsidR="00861E8A">
        <w:rPr>
          <w:szCs w:val="22"/>
        </w:rPr>
        <w:t>, including product support communications</w:t>
      </w:r>
      <w:r w:rsidR="00D0253E">
        <w:rPr>
          <w:szCs w:val="22"/>
        </w:rPr>
        <w:t>.</w:t>
      </w:r>
      <w:r>
        <w:rPr>
          <w:rStyle w:val="FootnoteReference"/>
          <w:szCs w:val="22"/>
        </w:rPr>
        <w:footnoteReference w:id="12"/>
      </w:r>
      <w:r w:rsidR="00A413EE">
        <w:rPr>
          <w:szCs w:val="22"/>
        </w:rPr>
        <w:t xml:space="preserve"> </w:t>
      </w:r>
    </w:p>
    <w:p w:rsidR="0096675D" w:rsidRPr="000C4B55" w:rsidP="00F50F55" w14:paraId="435E1E61" w14:textId="407036EB">
      <w:pPr>
        <w:pStyle w:val="ParaNum"/>
      </w:pPr>
      <w:r>
        <w:rPr>
          <w:szCs w:val="22"/>
        </w:rPr>
        <w:t>Section 14.31(b)</w:t>
      </w:r>
      <w:r w:rsidR="00023EA3">
        <w:rPr>
          <w:szCs w:val="22"/>
        </w:rPr>
        <w:t xml:space="preserve"> of the Commission’s rules require</w:t>
      </w:r>
      <w:r w:rsidR="003258C9">
        <w:rPr>
          <w:szCs w:val="22"/>
        </w:rPr>
        <w:t xml:space="preserve">s an officer from each entity subject to sections 255, 716, </w:t>
      </w:r>
      <w:r w:rsidR="00573841">
        <w:rPr>
          <w:szCs w:val="22"/>
        </w:rPr>
        <w:t>or</w:t>
      </w:r>
      <w:r w:rsidR="003258C9">
        <w:rPr>
          <w:szCs w:val="22"/>
        </w:rPr>
        <w:t xml:space="preserve"> 718 of the Act </w:t>
      </w:r>
      <w:r w:rsidR="00C935BB">
        <w:rPr>
          <w:szCs w:val="22"/>
        </w:rPr>
        <w:t>to</w:t>
      </w:r>
      <w:r w:rsidR="003258C9">
        <w:rPr>
          <w:szCs w:val="22"/>
        </w:rPr>
        <w:t xml:space="preserve"> file an annual compliance certification with the Commission.</w:t>
      </w:r>
      <w:r>
        <w:rPr>
          <w:rStyle w:val="FootnoteReference"/>
          <w:szCs w:val="22"/>
        </w:rPr>
        <w:footnoteReference w:id="13"/>
      </w:r>
      <w:r w:rsidR="003258C9">
        <w:rPr>
          <w:szCs w:val="22"/>
        </w:rPr>
        <w:t xml:space="preserve"> This annual compliance certification attests to the entity’s accessibility efforts and requires the entity to identify </w:t>
      </w:r>
      <w:r w:rsidR="00573841">
        <w:rPr>
          <w:szCs w:val="22"/>
        </w:rPr>
        <w:t>the</w:t>
      </w:r>
      <w:r w:rsidR="003258C9">
        <w:rPr>
          <w:szCs w:val="22"/>
        </w:rPr>
        <w:t xml:space="preserve"> name and contact </w:t>
      </w:r>
      <w:r w:rsidR="00573841">
        <w:rPr>
          <w:szCs w:val="22"/>
        </w:rPr>
        <w:t xml:space="preserve">information of the person(s) the company has </w:t>
      </w:r>
      <w:r w:rsidR="000C4B55">
        <w:rPr>
          <w:szCs w:val="22"/>
        </w:rPr>
        <w:t>a</w:t>
      </w:r>
      <w:r w:rsidRPr="003258C9" w:rsidR="003258C9">
        <w:rPr>
          <w:szCs w:val="22"/>
        </w:rPr>
        <w:t xml:space="preserve">uthorized to resolve complaints alleging violations of </w:t>
      </w:r>
      <w:r w:rsidR="000C4B55">
        <w:rPr>
          <w:szCs w:val="22"/>
        </w:rPr>
        <w:t>the Commission’s</w:t>
      </w:r>
      <w:r w:rsidRPr="003258C9" w:rsidR="003258C9">
        <w:rPr>
          <w:szCs w:val="22"/>
        </w:rPr>
        <w:t xml:space="preserve"> accessibility rules and sections 255, 716, and 718 of the Act</w:t>
      </w:r>
      <w:r w:rsidR="000C4B55">
        <w:rPr>
          <w:szCs w:val="22"/>
        </w:rPr>
        <w:t>.</w:t>
      </w:r>
      <w:r>
        <w:rPr>
          <w:rStyle w:val="FootnoteReference"/>
          <w:szCs w:val="22"/>
        </w:rPr>
        <w:footnoteReference w:id="14"/>
      </w:r>
      <w:r w:rsidR="000C4B55">
        <w:rPr>
          <w:szCs w:val="22"/>
        </w:rPr>
        <w:t xml:space="preserve">  </w:t>
      </w:r>
    </w:p>
    <w:p w:rsidR="00753BD2" w:rsidRPr="00BE70CC" w:rsidP="000C4B55" w14:paraId="0CC04B8E" w14:textId="1417F6DE">
      <w:pPr>
        <w:pStyle w:val="ParaNum"/>
      </w:pPr>
      <w:r w:rsidRPr="000C4B55">
        <w:rPr>
          <w:iCs/>
        </w:rPr>
        <w:t>ViaT</w:t>
      </w:r>
      <w:r>
        <w:rPr>
          <w:noProof/>
          <w:szCs w:val="22"/>
        </w:rPr>
        <w:t>alk provides interconnected VoIP service.</w:t>
      </w:r>
      <w:r>
        <w:rPr>
          <w:rStyle w:val="FootnoteReference"/>
          <w:noProof/>
          <w:szCs w:val="22"/>
        </w:rPr>
        <w:footnoteReference w:id="15"/>
      </w:r>
      <w:r>
        <w:rPr>
          <w:noProof/>
          <w:szCs w:val="22"/>
        </w:rPr>
        <w:t xml:space="preserve">  </w:t>
      </w:r>
      <w:r w:rsidR="00234165">
        <w:rPr>
          <w:noProof/>
          <w:szCs w:val="22"/>
        </w:rPr>
        <w:t>As an interconnected VoIP service provider, ViaTalk is subject to section 255 of the Act and the Commission’s implementing rules.</w:t>
      </w:r>
      <w:r>
        <w:rPr>
          <w:rStyle w:val="FootnoteReference"/>
          <w:noProof/>
          <w:szCs w:val="22"/>
        </w:rPr>
        <w:footnoteReference w:id="16"/>
      </w:r>
      <w:r w:rsidR="00234165">
        <w:rPr>
          <w:noProof/>
          <w:szCs w:val="22"/>
        </w:rPr>
        <w:t xml:space="preserve">  </w:t>
      </w:r>
      <w:r w:rsidR="00E43AFC">
        <w:rPr>
          <w:noProof/>
          <w:szCs w:val="22"/>
        </w:rPr>
        <w:t>The Commission received an informal complaint that</w:t>
      </w:r>
      <w:r w:rsidR="00C935BB">
        <w:rPr>
          <w:noProof/>
          <w:szCs w:val="22"/>
        </w:rPr>
        <w:t>, among other things, alleged that</w:t>
      </w:r>
      <w:r w:rsidR="00E43AFC">
        <w:rPr>
          <w:noProof/>
          <w:szCs w:val="22"/>
        </w:rPr>
        <w:t xml:space="preserve"> ViaTalk failed to comply with section 255 of the Act</w:t>
      </w:r>
      <w:r w:rsidR="00C935BB">
        <w:rPr>
          <w:noProof/>
          <w:szCs w:val="22"/>
        </w:rPr>
        <w:t xml:space="preserve"> and </w:t>
      </w:r>
      <w:r w:rsidR="002E6841">
        <w:rPr>
          <w:noProof/>
          <w:szCs w:val="22"/>
        </w:rPr>
        <w:t xml:space="preserve">the </w:t>
      </w:r>
      <w:r w:rsidR="00C935BB">
        <w:rPr>
          <w:noProof/>
          <w:szCs w:val="22"/>
        </w:rPr>
        <w:t>Commission</w:t>
      </w:r>
      <w:r w:rsidR="002E6841">
        <w:rPr>
          <w:noProof/>
          <w:szCs w:val="22"/>
        </w:rPr>
        <w:t>’s</w:t>
      </w:r>
      <w:r w:rsidR="00C935BB">
        <w:rPr>
          <w:noProof/>
          <w:szCs w:val="22"/>
        </w:rPr>
        <w:t xml:space="preserve"> rules by</w:t>
      </w:r>
      <w:r w:rsidR="00234165">
        <w:rPr>
          <w:noProof/>
          <w:szCs w:val="22"/>
        </w:rPr>
        <w:t xml:space="preserve"> fail</w:t>
      </w:r>
      <w:r w:rsidR="00C935BB">
        <w:rPr>
          <w:noProof/>
          <w:szCs w:val="22"/>
        </w:rPr>
        <w:t>ing</w:t>
      </w:r>
      <w:r w:rsidR="00234165">
        <w:rPr>
          <w:noProof/>
          <w:szCs w:val="22"/>
        </w:rPr>
        <w:t xml:space="preserve"> to provide product support </w:t>
      </w:r>
      <w:r w:rsidR="00234165">
        <w:rPr>
          <w:noProof/>
          <w:szCs w:val="22"/>
        </w:rPr>
        <w:t xml:space="preserve">information to an individual with </w:t>
      </w:r>
      <w:r w:rsidR="00F7141A">
        <w:rPr>
          <w:noProof/>
          <w:szCs w:val="22"/>
        </w:rPr>
        <w:t xml:space="preserve">a </w:t>
      </w:r>
      <w:r w:rsidR="00234165">
        <w:rPr>
          <w:noProof/>
          <w:szCs w:val="22"/>
        </w:rPr>
        <w:t>disability</w:t>
      </w:r>
      <w:r w:rsidR="00952334">
        <w:rPr>
          <w:noProof/>
          <w:szCs w:val="22"/>
        </w:rPr>
        <w:t>.</w:t>
      </w:r>
      <w:r w:rsidR="00E43AFC">
        <w:rPr>
          <w:noProof/>
          <w:szCs w:val="22"/>
        </w:rPr>
        <w:t xml:space="preserve">  The </w:t>
      </w:r>
      <w:r w:rsidR="00C935BB">
        <w:rPr>
          <w:noProof/>
          <w:szCs w:val="22"/>
        </w:rPr>
        <w:t xml:space="preserve">Commission </w:t>
      </w:r>
      <w:r w:rsidR="00E43AFC">
        <w:rPr>
          <w:noProof/>
          <w:szCs w:val="22"/>
        </w:rPr>
        <w:t xml:space="preserve">determined that ViaTalk failed to ensure that individuals with disabilities were provided access to information </w:t>
      </w:r>
      <w:r w:rsidR="00C935BB">
        <w:rPr>
          <w:noProof/>
          <w:szCs w:val="22"/>
        </w:rPr>
        <w:t xml:space="preserve">that ViaTalk </w:t>
      </w:r>
      <w:r w:rsidR="00E43AFC">
        <w:rPr>
          <w:noProof/>
          <w:szCs w:val="22"/>
        </w:rPr>
        <w:t>provided to other customers.</w:t>
      </w:r>
      <w:r>
        <w:rPr>
          <w:rStyle w:val="FootnoteReference"/>
          <w:noProof/>
          <w:szCs w:val="22"/>
        </w:rPr>
        <w:footnoteReference w:id="17"/>
      </w:r>
      <w:r w:rsidR="00E43AFC">
        <w:rPr>
          <w:noProof/>
          <w:szCs w:val="22"/>
        </w:rPr>
        <w:t xml:space="preserve">  The </w:t>
      </w:r>
      <w:r w:rsidR="00C935BB">
        <w:rPr>
          <w:noProof/>
          <w:szCs w:val="22"/>
        </w:rPr>
        <w:t xml:space="preserve">Commission </w:t>
      </w:r>
      <w:r w:rsidR="00E43AFC">
        <w:rPr>
          <w:noProof/>
          <w:szCs w:val="22"/>
        </w:rPr>
        <w:t>also found</w:t>
      </w:r>
      <w:r w:rsidR="00C935BB">
        <w:rPr>
          <w:noProof/>
          <w:szCs w:val="22"/>
        </w:rPr>
        <w:t xml:space="preserve"> </w:t>
      </w:r>
      <w:r w:rsidR="00E43AFC">
        <w:rPr>
          <w:noProof/>
          <w:szCs w:val="22"/>
        </w:rPr>
        <w:t>that it was readily achievable for ViaTalk to provide access to the information as requested</w:t>
      </w:r>
      <w:r w:rsidR="00234165">
        <w:rPr>
          <w:noProof/>
          <w:szCs w:val="22"/>
        </w:rPr>
        <w:t xml:space="preserve">.  </w:t>
      </w:r>
      <w:r w:rsidR="00D1516F">
        <w:rPr>
          <w:noProof/>
          <w:szCs w:val="22"/>
        </w:rPr>
        <w:t>In addition</w:t>
      </w:r>
      <w:r w:rsidR="00234165">
        <w:rPr>
          <w:noProof/>
          <w:szCs w:val="22"/>
        </w:rPr>
        <w:t xml:space="preserve">, in the course of investigating the </w:t>
      </w:r>
      <w:r w:rsidR="00E43AFC">
        <w:rPr>
          <w:noProof/>
          <w:szCs w:val="22"/>
        </w:rPr>
        <w:t xml:space="preserve">informal complaint, the Bureau determined that ViaTalk </w:t>
      </w:r>
      <w:r w:rsidR="00965C7D">
        <w:rPr>
          <w:noProof/>
          <w:szCs w:val="22"/>
        </w:rPr>
        <w:t>has failed to file</w:t>
      </w:r>
      <w:r w:rsidR="00C54F6A">
        <w:rPr>
          <w:noProof/>
          <w:szCs w:val="22"/>
        </w:rPr>
        <w:t xml:space="preserve"> an annual compliance certification as required by section 14.31(b) of the Commission’s rules since 2012, </w:t>
      </w:r>
      <w:r w:rsidR="00F7141A">
        <w:rPr>
          <w:noProof/>
          <w:szCs w:val="22"/>
        </w:rPr>
        <w:t xml:space="preserve"> </w:t>
      </w:r>
      <w:r w:rsidR="00E43AFC">
        <w:rPr>
          <w:noProof/>
          <w:szCs w:val="22"/>
        </w:rPr>
        <w:t>except in 2020 when it received an inquiry from Commission staff.</w:t>
      </w:r>
      <w:r>
        <w:rPr>
          <w:rStyle w:val="FootnoteReference"/>
          <w:noProof/>
          <w:szCs w:val="22"/>
        </w:rPr>
        <w:footnoteReference w:id="18"/>
      </w:r>
      <w:r w:rsidR="00B66914">
        <w:rPr>
          <w:noProof/>
          <w:szCs w:val="22"/>
        </w:rPr>
        <w:t xml:space="preserve">  </w:t>
      </w:r>
    </w:p>
    <w:p w:rsidR="004D3233" w:rsidRPr="00BE70CC" w:rsidP="003343CA" w14:paraId="58BEC999" w14:textId="77777777">
      <w:pPr>
        <w:pStyle w:val="Heading1"/>
      </w:pPr>
      <w:bookmarkStart w:id="6" w:name="SR;716"/>
      <w:bookmarkStart w:id="7" w:name="SR;717"/>
      <w:bookmarkEnd w:id="6"/>
      <w:bookmarkEnd w:id="7"/>
      <w:r w:rsidRPr="00BE70CC">
        <w:t>Op</w:t>
      </w:r>
      <w:r w:rsidRPr="00BE70CC" w:rsidR="0096675D">
        <w:t>portunity</w:t>
      </w:r>
      <w:r w:rsidRPr="00BE70CC">
        <w:t xml:space="preserve"> to </w:t>
      </w:r>
      <w:r w:rsidRPr="00BE70CC">
        <w:t>respond to this citation</w:t>
      </w:r>
    </w:p>
    <w:p w:rsidR="00E923AC" w:rsidRPr="00690659" w:rsidP="00690659" w14:paraId="00DE3972" w14:textId="5C55434F">
      <w:pPr>
        <w:pStyle w:val="ParaNum"/>
      </w:pPr>
      <w:r w:rsidRPr="00690659">
        <w:t>ViaTalk</w:t>
      </w:r>
      <w:r w:rsidRPr="00690659">
        <w:t xml:space="preserve"> may respond to this Citation within 30 calendar days from the release date of this Citation by any of the following methods:  (1) a written statement, </w:t>
      </w:r>
      <w:r w:rsidRPr="00690659" w:rsidR="00D1516F">
        <w:t xml:space="preserve">or </w:t>
      </w:r>
      <w:r w:rsidRPr="00690659">
        <w:t>(2) a teleconference interview</w:t>
      </w:r>
      <w:r w:rsidR="002F3405">
        <w:t>.</w:t>
      </w:r>
      <w:r w:rsidRPr="00690659">
        <w:t xml:space="preserve">  </w:t>
      </w:r>
    </w:p>
    <w:p w:rsidR="00E923AC" w:rsidRPr="00690659" w:rsidP="00690659" w14:paraId="684E75F2" w14:textId="6F0FE42F">
      <w:pPr>
        <w:pStyle w:val="ParaNum"/>
      </w:pPr>
      <w:r w:rsidRPr="00690659">
        <w:t>If ViaTalk requests a teleconference or personal interview, contact Karen Johnson at karen.johnson@fcc.gov.  We note that such teleconference or interview must take place within 30 calendar days of the release date of this Citation.  If ViaTalk prefers to submit a written response with supporting documentation, it must send the response within 30 calendar days of the release date of this Citation to the contact and address provided in paragraph below.</w:t>
      </w:r>
    </w:p>
    <w:p w:rsidR="00E923AC" w:rsidRPr="00690659" w:rsidP="00690659" w14:paraId="250FB336" w14:textId="38E5F497">
      <w:pPr>
        <w:pStyle w:val="ParaNum"/>
      </w:pPr>
      <w:r w:rsidRPr="00690659">
        <w:t xml:space="preserve">All written communications must be mailed to Sharon Lee, Deputy Chief, Telecommunications Consumers Division, Enforcement Bureau, Federal Communications Commission, 45 L Street, NE, Washington, DC 20554, and must include the Case No. referenced in the caption.  The written statement shall also be emailed to Sharon Lee at Sharon.lee@fcc.gov and to Karen Johnson at karen.johnson@fcc.gov.  </w:t>
      </w:r>
    </w:p>
    <w:p w:rsidR="00E923AC" w:rsidRPr="00E923AC" w:rsidP="00690659" w14:paraId="218D7796" w14:textId="5AF93ECD">
      <w:pPr>
        <w:pStyle w:val="ParaNum"/>
        <w:rPr>
          <w:kern w:val="2"/>
          <w:szCs w:val="22"/>
        </w:rPr>
      </w:pPr>
      <w:r w:rsidRPr="00690659">
        <w:t>Upon request, the Commission will make reasonable accommodations for persons with disabilities.  If applicable, ViaTalk should provide a description of the accommodation required, and include as much detail as possible</w:t>
      </w:r>
      <w:r w:rsidRPr="00E923AC">
        <w:rPr>
          <w:kern w:val="2"/>
        </w:rPr>
        <w:t xml:space="preserve">, and also provide a telephone number and other contact information.  </w:t>
      </w:r>
      <w:r>
        <w:rPr>
          <w:kern w:val="2"/>
        </w:rPr>
        <w:t>ViaTalk</w:t>
      </w:r>
      <w:r w:rsidRPr="00E923AC">
        <w:rPr>
          <w:kern w:val="2"/>
        </w:rPr>
        <w:t xml:space="preserve"> should allow at least five business days advance notice; last minute requests will be accepted, but may be impossible to fill.  </w:t>
      </w:r>
      <w:r>
        <w:rPr>
          <w:kern w:val="2"/>
        </w:rPr>
        <w:t>ViaTalk</w:t>
      </w:r>
      <w:r w:rsidRPr="00E923AC">
        <w:rPr>
          <w:kern w:val="2"/>
        </w:rPr>
        <w:t xml:space="preserve"> should send an e-mail to </w:t>
      </w:r>
      <w:hyperlink r:id="rId5" w:history="1">
        <w:r w:rsidRPr="00281120" w:rsidR="00932C68">
          <w:rPr>
            <w:rStyle w:val="Hyperlink"/>
            <w:kern w:val="2"/>
            <w:szCs w:val="22"/>
          </w:rPr>
          <w:t>FCC504@fcc.gov</w:t>
        </w:r>
      </w:hyperlink>
      <w:r w:rsidRPr="00E923AC">
        <w:rPr>
          <w:kern w:val="2"/>
        </w:rPr>
        <w:t xml:space="preserve"> or call the FCC’s Consumer &amp; Governmental Affairs Bureau:</w:t>
      </w:r>
    </w:p>
    <w:p w:rsidR="00886C3A" w:rsidRPr="00BE70CC" w:rsidP="00E923AC" w14:paraId="5DE5A513" w14:textId="77EEDC7C">
      <w:pPr>
        <w:rPr>
          <w:kern w:val="2"/>
          <w:szCs w:val="22"/>
        </w:rPr>
      </w:pPr>
      <w:r w:rsidRPr="00BE70CC">
        <w:rPr>
          <w:kern w:val="2"/>
          <w:szCs w:val="22"/>
        </w:rPr>
        <w:t xml:space="preserve">      </w:t>
      </w:r>
      <w:r w:rsidRPr="00BE70CC">
        <w:rPr>
          <w:kern w:val="2"/>
          <w:szCs w:val="22"/>
        </w:rPr>
        <w:tab/>
      </w:r>
      <w:r w:rsidRPr="00BE70CC">
        <w:rPr>
          <w:kern w:val="2"/>
          <w:szCs w:val="22"/>
        </w:rPr>
        <w:tab/>
        <w:t xml:space="preserve">For sign language interpreters, CART, and other reasonable accommodations: </w:t>
      </w:r>
    </w:p>
    <w:p w:rsidR="00886C3A" w:rsidRPr="00BE70CC" w:rsidP="00932C68" w14:paraId="4DFAB1C1" w14:textId="77777777">
      <w:pPr>
        <w:spacing w:after="120"/>
        <w:rPr>
          <w:kern w:val="2"/>
          <w:szCs w:val="22"/>
        </w:rPr>
      </w:pPr>
      <w:r w:rsidRPr="00BE70CC">
        <w:rPr>
          <w:kern w:val="2"/>
          <w:szCs w:val="22"/>
        </w:rPr>
        <w:tab/>
      </w:r>
      <w:r w:rsidRPr="00BE70CC">
        <w:rPr>
          <w:kern w:val="2"/>
          <w:szCs w:val="22"/>
        </w:rPr>
        <w:tab/>
        <w:t>202-418-0530 (voice), 202-418-0432 (</w:t>
      </w:r>
      <w:r w:rsidRPr="00BE70CC">
        <w:rPr>
          <w:kern w:val="2"/>
          <w:szCs w:val="22"/>
        </w:rPr>
        <w:t>tty</w:t>
      </w:r>
      <w:r w:rsidRPr="00BE70CC">
        <w:rPr>
          <w:kern w:val="2"/>
          <w:szCs w:val="22"/>
        </w:rPr>
        <w:t>);</w:t>
      </w:r>
    </w:p>
    <w:p w:rsidR="00886C3A" w:rsidRPr="00BE70CC" w:rsidP="00886C3A" w14:paraId="25820983" w14:textId="77777777">
      <w:pPr>
        <w:spacing w:after="220"/>
        <w:rPr>
          <w:b/>
          <w:kern w:val="2"/>
          <w:szCs w:val="22"/>
        </w:rPr>
      </w:pPr>
      <w:r w:rsidRPr="00BE70CC">
        <w:rPr>
          <w:kern w:val="2"/>
          <w:szCs w:val="22"/>
        </w:rPr>
        <w:t xml:space="preserve">      </w:t>
      </w:r>
      <w:r w:rsidRPr="00BE70CC">
        <w:rPr>
          <w:kern w:val="2"/>
          <w:szCs w:val="22"/>
        </w:rPr>
        <w:tab/>
      </w:r>
      <w:r w:rsidRPr="00BE70CC">
        <w:rPr>
          <w:kern w:val="2"/>
          <w:szCs w:val="22"/>
        </w:rPr>
        <w:tab/>
        <w:t xml:space="preserve">For accessible format materials (braille, large print, electronic files, and audio format): </w:t>
      </w:r>
      <w:r w:rsidRPr="00BE70CC">
        <w:rPr>
          <w:kern w:val="2"/>
          <w:szCs w:val="22"/>
        </w:rPr>
        <w:tab/>
      </w:r>
      <w:r w:rsidRPr="00BE70CC">
        <w:rPr>
          <w:kern w:val="2"/>
          <w:szCs w:val="22"/>
        </w:rPr>
        <w:tab/>
      </w:r>
      <w:r w:rsidRPr="00BE70CC">
        <w:rPr>
          <w:kern w:val="2"/>
          <w:szCs w:val="22"/>
        </w:rPr>
        <w:tab/>
        <w:t>202-418-0531 (voice), 202-418-7365 (</w:t>
      </w:r>
      <w:r w:rsidRPr="00BE70CC">
        <w:rPr>
          <w:kern w:val="2"/>
          <w:szCs w:val="22"/>
        </w:rPr>
        <w:t>tty</w:t>
      </w:r>
      <w:r w:rsidRPr="00BE70CC">
        <w:rPr>
          <w:kern w:val="2"/>
          <w:szCs w:val="22"/>
        </w:rPr>
        <w:t>).</w:t>
      </w:r>
      <w:r w:rsidRPr="00BE70CC">
        <w:rPr>
          <w:b/>
          <w:kern w:val="2"/>
          <w:szCs w:val="22"/>
        </w:rPr>
        <w:t xml:space="preserve">  </w:t>
      </w:r>
    </w:p>
    <w:p w:rsidR="00886C3A" w:rsidRPr="00BE70CC" w:rsidP="00690659" w14:paraId="08B3BC9C" w14:textId="2CCE298C">
      <w:pPr>
        <w:pStyle w:val="ParaNum"/>
        <w:rPr>
          <w:szCs w:val="22"/>
        </w:rPr>
      </w:pPr>
      <w:r w:rsidRPr="00BE70CC">
        <w:rPr>
          <w:kern w:val="2"/>
          <w:szCs w:val="22"/>
        </w:rPr>
        <w:t xml:space="preserve">We advise </w:t>
      </w:r>
      <w:r w:rsidR="00A37791">
        <w:rPr>
          <w:kern w:val="2"/>
          <w:szCs w:val="22"/>
        </w:rPr>
        <w:t>ViaTalk</w:t>
      </w:r>
      <w:r w:rsidRPr="00BE70CC">
        <w:t xml:space="preserve"> </w:t>
      </w:r>
      <w:r w:rsidRPr="00BE70CC">
        <w:rPr>
          <w:kern w:val="2"/>
          <w:szCs w:val="22"/>
        </w:rPr>
        <w:t>th</w:t>
      </w:r>
      <w:r w:rsidRPr="00BE70CC">
        <w:rPr>
          <w:szCs w:val="22"/>
        </w:rPr>
        <w:t xml:space="preserve">at it is a violation of </w:t>
      </w:r>
      <w:r w:rsidR="002141E6">
        <w:rPr>
          <w:szCs w:val="22"/>
        </w:rPr>
        <w:t>s</w:t>
      </w:r>
      <w:r w:rsidRPr="00BE70CC">
        <w:rPr>
          <w:szCs w:val="22"/>
        </w:rPr>
        <w:t xml:space="preserve">ection 1.17 of the </w:t>
      </w:r>
      <w:r w:rsidR="002141E6">
        <w:rPr>
          <w:szCs w:val="22"/>
        </w:rPr>
        <w:t>Commission’s r</w:t>
      </w:r>
      <w:r w:rsidRPr="00BE70CC">
        <w:rPr>
          <w:szCs w:val="22"/>
        </w:rPr>
        <w:t>ules</w:t>
      </w:r>
      <w:r>
        <w:rPr>
          <w:rStyle w:val="FootnoteReference"/>
          <w:szCs w:val="22"/>
        </w:rPr>
        <w:footnoteReference w:id="19"/>
      </w:r>
      <w:r w:rsidRPr="00BE70CC">
        <w:rPr>
          <w:szCs w:val="22"/>
        </w:rPr>
        <w:t xml:space="preserve"> for any person </w:t>
      </w:r>
      <w:r w:rsidR="00E15551">
        <w:rPr>
          <w:szCs w:val="22"/>
        </w:rPr>
        <w:t xml:space="preserve">that has received a citation or letter of inquiry from the Commission, or is otherwise subject to a Commission or staff investigation, </w:t>
      </w:r>
      <w:r w:rsidRPr="00BE70CC">
        <w:rPr>
          <w:szCs w:val="22"/>
        </w:rPr>
        <w:t>to make any false or misleading written or oral statement of fact</w:t>
      </w:r>
      <w:r w:rsidR="00BE70CC">
        <w:rPr>
          <w:szCs w:val="22"/>
        </w:rPr>
        <w:t xml:space="preserve"> to the Commission</w:t>
      </w:r>
      <w:r w:rsidRPr="00BE70CC">
        <w:rPr>
          <w:szCs w:val="22"/>
        </w:rPr>
        <w:t xml:space="preserve">.  Specifically, no </w:t>
      </w:r>
      <w:r w:rsidR="00E15551">
        <w:rPr>
          <w:szCs w:val="22"/>
        </w:rPr>
        <w:t xml:space="preserve">such </w:t>
      </w:r>
      <w:r w:rsidRPr="00BE70CC">
        <w:rPr>
          <w:szCs w:val="22"/>
        </w:rPr>
        <w:t>person shall:</w:t>
      </w:r>
    </w:p>
    <w:p w:rsidR="00886C3A" w:rsidRPr="00BE70CC" w:rsidP="00886C3A" w14:paraId="7257743A" w14:textId="77777777">
      <w:pPr>
        <w:pStyle w:val="ParaNum"/>
        <w:widowControl/>
        <w:numPr>
          <w:ilvl w:val="0"/>
          <w:numId w:val="0"/>
        </w:numPr>
        <w:ind w:left="1440" w:right="720"/>
        <w:rPr>
          <w:kern w:val="2"/>
          <w:szCs w:val="22"/>
        </w:rPr>
      </w:pPr>
      <w:r w:rsidRPr="00BE70CC">
        <w:rPr>
          <w:kern w:val="2"/>
          <w:szCs w:val="22"/>
        </w:rPr>
        <w:t xml:space="preserve">(1) In any written or oral statement of fact, intentionally provide material factual information that is incorrect or intentionally omit material information that is </w:t>
      </w:r>
      <w:r w:rsidRPr="00BE70CC">
        <w:rPr>
          <w:kern w:val="2"/>
          <w:szCs w:val="22"/>
        </w:rPr>
        <w:t>necessary to prevent any material factual statement that is made from being incorrect or misleading; and</w:t>
      </w:r>
    </w:p>
    <w:p w:rsidR="00886C3A" w:rsidRPr="00BE70CC" w:rsidP="00886C3A" w14:paraId="2012C0D2" w14:textId="77777777">
      <w:pPr>
        <w:pStyle w:val="ParaNum"/>
        <w:widowControl/>
        <w:numPr>
          <w:ilvl w:val="0"/>
          <w:numId w:val="0"/>
        </w:numPr>
        <w:ind w:left="1440" w:right="720"/>
        <w:rPr>
          <w:kern w:val="2"/>
          <w:szCs w:val="22"/>
        </w:rPr>
      </w:pPr>
      <w:r w:rsidRPr="00BE70CC">
        <w:rPr>
          <w:kern w:val="2"/>
          <w:szCs w:val="22"/>
        </w:rPr>
        <w:t>(2) In any written statement of fact, provide material factual information that is incorrect or omit material information that is necessary to prevent any material factual statement that is made from being incorrect or misleading without a reasonable basis for believing that any such material factual statement is correct and not misleading.</w:t>
      </w:r>
    </w:p>
    <w:p w:rsidR="00886C3A" w:rsidRPr="007A276B" w:rsidP="00D9369D" w14:paraId="0A7BF390" w14:textId="77777777">
      <w:pPr>
        <w:pStyle w:val="ParaNum"/>
      </w:pPr>
      <w:r w:rsidRPr="007A276B">
        <w:t>Further, the knowing and willful making of any false statement, or the concealment of any material fact, in reply to this Citation is punishable by fine or imprisonment</w:t>
      </w:r>
      <w:r w:rsidRPr="007A276B" w:rsidR="0090510E">
        <w:t>.</w:t>
      </w:r>
      <w:r>
        <w:rPr>
          <w:vertAlign w:val="superscript"/>
        </w:rPr>
        <w:footnoteReference w:id="20"/>
      </w:r>
    </w:p>
    <w:p w:rsidR="00886C3A" w:rsidRPr="007A276B" w:rsidP="00D9369D" w14:paraId="503B826D" w14:textId="253C43BB">
      <w:pPr>
        <w:pStyle w:val="ParaNum"/>
      </w:pPr>
      <w:r w:rsidRPr="007A276B">
        <w:t xml:space="preserve">Violations of </w:t>
      </w:r>
      <w:r w:rsidRPr="007A276B" w:rsidR="002141E6">
        <w:t>s</w:t>
      </w:r>
      <w:r w:rsidRPr="007A276B">
        <w:t xml:space="preserve">ection 1.17 of the </w:t>
      </w:r>
      <w:r w:rsidRPr="007A276B" w:rsidR="002141E6">
        <w:t>Commission’s r</w:t>
      </w:r>
      <w:r w:rsidRPr="007A276B">
        <w:t>ules or the criminal statute referenced above may result in further legal action, including monetary forfeitures.</w:t>
      </w:r>
    </w:p>
    <w:p w:rsidR="004D3233" w:rsidRPr="00BE70CC" w:rsidP="00D9369D" w14:paraId="16076265" w14:textId="466A09DE">
      <w:pPr>
        <w:pStyle w:val="ParaNum"/>
        <w:rPr>
          <w:kern w:val="2"/>
          <w:szCs w:val="22"/>
        </w:rPr>
      </w:pPr>
      <w:r w:rsidRPr="007A276B">
        <w:t>Finally</w:t>
      </w:r>
      <w:r w:rsidRPr="00BE70CC">
        <w:rPr>
          <w:kern w:val="2"/>
          <w:szCs w:val="22"/>
        </w:rPr>
        <w:t xml:space="preserve">, we warn </w:t>
      </w:r>
      <w:r w:rsidR="00A37791">
        <w:rPr>
          <w:kern w:val="2"/>
          <w:szCs w:val="22"/>
        </w:rPr>
        <w:t>ViaTalk</w:t>
      </w:r>
      <w:r w:rsidRPr="00BE70CC">
        <w:t xml:space="preserve"> </w:t>
      </w:r>
      <w:r w:rsidRPr="00BE70CC">
        <w:rPr>
          <w:kern w:val="2"/>
          <w:szCs w:val="22"/>
        </w:rPr>
        <w:t xml:space="preserve">that, under the </w:t>
      </w:r>
      <w:r w:rsidRPr="00BE70CC" w:rsidR="00436E88">
        <w:rPr>
          <w:kern w:val="2"/>
          <w:szCs w:val="22"/>
        </w:rPr>
        <w:t>Privacy Act of 1974</w:t>
      </w:r>
      <w:r w:rsidR="003C4AD3">
        <w:rPr>
          <w:kern w:val="2"/>
          <w:szCs w:val="22"/>
        </w:rPr>
        <w:t>,</w:t>
      </w:r>
      <w:r>
        <w:rPr>
          <w:rStyle w:val="FootnoteReference"/>
          <w:kern w:val="2"/>
          <w:szCs w:val="22"/>
        </w:rPr>
        <w:footnoteReference w:id="21"/>
      </w:r>
      <w:r w:rsidRPr="00BE70CC" w:rsidR="00436E88">
        <w:rPr>
          <w:kern w:val="2"/>
          <w:szCs w:val="22"/>
        </w:rPr>
        <w:t xml:space="preserve"> </w:t>
      </w:r>
      <w:r w:rsidRPr="00BE70CC">
        <w:rPr>
          <w:kern w:val="2"/>
          <w:szCs w:val="22"/>
        </w:rPr>
        <w:t xml:space="preserve">Commission staff will use all relevant material information before it, including information disclosed </w:t>
      </w:r>
      <w:r w:rsidR="00BE70CC">
        <w:rPr>
          <w:kern w:val="2"/>
          <w:szCs w:val="22"/>
        </w:rPr>
        <w:t>in</w:t>
      </w:r>
      <w:r w:rsidRPr="00BE70CC">
        <w:rPr>
          <w:kern w:val="2"/>
          <w:szCs w:val="22"/>
        </w:rPr>
        <w:t xml:space="preserve"> interviews or written statements, to determine what, if any, enforcement action is required to ensure </w:t>
      </w:r>
      <w:r w:rsidR="00A37791">
        <w:rPr>
          <w:kern w:val="2"/>
          <w:szCs w:val="22"/>
        </w:rPr>
        <w:t>ViaTalk</w:t>
      </w:r>
      <w:r w:rsidRPr="00BE70CC">
        <w:rPr>
          <w:kern w:val="2"/>
          <w:szCs w:val="22"/>
        </w:rPr>
        <w:t xml:space="preserve">’s compliance with the Act and </w:t>
      </w:r>
      <w:r w:rsidR="002141E6">
        <w:rPr>
          <w:kern w:val="2"/>
          <w:szCs w:val="22"/>
        </w:rPr>
        <w:t>the Commission’s r</w:t>
      </w:r>
      <w:r w:rsidRPr="00BE70CC">
        <w:rPr>
          <w:kern w:val="2"/>
          <w:szCs w:val="22"/>
        </w:rPr>
        <w:t>ules.</w:t>
      </w:r>
      <w:bookmarkStart w:id="8" w:name="_Hlk62649332"/>
      <w:r>
        <w:rPr>
          <w:rStyle w:val="FootnoteReference"/>
        </w:rPr>
        <w:footnoteReference w:id="22"/>
      </w:r>
      <w:bookmarkEnd w:id="8"/>
    </w:p>
    <w:p w:rsidR="003343CA" w:rsidRPr="00BE70CC" w:rsidP="003C4AD3" w14:paraId="34568B84" w14:textId="77777777">
      <w:pPr>
        <w:pStyle w:val="Heading1"/>
      </w:pPr>
      <w:r w:rsidRPr="00BE70CC">
        <w:t>future violations</w:t>
      </w:r>
    </w:p>
    <w:p w:rsidR="005B4CEA" w:rsidRPr="00BE70CC" w:rsidP="00D9369D" w14:paraId="77332416" w14:textId="6944F4A3">
      <w:pPr>
        <w:pStyle w:val="ParaNum"/>
      </w:pPr>
      <w:r w:rsidRPr="00BE70CC">
        <w:t xml:space="preserve">If, after receipt of this Citation, </w:t>
      </w:r>
      <w:r w:rsidR="00A37791">
        <w:t>ViaTalk</w:t>
      </w:r>
      <w:r w:rsidRPr="00BE70CC">
        <w:t xml:space="preserve"> again violates </w:t>
      </w:r>
      <w:r w:rsidR="002141E6">
        <w:t>s</w:t>
      </w:r>
      <w:r w:rsidRPr="00BE70CC" w:rsidR="0096675D">
        <w:t>ection</w:t>
      </w:r>
      <w:r w:rsidR="00A37791">
        <w:t xml:space="preserve"> 255 </w:t>
      </w:r>
      <w:r w:rsidRPr="00BE70CC">
        <w:t xml:space="preserve">of the </w:t>
      </w:r>
      <w:r w:rsidR="003C4AD3">
        <w:t xml:space="preserve">Act and/or </w:t>
      </w:r>
      <w:r w:rsidR="00A37791">
        <w:t xml:space="preserve">sections 6.11(a) </w:t>
      </w:r>
      <w:r w:rsidR="00D1516F">
        <w:t>or</w:t>
      </w:r>
      <w:r w:rsidR="00A37791">
        <w:t xml:space="preserve"> 14.31(b) of </w:t>
      </w:r>
      <w:r w:rsidR="002141E6">
        <w:t>the Commission’s r</w:t>
      </w:r>
      <w:r w:rsidRPr="00BE70CC">
        <w:t xml:space="preserve">ules by engaging in conduct of the type described herein, the Commission may impose </w:t>
      </w:r>
      <w:r w:rsidRPr="00BE70CC" w:rsidR="00D05B66">
        <w:t xml:space="preserve">sanctions </w:t>
      </w:r>
      <w:r w:rsidRPr="00BE70CC">
        <w:t xml:space="preserve">for each such violation.  For example, the </w:t>
      </w:r>
      <w:r w:rsidRPr="00BE70CC" w:rsidR="00D05B66">
        <w:t>Commission m</w:t>
      </w:r>
      <w:r w:rsidRPr="00BE70CC" w:rsidR="00654D13">
        <w:t xml:space="preserve">ay impose monetary forfeitures. </w:t>
      </w:r>
      <w:r w:rsidRPr="00BE70CC" w:rsidR="00D05B66">
        <w:t xml:space="preserve"> </w:t>
      </w:r>
      <w:r w:rsidRPr="00D9369D" w:rsidR="00654D13">
        <w:t>The Commission may impose forfeitures not to exceed $</w:t>
      </w:r>
      <w:r w:rsidRPr="00D9369D" w:rsidR="00F53FB4">
        <w:t>1</w:t>
      </w:r>
      <w:r w:rsidR="00965C7D">
        <w:t>19,055</w:t>
      </w:r>
      <w:r w:rsidRPr="00D9369D" w:rsidR="00654D13">
        <w:t xml:space="preserve"> for each such violation or each day of a continuing violation, and up to </w:t>
      </w:r>
      <w:r w:rsidRPr="00D9369D" w:rsidR="00BE70CC">
        <w:t>$</w:t>
      </w:r>
      <w:r w:rsidRPr="00D9369D" w:rsidR="00F53FB4">
        <w:t>1,</w:t>
      </w:r>
      <w:r w:rsidR="00965C7D">
        <w:t>190</w:t>
      </w:r>
      <w:r w:rsidRPr="00D9369D" w:rsidR="00BE70CC">
        <w:t>,</w:t>
      </w:r>
      <w:r w:rsidR="00965C7D">
        <w:t>546</w:t>
      </w:r>
      <w:r w:rsidRPr="00D9369D" w:rsidR="00654D13">
        <w:t xml:space="preserve"> for any single act or failure to act.</w:t>
      </w:r>
      <w:r>
        <w:rPr>
          <w:vertAlign w:val="superscript"/>
        </w:rPr>
        <w:footnoteReference w:id="23"/>
      </w:r>
      <w:r w:rsidRPr="00D9369D" w:rsidR="00F53FB4">
        <w:t xml:space="preserve">  </w:t>
      </w:r>
      <w:r w:rsidR="00EC439C">
        <w:t>In determining the amount of any such forfeiture, t</w:t>
      </w:r>
      <w:r w:rsidRPr="00BE70CC">
        <w:t>he Commission may</w:t>
      </w:r>
      <w:r w:rsidR="00EC439C">
        <w:t xml:space="preserve"> consider</w:t>
      </w:r>
      <w:r w:rsidRPr="00BE70CC" w:rsidR="00C22E21">
        <w:t xml:space="preserve"> </w:t>
      </w:r>
      <w:r w:rsidRPr="00BE70CC">
        <w:t xml:space="preserve">enumerated statutory factors, </w:t>
      </w:r>
      <w:r w:rsidRPr="00D9369D">
        <w:t>which include the nature, circumstances, extent, and gravity of the violation, and with respect to the violator, the degree of culpability, any history of prior offenses, ability to pay, and other such matters as justice may require</w:t>
      </w:r>
      <w:r w:rsidRPr="00BE70CC">
        <w:t>.</w:t>
      </w:r>
      <w:r>
        <w:rPr>
          <w:vertAlign w:val="superscript"/>
        </w:rPr>
        <w:footnoteReference w:id="24"/>
      </w:r>
      <w:r w:rsidRPr="00BE70CC">
        <w:t xml:space="preserve">  Further, as discussed above, the Commission may assess forfeitures on both the conduct that led to this Citation and the conduct following it.</w:t>
      </w:r>
      <w:r w:rsidRPr="00BE70CC" w:rsidR="003343CA">
        <w:t xml:space="preserve"> </w:t>
      </w:r>
    </w:p>
    <w:p w:rsidR="003343CA" w:rsidRPr="00BE70CC" w:rsidP="003343CA" w14:paraId="7FFC57B9" w14:textId="77777777">
      <w:pPr>
        <w:pStyle w:val="Heading1"/>
      </w:pPr>
      <w:r w:rsidRPr="00BE70CC">
        <w:t>ORDERING CLAUSES</w:t>
      </w:r>
    </w:p>
    <w:p w:rsidR="0077073F" w:rsidRPr="00BE70CC" w:rsidP="001164C6" w14:paraId="0EBE5E9A" w14:textId="22D7612A">
      <w:pPr>
        <w:pStyle w:val="ParaNum"/>
        <w:rPr>
          <w:kern w:val="2"/>
          <w:szCs w:val="22"/>
        </w:rPr>
      </w:pPr>
      <w:r w:rsidRPr="00BE70CC">
        <w:t xml:space="preserve">Accordingly, </w:t>
      </w:r>
      <w:r w:rsidRPr="00BE70CC">
        <w:rPr>
          <w:b/>
        </w:rPr>
        <w:t>IT IS ORDERED</w:t>
      </w:r>
      <w:r w:rsidRPr="00BE70CC">
        <w:t xml:space="preserve"> </w:t>
      </w:r>
      <w:r w:rsidRPr="00BE70CC" w:rsidR="009A01CF">
        <w:t>that</w:t>
      </w:r>
      <w:r w:rsidRPr="00BE70CC">
        <w:t xml:space="preserve">, pursuant to </w:t>
      </w:r>
      <w:r w:rsidR="002141E6">
        <w:t>s</w:t>
      </w:r>
      <w:r w:rsidRPr="00BE70CC" w:rsidR="00C93DFC">
        <w:rPr>
          <w:noProof/>
          <w:color w:val="000000"/>
          <w:szCs w:val="22"/>
        </w:rPr>
        <w:t xml:space="preserve">ections 4(i) and 4(j) of the </w:t>
      </w:r>
      <w:r w:rsidR="003C4AD3">
        <w:rPr>
          <w:noProof/>
          <w:color w:val="000000"/>
          <w:szCs w:val="22"/>
        </w:rPr>
        <w:t>Act</w:t>
      </w:r>
      <w:r w:rsidRPr="00BE70CC" w:rsidR="00C93DFC">
        <w:rPr>
          <w:noProof/>
          <w:color w:val="000000"/>
          <w:szCs w:val="22"/>
        </w:rPr>
        <w:t>,</w:t>
      </w:r>
      <w:r>
        <w:rPr>
          <w:rStyle w:val="FootnoteReference"/>
          <w:noProof/>
          <w:color w:val="000000"/>
          <w:szCs w:val="22"/>
        </w:rPr>
        <w:footnoteReference w:id="25"/>
      </w:r>
      <w:r w:rsidRPr="00BE70CC" w:rsidR="00C93DFC">
        <w:rPr>
          <w:noProof/>
          <w:color w:val="000000"/>
          <w:szCs w:val="22"/>
        </w:rPr>
        <w:t xml:space="preserve"> </w:t>
      </w:r>
      <w:r w:rsidR="00F53FB4">
        <w:rPr>
          <w:noProof/>
          <w:color w:val="000000"/>
          <w:szCs w:val="22"/>
        </w:rPr>
        <w:t>ViaTalk</w:t>
      </w:r>
      <w:r w:rsidRPr="00BE70CC" w:rsidR="00C93DFC">
        <w:t xml:space="preserve"> </w:t>
      </w:r>
      <w:r w:rsidRPr="00BE70CC" w:rsidR="00C93DFC">
        <w:rPr>
          <w:noProof/>
          <w:color w:val="000000"/>
          <w:szCs w:val="22"/>
        </w:rPr>
        <w:t xml:space="preserve">must </w:t>
      </w:r>
      <w:r w:rsidR="008B1B41">
        <w:rPr>
          <w:noProof/>
          <w:color w:val="000000"/>
          <w:szCs w:val="22"/>
        </w:rPr>
        <w:t>cease and desist from failing to provide access to information provided to other customers and from failing to file annual complianc</w:t>
      </w:r>
      <w:r w:rsidRPr="00F53FB4" w:rsidR="00F53FB4">
        <w:rPr>
          <w:noProof/>
          <w:color w:val="000000"/>
          <w:szCs w:val="22"/>
        </w:rPr>
        <w:t>e</w:t>
      </w:r>
      <w:r w:rsidR="008B1B41">
        <w:rPr>
          <w:noProof/>
          <w:color w:val="000000"/>
          <w:szCs w:val="22"/>
        </w:rPr>
        <w:t xml:space="preserve"> certifications with the Commission, in violation of section 255 of the Act and section 6.11(a) and 14.31(b) of the Commission’s rules.  </w:t>
      </w:r>
      <w:r w:rsidR="008B1B41">
        <w:rPr>
          <w:b/>
          <w:bCs/>
          <w:noProof/>
          <w:color w:val="000000"/>
          <w:szCs w:val="22"/>
        </w:rPr>
        <w:t>IT IS FURTHER ORDERED</w:t>
      </w:r>
      <w:r w:rsidR="008B1B41">
        <w:rPr>
          <w:noProof/>
          <w:color w:val="000000"/>
          <w:szCs w:val="22"/>
        </w:rPr>
        <w:t xml:space="preserve"> that, ViaTalk must </w:t>
      </w:r>
      <w:r w:rsidRPr="00F53FB4" w:rsidR="00F53FB4">
        <w:rPr>
          <w:noProof/>
          <w:color w:val="000000"/>
          <w:szCs w:val="22"/>
        </w:rPr>
        <w:t xml:space="preserve">file </w:t>
      </w:r>
      <w:r w:rsidR="00F53FB4">
        <w:rPr>
          <w:noProof/>
          <w:color w:val="000000"/>
          <w:szCs w:val="22"/>
        </w:rPr>
        <w:t xml:space="preserve">its </w:t>
      </w:r>
      <w:r w:rsidR="008B1B41">
        <w:rPr>
          <w:noProof/>
          <w:color w:val="000000"/>
          <w:szCs w:val="22"/>
        </w:rPr>
        <w:t xml:space="preserve">2021 </w:t>
      </w:r>
      <w:r w:rsidRPr="00F53FB4" w:rsidR="00F53FB4">
        <w:rPr>
          <w:noProof/>
          <w:color w:val="000000"/>
          <w:szCs w:val="22"/>
        </w:rPr>
        <w:t>annual compliance certification</w:t>
      </w:r>
      <w:r w:rsidR="008B1B41">
        <w:rPr>
          <w:noProof/>
          <w:color w:val="000000"/>
          <w:szCs w:val="22"/>
        </w:rPr>
        <w:t xml:space="preserve"> with the Commission no later than 30 days after the release date of this Order</w:t>
      </w:r>
      <w:r w:rsidRPr="00BE70CC" w:rsidR="00C93DFC">
        <w:rPr>
          <w:noProof/>
          <w:color w:val="000000"/>
          <w:szCs w:val="22"/>
        </w:rPr>
        <w:t xml:space="preserve">.  </w:t>
      </w:r>
    </w:p>
    <w:p w:rsidR="003343CA" w:rsidRPr="00BE70CC" w:rsidP="00D66046" w14:paraId="7F32EF1D" w14:textId="10C9B548">
      <w:pPr>
        <w:pStyle w:val="ParaNum"/>
        <w:keepNext/>
        <w:widowControl/>
      </w:pPr>
      <w:r w:rsidRPr="00900F1C">
        <w:rPr>
          <w:b/>
        </w:rPr>
        <w:t>IT IS FURTHER ORDERED</w:t>
      </w:r>
      <w:r w:rsidRPr="00BE70CC">
        <w:t xml:space="preserve"> that a copy of this </w:t>
      </w:r>
      <w:r w:rsidRPr="00BE70CC" w:rsidR="009E53A5">
        <w:t>Citation and</w:t>
      </w:r>
      <w:r w:rsidRPr="00BE70CC">
        <w:t xml:space="preserve"> Order </w:t>
      </w:r>
      <w:r w:rsidRPr="00900F1C" w:rsidR="00EE36BE">
        <w:rPr>
          <w:color w:val="000000" w:themeColor="text1"/>
          <w:szCs w:val="22"/>
        </w:rPr>
        <w:t xml:space="preserve">shall be sent by first class mail and certified mail, return receipt requested, to </w:t>
      </w:r>
      <w:r w:rsidRPr="00900F1C" w:rsidR="00900F1C">
        <w:rPr>
          <w:color w:val="000000"/>
          <w:szCs w:val="22"/>
        </w:rPr>
        <w:t xml:space="preserve">John Reyes, Vice President, ViaTalk, LLC, </w:t>
      </w:r>
      <w:r w:rsidRPr="00900F1C" w:rsidR="00900F1C">
        <w:rPr>
          <w:color w:val="000000"/>
          <w:szCs w:val="22"/>
        </w:rPr>
        <w:t>21 Corporate Drive, Suite 203, Clifton Park, NY 12065 and</w:t>
      </w:r>
      <w:r w:rsidRPr="00900F1C" w:rsidR="00900F1C">
        <w:rPr>
          <w:szCs w:val="22"/>
        </w:rPr>
        <w:t xml:space="preserve"> via email to John Reyes, Vice President, ViaTalk LLC at </w:t>
      </w:r>
      <w:hyperlink r:id="rId6" w:history="1">
        <w:r w:rsidR="00030037">
          <w:rPr>
            <w:color w:val="0000FF"/>
            <w:szCs w:val="22"/>
            <w:u w:val="single"/>
          </w:rPr>
          <w:t>john.reyes@hostrocket.com</w:t>
        </w:r>
      </w:hyperlink>
      <w:r w:rsidRPr="00900F1C" w:rsidR="00900F1C">
        <w:rPr>
          <w:szCs w:val="22"/>
        </w:rPr>
        <w:t>.</w:t>
      </w:r>
    </w:p>
    <w:p w:rsidR="003343CA" w:rsidP="00D66046" w14:paraId="600C31CE" w14:textId="16426832">
      <w:pPr>
        <w:keepNext/>
        <w:widowControl/>
      </w:pPr>
    </w:p>
    <w:p w:rsidR="00D66046" w:rsidRPr="00BE70CC" w:rsidP="00D66046" w14:paraId="0CA40841" w14:textId="77777777">
      <w:pPr>
        <w:keepNext/>
        <w:widowControl/>
      </w:pPr>
    </w:p>
    <w:p w:rsidR="003343CA" w:rsidRPr="00BE70CC" w:rsidP="00D66046" w14:paraId="4EDF98DB" w14:textId="77777777">
      <w:pPr>
        <w:keepNext/>
        <w:widowControl/>
        <w:ind w:left="3600" w:firstLine="720"/>
      </w:pPr>
      <w:r w:rsidRPr="00BE70CC">
        <w:t>FEDERAL COMMUNICATIONS COMMISSION</w:t>
      </w:r>
    </w:p>
    <w:p w:rsidR="003343CA" w:rsidRPr="00D66046" w:rsidP="00D66046" w14:paraId="72F7EE69" w14:textId="77777777">
      <w:pPr>
        <w:keepNext/>
        <w:widowControl/>
      </w:pPr>
    </w:p>
    <w:p w:rsidR="003343CA" w:rsidRPr="00D66046" w:rsidP="00D66046" w14:paraId="2C821EB8" w14:textId="77777777">
      <w:pPr>
        <w:keepNext/>
        <w:widowControl/>
      </w:pPr>
    </w:p>
    <w:p w:rsidR="003343CA" w:rsidRPr="00D66046" w:rsidP="00D66046" w14:paraId="16E133F7" w14:textId="77777777">
      <w:pPr>
        <w:keepNext/>
        <w:widowControl/>
      </w:pPr>
    </w:p>
    <w:p w:rsidR="003343CA" w:rsidRPr="00D66046" w:rsidP="00D66046" w14:paraId="58934A45" w14:textId="77777777">
      <w:pPr>
        <w:keepNext/>
        <w:widowControl/>
      </w:pPr>
    </w:p>
    <w:p w:rsidR="00EE36BE" w:rsidRPr="006D73F2" w:rsidP="00D66046" w14:paraId="2595141B" w14:textId="578EFF1D">
      <w:pPr>
        <w:keepNext/>
        <w:widowControl/>
        <w:tabs>
          <w:tab w:val="left" w:pos="0"/>
          <w:tab w:val="left" w:pos="720"/>
          <w:tab w:val="left" w:pos="1440"/>
        </w:tabs>
        <w:suppressAutoHyphens/>
        <w:spacing w:line="240" w:lineRule="atLeast"/>
        <w:ind w:left="4320"/>
        <w:rPr>
          <w:szCs w:val="22"/>
        </w:rPr>
      </w:pPr>
      <w:r>
        <w:rPr>
          <w:szCs w:val="22"/>
        </w:rPr>
        <w:t>Rosemary C. Harold</w:t>
      </w:r>
    </w:p>
    <w:p w:rsidR="00EE36BE" w:rsidRPr="006D73F2" w:rsidP="00D66046" w14:paraId="63311DE2" w14:textId="77777777">
      <w:pPr>
        <w:keepNext/>
        <w:widowControl/>
        <w:ind w:left="4320"/>
        <w:rPr>
          <w:szCs w:val="22"/>
        </w:rPr>
      </w:pPr>
      <w:r w:rsidRPr="006D73F2">
        <w:rPr>
          <w:szCs w:val="22"/>
        </w:rPr>
        <w:t>Chief</w:t>
      </w:r>
    </w:p>
    <w:p w:rsidR="00EE36BE" w:rsidRPr="006D73F2" w:rsidP="00D66046" w14:paraId="6E544B47" w14:textId="77777777">
      <w:pPr>
        <w:keepNext/>
        <w:widowControl/>
        <w:ind w:left="4320"/>
        <w:rPr>
          <w:szCs w:val="22"/>
        </w:rPr>
      </w:pPr>
      <w:r w:rsidRPr="006D73F2">
        <w:rPr>
          <w:szCs w:val="22"/>
        </w:rPr>
        <w:t>Enforcement Bureau</w:t>
      </w:r>
    </w:p>
    <w:p w:rsidR="00E273E3" w:rsidRPr="00D66046" w:rsidP="00D66046" w14:paraId="19B3C8DC" w14:textId="77777777">
      <w:pPr>
        <w:keepNext/>
        <w:widowControl/>
      </w:pPr>
    </w:p>
    <w:sectPr w:rsidSect="00F50F55">
      <w:headerReference w:type="default" r:id="rId7"/>
      <w:footerReference w:type="even" r:id="rId8"/>
      <w:footerReference w:type="default" r:id="rId9"/>
      <w:headerReference w:type="first" r:id="rId10"/>
      <w:endnotePr>
        <w:numFmt w:val="decimal"/>
      </w:endnotePr>
      <w:pgSz w:w="12240" w:h="15840"/>
      <w:pgMar w:top="117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D1BA6" w14:paraId="42559EDB" w14:textId="77777777">
    <w:pPr>
      <w:pStyle w:val="Footer"/>
      <w:framePr w:wrap="around" w:vAnchor="text" w:hAnchor="margin" w:xAlign="center" w:y="1"/>
    </w:pPr>
    <w:r>
      <w:fldChar w:fldCharType="begin"/>
    </w:r>
    <w:r>
      <w:instrText xml:space="preserve">PAGE  </w:instrText>
    </w:r>
    <w:r>
      <w:fldChar w:fldCharType="separate"/>
    </w:r>
    <w:r>
      <w:fldChar w:fldCharType="end"/>
    </w:r>
  </w:p>
  <w:p w:rsidR="005D1BA6" w14:paraId="69BC1AE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D1BA6" w14:paraId="615F0C13" w14:textId="77777777">
    <w:pPr>
      <w:pStyle w:val="Footer"/>
      <w:framePr w:wrap="around" w:vAnchor="text" w:hAnchor="margin" w:xAlign="center" w:y="1"/>
    </w:pPr>
    <w:r>
      <w:fldChar w:fldCharType="begin"/>
    </w:r>
    <w:r>
      <w:instrText xml:space="preserve">PAGE  </w:instrText>
    </w:r>
    <w:r>
      <w:fldChar w:fldCharType="separate"/>
    </w:r>
    <w:r w:rsidR="00D1516F">
      <w:rPr>
        <w:noProof/>
      </w:rPr>
      <w:t>4</w:t>
    </w:r>
    <w:r>
      <w:rPr>
        <w:noProof/>
      </w:rPr>
      <w:fldChar w:fldCharType="end"/>
    </w:r>
  </w:p>
  <w:p w:rsidR="005D1BA6" w14:paraId="165F0C59" w14:textId="77777777">
    <w:pPr>
      <w:spacing w:before="140" w:line="10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55F72" w14:paraId="64C5BCE7" w14:textId="77777777">
      <w:r>
        <w:separator/>
      </w:r>
    </w:p>
  </w:footnote>
  <w:footnote w:type="continuationSeparator" w:id="1">
    <w:p w:rsidR="00255F72" w14:paraId="687D3FDC" w14:textId="77777777">
      <w:pPr>
        <w:rPr>
          <w:sz w:val="20"/>
        </w:rPr>
      </w:pPr>
      <w:r>
        <w:rPr>
          <w:sz w:val="20"/>
        </w:rPr>
        <w:t xml:space="preserve">(Continued from previous page)  </w:t>
      </w:r>
      <w:r>
        <w:rPr>
          <w:sz w:val="20"/>
        </w:rPr>
        <w:separator/>
      </w:r>
    </w:p>
  </w:footnote>
  <w:footnote w:type="continuationNotice" w:id="2">
    <w:p w:rsidR="00255F72" w14:paraId="4C88B92C" w14:textId="77777777">
      <w:pPr>
        <w:rPr>
          <w:sz w:val="20"/>
        </w:rPr>
      </w:pPr>
      <w:r>
        <w:rPr>
          <w:sz w:val="20"/>
        </w:rPr>
        <w:t>(continued….)</w:t>
      </w:r>
    </w:p>
  </w:footnote>
  <w:footnote w:id="3">
    <w:p w:rsidR="005D1BA6" w:rsidRPr="002D63C3" w:rsidP="003C4AD3" w14:paraId="598C1AEA" w14:textId="77777777">
      <w:pPr>
        <w:pStyle w:val="FootnoteText"/>
      </w:pPr>
      <w:r w:rsidRPr="002D63C3">
        <w:rPr>
          <w:rStyle w:val="FootnoteReference"/>
          <w:kern w:val="20"/>
        </w:rPr>
        <w:footnoteRef/>
      </w:r>
      <w:r w:rsidRPr="002D63C3">
        <w:rPr>
          <w:kern w:val="20"/>
        </w:rPr>
        <w:t xml:space="preserve"> </w:t>
      </w:r>
      <w:r w:rsidRPr="002D63C3">
        <w:rPr>
          <w:i/>
          <w:kern w:val="20"/>
        </w:rPr>
        <w:t>See</w:t>
      </w:r>
      <w:r w:rsidRPr="002D63C3">
        <w:rPr>
          <w:kern w:val="20"/>
        </w:rPr>
        <w:t xml:space="preserve"> 47 U.S.C </w:t>
      </w:r>
      <w:r w:rsidRPr="002D63C3">
        <w:rPr>
          <w:kern w:val="20"/>
          <w:szCs w:val="24"/>
        </w:rPr>
        <w:t>§ 503(b)(5).</w:t>
      </w:r>
      <w:r w:rsidRPr="002D63C3">
        <w:rPr>
          <w:kern w:val="20"/>
        </w:rPr>
        <w:t xml:space="preserve">  </w:t>
      </w:r>
    </w:p>
  </w:footnote>
  <w:footnote w:id="4">
    <w:p w:rsidR="00302578" w14:paraId="591D8E44" w14:textId="5C48AFE4">
      <w:pPr>
        <w:pStyle w:val="FootnoteText"/>
      </w:pPr>
      <w:r>
        <w:rPr>
          <w:rStyle w:val="FootnoteReference"/>
        </w:rPr>
        <w:footnoteRef/>
      </w:r>
      <w:r>
        <w:t xml:space="preserve"> 47 U.S.C. § 255.</w:t>
      </w:r>
    </w:p>
  </w:footnote>
  <w:footnote w:id="5">
    <w:p w:rsidR="005D1BA6" w:rsidRPr="002D63C3" w:rsidP="003C4AD3" w14:paraId="6EF165C3" w14:textId="530D4965">
      <w:pPr>
        <w:pStyle w:val="FootnoteText"/>
      </w:pPr>
      <w:r w:rsidRPr="002D63C3">
        <w:rPr>
          <w:rStyle w:val="FootnoteReference"/>
        </w:rPr>
        <w:footnoteRef/>
      </w:r>
      <w:r w:rsidRPr="002D63C3" w:rsidR="00C42D39">
        <w:t xml:space="preserve"> 47 </w:t>
      </w:r>
      <w:r w:rsidR="000516D6">
        <w:t>CFR</w:t>
      </w:r>
      <w:r w:rsidRPr="002D63C3">
        <w:t xml:space="preserve"> §</w:t>
      </w:r>
      <w:r w:rsidR="00302578">
        <w:t>§ 6.11(a) and 14.31(b)</w:t>
      </w:r>
      <w:r w:rsidRPr="002D63C3">
        <w:t xml:space="preserve">. </w:t>
      </w:r>
    </w:p>
  </w:footnote>
  <w:footnote w:id="6">
    <w:p w:rsidR="00BD6FA1" w14:paraId="7C4B961D" w14:textId="750F7CAE">
      <w:pPr>
        <w:pStyle w:val="FootnoteText"/>
      </w:pPr>
      <w:r>
        <w:rPr>
          <w:rStyle w:val="FootnoteReference"/>
        </w:rPr>
        <w:footnoteRef/>
      </w:r>
      <w:r>
        <w:t xml:space="preserve"> 47 U.S.C. </w:t>
      </w:r>
      <w:r w:rsidRPr="002D63C3">
        <w:rPr>
          <w:kern w:val="20"/>
          <w:szCs w:val="24"/>
        </w:rPr>
        <w:t>§</w:t>
      </w:r>
      <w:r>
        <w:rPr>
          <w:kern w:val="20"/>
          <w:szCs w:val="24"/>
        </w:rPr>
        <w:t xml:space="preserve"> 503(b)(2)(F).</w:t>
      </w:r>
    </w:p>
  </w:footnote>
  <w:footnote w:id="7">
    <w:p w:rsidR="005D1BA6" w:rsidRPr="002D63C3" w:rsidP="003C4AD3" w14:paraId="3DD9D31D" w14:textId="77777777">
      <w:pPr>
        <w:pStyle w:val="FootnoteText"/>
        <w:rPr>
          <w:color w:val="000000"/>
        </w:rPr>
      </w:pPr>
      <w:r w:rsidRPr="002D63C3">
        <w:rPr>
          <w:rStyle w:val="FootnoteReference"/>
          <w:color w:val="000000"/>
          <w:kern w:val="20"/>
        </w:rPr>
        <w:footnoteRef/>
      </w:r>
      <w:r w:rsidRPr="002D63C3">
        <w:rPr>
          <w:color w:val="000000"/>
          <w:kern w:val="20"/>
        </w:rPr>
        <w:t xml:space="preserve"> </w:t>
      </w:r>
      <w:r w:rsidRPr="002D63C3">
        <w:rPr>
          <w:i/>
          <w:color w:val="000000"/>
          <w:kern w:val="20"/>
        </w:rPr>
        <w:t>See</w:t>
      </w:r>
      <w:r w:rsidRPr="002D63C3">
        <w:rPr>
          <w:color w:val="000000"/>
          <w:kern w:val="20"/>
        </w:rPr>
        <w:t xml:space="preserve"> S. Rep. No. 95-580, 95th Cong., 1st Sess. at 9 (1977) (If a person or entity that has been issued a citation by the Commission thereafter engages in the conduct for which the citation of violation was sent, the subsequent notice of apparent liability “</w:t>
      </w:r>
      <w:r w:rsidRPr="00F50F55">
        <w:rPr>
          <w:color w:val="000000"/>
          <w:kern w:val="20"/>
        </w:rPr>
        <w:t>would attach not only for the conduct occurring subsequently</w:t>
      </w:r>
      <w:r w:rsidRPr="002D63C3">
        <w:rPr>
          <w:i/>
          <w:color w:val="000000"/>
          <w:kern w:val="20"/>
        </w:rPr>
        <w:t xml:space="preserve"> but also for the conduct for which the citation was originally sent</w:t>
      </w:r>
      <w:r w:rsidRPr="002D63C3">
        <w:rPr>
          <w:color w:val="000000"/>
          <w:kern w:val="20"/>
        </w:rPr>
        <w:t>.”) (emphasis added).</w:t>
      </w:r>
    </w:p>
  </w:footnote>
  <w:footnote w:id="8">
    <w:p w:rsidR="000A7F7D" w14:paraId="39954DE6" w14:textId="7407BA63">
      <w:pPr>
        <w:pStyle w:val="FootnoteText"/>
      </w:pPr>
      <w:r>
        <w:rPr>
          <w:rStyle w:val="FootnoteReference"/>
        </w:rPr>
        <w:footnoteRef/>
      </w:r>
      <w:r>
        <w:t xml:space="preserve"> 47 U.S.C. §§ 255 and 617.</w:t>
      </w:r>
    </w:p>
  </w:footnote>
  <w:footnote w:id="9">
    <w:p w:rsidR="008A6E2C" w14:paraId="0BC8D6D4" w14:textId="035B4BED">
      <w:pPr>
        <w:pStyle w:val="FootnoteText"/>
      </w:pPr>
      <w:r>
        <w:rPr>
          <w:rStyle w:val="FootnoteReference"/>
        </w:rPr>
        <w:footnoteRef/>
      </w:r>
      <w:r>
        <w:t xml:space="preserve"> 47 U.S.C. § 225(c).  </w:t>
      </w:r>
    </w:p>
  </w:footnote>
  <w:footnote w:id="10">
    <w:p w:rsidR="00524337" w:rsidRPr="00B62603" w:rsidP="00524337" w14:paraId="55FC4AD2" w14:textId="412B08B0">
      <w:pPr>
        <w:pStyle w:val="FootnoteText"/>
        <w:rPr>
          <w:b/>
        </w:rPr>
      </w:pPr>
      <w:r>
        <w:rPr>
          <w:rStyle w:val="FootnoteReference"/>
        </w:rPr>
        <w:footnoteRef/>
      </w:r>
      <w:r>
        <w:t xml:space="preserve"> </w:t>
      </w:r>
      <w:r w:rsidRPr="00B62603">
        <w:rPr>
          <w:bCs/>
        </w:rPr>
        <w:t xml:space="preserve">IP-Enabled Services; Implementation of Sections 255 and 251(a)(2) of The Communications Act of 1934, as Enacted by The Telecommunications Act of 1996: Access to Telecommunications Service, Telecommunications Equipment and Customer Premises Equipment by Persons with Disabilities; Telecommunications Relay Services and Speech-to-Speech Services for Individuals with Hearing and Speech Disabilities; The Use of N11 Codes and Other Abbreviated Dialing Arrangements, WC Docket No. 04-36, WT Docket No. 96-198, CG Docket No. 03-123, CC Docket No. 92-105, Report and Order, 22 FCC Rcd 11275, 11283, para. 16 (2007) (VoIP Access Order (requiring interconnected VoIP providers to comply with disability access requirements in Section 255 of the Act and the Commission’s corresponding rules).  </w:t>
      </w:r>
    </w:p>
  </w:footnote>
  <w:footnote w:id="11">
    <w:p w:rsidR="00117582" w:rsidRPr="00B62603" w14:paraId="73D9978C" w14:textId="10BEC24B">
      <w:pPr>
        <w:pStyle w:val="FootnoteText"/>
        <w:rPr>
          <w:b/>
        </w:rPr>
      </w:pPr>
      <w:r>
        <w:rPr>
          <w:rStyle w:val="FootnoteReference"/>
        </w:rPr>
        <w:footnoteRef/>
      </w:r>
      <w:r>
        <w:t xml:space="preserve"> </w:t>
      </w:r>
      <w:r w:rsidR="00524337">
        <w:rPr>
          <w:bCs/>
        </w:rPr>
        <w:t xml:space="preserve">47 CFR § 6.1(d) (applying </w:t>
      </w:r>
      <w:r w:rsidR="007C18DA">
        <w:rPr>
          <w:bCs/>
        </w:rPr>
        <w:t xml:space="preserve">Part 6 </w:t>
      </w:r>
      <w:r w:rsidR="00696911">
        <w:rPr>
          <w:bCs/>
        </w:rPr>
        <w:t xml:space="preserve">obligations to interconnected VoIP as </w:t>
      </w:r>
      <w:r w:rsidR="007C18DA">
        <w:rPr>
          <w:bCs/>
        </w:rPr>
        <w:t xml:space="preserve">the term is </w:t>
      </w:r>
      <w:r w:rsidR="00696911">
        <w:rPr>
          <w:bCs/>
        </w:rPr>
        <w:t>defined in section 9.3).</w:t>
      </w:r>
      <w:r w:rsidRPr="00B62603" w:rsidR="00B62603">
        <w:rPr>
          <w:bCs/>
        </w:rPr>
        <w:t xml:space="preserve">  Section 9.3 of the Commission’s rules provides that an interconnected Voice over Internet Protocol (VoIP) service is a service that:  (i) enables real-time, two-way voice communications; (ii) requires a broadband connection from the user's location; (iii) requires internet protocol-compatible customer premises equipment (CPE); and (iv) permits users generally to receive calls that originate on the public switched telephone network and to terminate calls to the public switched telephone network. 47 CFR § 9.3.</w:t>
      </w:r>
    </w:p>
  </w:footnote>
  <w:footnote w:id="12">
    <w:p w:rsidR="00D0253E" w14:paraId="4B2D19AF" w14:textId="6BACE84B">
      <w:pPr>
        <w:pStyle w:val="FootnoteText"/>
      </w:pPr>
      <w:r>
        <w:rPr>
          <w:rStyle w:val="FootnoteReference"/>
        </w:rPr>
        <w:footnoteRef/>
      </w:r>
      <w:r>
        <w:t xml:space="preserve"> 47 CFR § 6.11(a).</w:t>
      </w:r>
    </w:p>
  </w:footnote>
  <w:footnote w:id="13">
    <w:p w:rsidR="003258C9" w14:paraId="59523BC8" w14:textId="4F71EAC1">
      <w:pPr>
        <w:pStyle w:val="FootnoteText"/>
      </w:pPr>
      <w:r>
        <w:rPr>
          <w:rStyle w:val="FootnoteReference"/>
        </w:rPr>
        <w:footnoteRef/>
      </w:r>
      <w:r>
        <w:t xml:space="preserve"> 47 CFR § 14.31(b).</w:t>
      </w:r>
    </w:p>
  </w:footnote>
  <w:footnote w:id="14">
    <w:p w:rsidR="000C4B55" w14:paraId="34417B95" w14:textId="11DFF61E">
      <w:pPr>
        <w:pStyle w:val="FootnoteText"/>
      </w:pPr>
      <w:r>
        <w:rPr>
          <w:rStyle w:val="FootnoteReference"/>
        </w:rPr>
        <w:footnoteRef/>
      </w:r>
      <w:r>
        <w:t xml:space="preserve"> 47 CFR § 14.31(b).</w:t>
      </w:r>
    </w:p>
  </w:footnote>
  <w:footnote w:id="15">
    <w:p w:rsidR="00E33AA5" w14:paraId="4F06E626" w14:textId="4A7F1D73">
      <w:pPr>
        <w:pStyle w:val="FootnoteText"/>
      </w:pPr>
      <w:r>
        <w:rPr>
          <w:rStyle w:val="FootnoteReference"/>
        </w:rPr>
        <w:footnoteRef/>
      </w:r>
      <w:r>
        <w:t xml:space="preserve"> </w:t>
      </w:r>
      <w:r w:rsidRPr="009D6DE4" w:rsidR="009D6DE4">
        <w:t>ViaTalk is a division of HostRocket.Com, Inc. that provides phone service that uses the VoIP (voice over internet) telephony protocol for both residential and commercial customers. ViaTalk, Corporate Information, https://www.viatalk.com/broadband_phone_corporate_info.htm (last visited July 8, 2021).</w:t>
      </w:r>
      <w:r w:rsidR="009D6DE4">
        <w:t xml:space="preserve">  </w:t>
      </w:r>
      <w:r w:rsidR="009D6DE4">
        <w:rPr>
          <w:i/>
          <w:iCs/>
        </w:rPr>
        <w:t xml:space="preserve">See also </w:t>
      </w:r>
      <w:r w:rsidRPr="007C18DA" w:rsidR="007C18DA">
        <w:t xml:space="preserve">June 7 </w:t>
      </w:r>
      <w:r w:rsidRPr="007C18DA" w:rsidR="007C18DA">
        <w:t>LOI</w:t>
      </w:r>
      <w:r w:rsidRPr="007C18DA" w:rsidR="007C18DA">
        <w:t xml:space="preserve"> Response; see also ViaTalk 4 – 000001.  ViaTalk began offering VT Unlimited, in addition to other VoIP plans, on October 28, 2005.</w:t>
      </w:r>
    </w:p>
  </w:footnote>
  <w:footnote w:id="16">
    <w:p w:rsidR="00234165" w14:paraId="4E152E7A" w14:textId="18C0FEEF">
      <w:pPr>
        <w:pStyle w:val="FootnoteText"/>
      </w:pPr>
      <w:r>
        <w:rPr>
          <w:rStyle w:val="FootnoteReference"/>
        </w:rPr>
        <w:footnoteRef/>
      </w:r>
      <w:r>
        <w:t xml:space="preserve"> </w:t>
      </w:r>
      <w:r w:rsidR="00B66914">
        <w:t xml:space="preserve">Pursuant to </w:t>
      </w:r>
      <w:r w:rsidRPr="00B66914" w:rsidR="00B66914">
        <w:t>Section 716(f) interconnected VoIP service offered on October 7, 2010 will continue to be subject to section 255 requirements and not the substantive accessibility requirements set forth in Section 716 of the CVAA</w:t>
      </w:r>
      <w:r w:rsidR="00B66914">
        <w:t xml:space="preserve">.  </w:t>
      </w:r>
      <w:r w:rsidRPr="00B66914" w:rsidR="00B66914">
        <w:rPr>
          <w:i/>
          <w:iCs/>
        </w:rPr>
        <w:t>See</w:t>
      </w:r>
      <w:r w:rsidR="00B66914">
        <w:t xml:space="preserve"> </w:t>
      </w:r>
      <w:r w:rsidRPr="00B66914" w:rsidR="00B66914">
        <w:t xml:space="preserve">47 U.S.C. § 617(f); </w:t>
      </w:r>
      <w:r w:rsidRPr="00AC47E5" w:rsidR="00B66914">
        <w:rPr>
          <w:i/>
          <w:iCs/>
        </w:rPr>
        <w:t>see also 2011 CVAA Implementation Order</w:t>
      </w:r>
      <w:r w:rsidRPr="00B66914" w:rsidR="00B66914">
        <w:t>, 26 FCC Rcd at 14571, para. 36 (confirming that Section 255, and not Section 716, applies to telecommunications and interconnected VoIP services and equipment offered as of October 7, 2010).</w:t>
      </w:r>
    </w:p>
  </w:footnote>
  <w:footnote w:id="17">
    <w:p w:rsidR="00E43AFC" w:rsidRPr="00CC27C9" w14:paraId="3FC2DFD3" w14:textId="479B96F4">
      <w:pPr>
        <w:pStyle w:val="FootnoteText"/>
      </w:pPr>
      <w:r>
        <w:rPr>
          <w:rStyle w:val="FootnoteReference"/>
        </w:rPr>
        <w:footnoteRef/>
      </w:r>
      <w:r>
        <w:t xml:space="preserve"> </w:t>
      </w:r>
      <w:r w:rsidRPr="00D66046" w:rsidR="00CC27C9">
        <w:rPr>
          <w:i/>
          <w:iCs/>
        </w:rPr>
        <w:t xml:space="preserve">In the Matter of </w:t>
      </w:r>
      <w:r w:rsidRPr="00D66046" w:rsidR="00CC27C9">
        <w:rPr>
          <w:i/>
          <w:iCs/>
        </w:rPr>
        <w:t>ViaTalk</w:t>
      </w:r>
      <w:r w:rsidRPr="00D66046" w:rsidR="00CC27C9">
        <w:rPr>
          <w:i/>
          <w:iCs/>
        </w:rPr>
        <w:t>, LLC</w:t>
      </w:r>
      <w:r w:rsidRPr="00D66046" w:rsidR="00F24FC1">
        <w:t xml:space="preserve">, Order, </w:t>
      </w:r>
      <w:r w:rsidR="0095179D">
        <w:t>FCC</w:t>
      </w:r>
      <w:r w:rsidRPr="00D66046" w:rsidR="00F24FC1">
        <w:t xml:space="preserve"> 21-</w:t>
      </w:r>
      <w:r w:rsidR="0095179D">
        <w:t xml:space="preserve">96 </w:t>
      </w:r>
      <w:r w:rsidRPr="00D66046" w:rsidR="00F24FC1">
        <w:t xml:space="preserve">(Aug. </w:t>
      </w:r>
      <w:r w:rsidR="00AC2385">
        <w:t>18</w:t>
      </w:r>
      <w:r w:rsidRPr="00D66046" w:rsidR="00F24FC1">
        <w:t>, 2021)</w:t>
      </w:r>
      <w:r w:rsidRPr="0095179D" w:rsidR="00F24FC1">
        <w:t>.</w:t>
      </w:r>
      <w:r w:rsidR="00CC27C9">
        <w:rPr>
          <w:i/>
          <w:iCs/>
        </w:rPr>
        <w:t xml:space="preserve"> </w:t>
      </w:r>
    </w:p>
  </w:footnote>
  <w:footnote w:id="18">
    <w:p w:rsidR="00E43AFC" w14:paraId="05FDBDC0" w14:textId="06A0A64E">
      <w:pPr>
        <w:pStyle w:val="FootnoteText"/>
      </w:pPr>
      <w:r>
        <w:rPr>
          <w:rStyle w:val="FootnoteReference"/>
        </w:rPr>
        <w:footnoteRef/>
      </w:r>
      <w:r>
        <w:t xml:space="preserve"> </w:t>
      </w:r>
      <w:r w:rsidR="00C54F6A">
        <w:t xml:space="preserve">ViaTalk was required to file its first annual compliance report by April 1, 2013.  </w:t>
      </w:r>
      <w:r w:rsidRPr="006C69F8" w:rsidR="00691EAC">
        <w:rPr>
          <w:i/>
          <w:iCs/>
        </w:rPr>
        <w:t>Implementation of Sections 716 and 717 of the Communications Act of 1934, as Enacted by the Twenty-First Century Communications and Video Accessibility Act of 2010</w:t>
      </w:r>
      <w:r w:rsidRPr="0048384A" w:rsidR="00691EAC">
        <w:t xml:space="preserve">, CG Docket No. 10-213, </w:t>
      </w:r>
      <w:r w:rsidRPr="006C69F8" w:rsidR="00691EAC">
        <w:rPr>
          <w:i/>
          <w:iCs/>
        </w:rPr>
        <w:t>Amendments to the Commission's Rules Implementing Sections 255 and 251(a)(2) of the Communications Act of 1934, as Enacted by the Telecommunications Act of 1996</w:t>
      </w:r>
      <w:r w:rsidRPr="00691EAC" w:rsidR="00691EAC">
        <w:t xml:space="preserve">, WT Docket No. 96-198, </w:t>
      </w:r>
      <w:r w:rsidRPr="0048384A" w:rsidR="00691EAC">
        <w:rPr>
          <w:i/>
          <w:iCs/>
        </w:rPr>
        <w:t>Accessible Mobile Phone Options for People who are Blind, Deaf-Blind, or Have Low Vision</w:t>
      </w:r>
      <w:r w:rsidRPr="00691EAC" w:rsidR="00691EAC">
        <w:t>, CG Docket No. 10-145, Report and Order and Further Noticed of Proposed Rulemaking, 26 FCC Rcd 14557, 14571, 14650, 14669, paras</w:t>
      </w:r>
      <w:r w:rsidR="0048384A">
        <w:t>.</w:t>
      </w:r>
      <w:r w:rsidRPr="00691EAC" w:rsidR="00691EAC">
        <w:t xml:space="preserve"> 36, 219, 262 </w:t>
      </w:r>
      <w:r w:rsidR="00BE0410">
        <w:t xml:space="preserve">(2011) </w:t>
      </w:r>
      <w:r w:rsidRPr="00691EAC" w:rsidR="00691EAC">
        <w:t>(</w:t>
      </w:r>
      <w:r w:rsidRPr="00AC47E5" w:rsidR="00691EAC">
        <w:rPr>
          <w:i/>
          <w:iCs/>
        </w:rPr>
        <w:t xml:space="preserve">2011 </w:t>
      </w:r>
      <w:r w:rsidRPr="00AC47E5" w:rsidR="00691EAC">
        <w:rPr>
          <w:i/>
          <w:iCs/>
        </w:rPr>
        <w:t>CVAA</w:t>
      </w:r>
      <w:r w:rsidRPr="00AC47E5" w:rsidR="00691EAC">
        <w:rPr>
          <w:i/>
          <w:iCs/>
        </w:rPr>
        <w:t xml:space="preserve"> Implementation Order</w:t>
      </w:r>
      <w:r w:rsidRPr="00691EAC" w:rsidR="00691EAC">
        <w:t>).</w:t>
      </w:r>
      <w:r w:rsidR="0048384A">
        <w:t xml:space="preserve">  </w:t>
      </w:r>
      <w:r>
        <w:t>Staff of the Commission’s Consumer and Governmental Affairs Bureau</w:t>
      </w:r>
      <w:r w:rsidR="00A73C41">
        <w:t xml:space="preserve"> (CGB)</w:t>
      </w:r>
      <w:r>
        <w:t xml:space="preserve"> contacted ViaTalk about the </w:t>
      </w:r>
      <w:r w:rsidR="00A73C41">
        <w:t xml:space="preserve">annual </w:t>
      </w:r>
      <w:r>
        <w:t>filing after receiving a request for dispute assistance from the individual who subsequently filed an informal complaint</w:t>
      </w:r>
      <w:r w:rsidR="00A73C41">
        <w:t xml:space="preserve"> with the Enforcement Bureau</w:t>
      </w:r>
      <w:r>
        <w:t>.</w:t>
      </w:r>
      <w:r w:rsidR="0048384A">
        <w:t xml:space="preserve"> </w:t>
      </w:r>
      <w:r>
        <w:t xml:space="preserve"> ViaTalk filed the </w:t>
      </w:r>
      <w:r w:rsidR="00A73C41">
        <w:t xml:space="preserve">2020 annual compliance </w:t>
      </w:r>
      <w:r>
        <w:t xml:space="preserve">certification after </w:t>
      </w:r>
      <w:r w:rsidR="00A73C41">
        <w:t>CGB’s inquiry.</w:t>
      </w:r>
    </w:p>
  </w:footnote>
  <w:footnote w:id="19">
    <w:p w:rsidR="0090510E" w14:paraId="3266F1A9" w14:textId="77777777">
      <w:pPr>
        <w:pStyle w:val="FootnoteText"/>
      </w:pPr>
      <w:r>
        <w:rPr>
          <w:rStyle w:val="FootnoteReference"/>
        </w:rPr>
        <w:footnoteRef/>
      </w:r>
      <w:r>
        <w:t xml:space="preserve"> </w:t>
      </w:r>
      <w:r w:rsidRPr="00BE70CC">
        <w:rPr>
          <w:szCs w:val="22"/>
        </w:rPr>
        <w:t xml:space="preserve">47 </w:t>
      </w:r>
      <w:r w:rsidR="000516D6">
        <w:rPr>
          <w:szCs w:val="22"/>
        </w:rPr>
        <w:t>CFR</w:t>
      </w:r>
      <w:r w:rsidRPr="00BE70CC">
        <w:rPr>
          <w:szCs w:val="22"/>
        </w:rPr>
        <w:t xml:space="preserve"> § 1.17</w:t>
      </w:r>
      <w:r>
        <w:rPr>
          <w:szCs w:val="22"/>
        </w:rPr>
        <w:t>.</w:t>
      </w:r>
    </w:p>
  </w:footnote>
  <w:footnote w:id="20">
    <w:p w:rsidR="0090510E" w14:paraId="3251AFF8" w14:textId="77777777">
      <w:pPr>
        <w:pStyle w:val="FootnoteText"/>
      </w:pPr>
      <w:r>
        <w:rPr>
          <w:rStyle w:val="FootnoteReference"/>
        </w:rPr>
        <w:footnoteRef/>
      </w:r>
      <w:r>
        <w:t xml:space="preserve"> </w:t>
      </w:r>
      <w:r w:rsidRPr="00BE70CC">
        <w:rPr>
          <w:kern w:val="2"/>
          <w:szCs w:val="22"/>
        </w:rPr>
        <w:t>18 U.S.C. § 1001</w:t>
      </w:r>
      <w:r>
        <w:rPr>
          <w:kern w:val="2"/>
          <w:szCs w:val="22"/>
        </w:rPr>
        <w:t>.</w:t>
      </w:r>
    </w:p>
  </w:footnote>
  <w:footnote w:id="21">
    <w:p w:rsidR="003C4AD3" w14:paraId="02D89331" w14:textId="77777777">
      <w:pPr>
        <w:pStyle w:val="FootnoteText"/>
      </w:pPr>
      <w:r>
        <w:rPr>
          <w:rStyle w:val="FootnoteReference"/>
        </w:rPr>
        <w:footnoteRef/>
      </w:r>
      <w:r>
        <w:t xml:space="preserve"> </w:t>
      </w:r>
      <w:r w:rsidRPr="00BE70CC">
        <w:rPr>
          <w:kern w:val="2"/>
          <w:szCs w:val="22"/>
        </w:rPr>
        <w:t>5 U.S.C. § 552a(e)(3)</w:t>
      </w:r>
      <w:r>
        <w:rPr>
          <w:kern w:val="2"/>
          <w:szCs w:val="22"/>
        </w:rPr>
        <w:t>.</w:t>
      </w:r>
    </w:p>
  </w:footnote>
  <w:footnote w:id="22">
    <w:p w:rsidR="00CB0620" w:rsidP="00CB0620" w14:paraId="499366F6" w14:textId="77777777">
      <w:pPr>
        <w:pStyle w:val="FootnoteText"/>
      </w:pPr>
      <w:r>
        <w:rPr>
          <w:rStyle w:val="FootnoteReference"/>
        </w:rPr>
        <w:footnoteRef/>
      </w:r>
      <w:r>
        <w:t xml:space="preserve"> A</w:t>
      </w:r>
      <w:r w:rsidRPr="009803CA">
        <w:t xml:space="preserve">ny entity that is a “Small Business Concern” as defined in the Small Business Act (Pub. L. 85-536, as amended) may avail itself of rights set forth in that Act, including rights set forth in 15 U.S.C. </w:t>
      </w:r>
      <w:r w:rsidRPr="00F14821">
        <w:t>§</w:t>
      </w:r>
      <w:r w:rsidRPr="009803CA">
        <w:t xml:space="preserve"> 657, “Oversight of Regulatory Enforcement,” in addition to other rights set forth herein.</w:t>
      </w:r>
    </w:p>
  </w:footnote>
  <w:footnote w:id="23">
    <w:p w:rsidR="005D1BA6" w:rsidRPr="002D63C3" w14:paraId="10685323" w14:textId="4E81959B">
      <w:pPr>
        <w:pStyle w:val="FootnoteText"/>
      </w:pPr>
      <w:r w:rsidRPr="002D63C3">
        <w:rPr>
          <w:rStyle w:val="FootnoteReference"/>
        </w:rPr>
        <w:footnoteRef/>
      </w:r>
      <w:r w:rsidRPr="002D63C3">
        <w:t xml:space="preserve"> </w:t>
      </w:r>
      <w:r w:rsidRPr="002D63C3">
        <w:rPr>
          <w:i/>
        </w:rPr>
        <w:t xml:space="preserve">See </w:t>
      </w:r>
      <w:r w:rsidRPr="002D63C3">
        <w:t>47 U.S.C. § 503</w:t>
      </w:r>
      <w:r w:rsidR="001522FA">
        <w:t>(b)(2)(F)</w:t>
      </w:r>
      <w:r w:rsidRPr="002D63C3">
        <w:t xml:space="preserve">; 47 </w:t>
      </w:r>
      <w:r w:rsidR="000516D6">
        <w:t>CFR</w:t>
      </w:r>
      <w:r w:rsidRPr="002D63C3">
        <w:t xml:space="preserve"> § 1.80(b)</w:t>
      </w:r>
      <w:r w:rsidR="001522FA">
        <w:t>(3)</w:t>
      </w:r>
      <w:r w:rsidRPr="002D63C3">
        <w:t>.  This amount is subject to fu</w:t>
      </w:r>
      <w:r w:rsidRPr="002D63C3" w:rsidR="002D63C3">
        <w:t xml:space="preserve">rther adjustment for inflation.  </w:t>
      </w:r>
      <w:r w:rsidRPr="002D63C3" w:rsidR="002D63C3">
        <w:rPr>
          <w:i/>
        </w:rPr>
        <w:t>S</w:t>
      </w:r>
      <w:r w:rsidRPr="002D63C3">
        <w:rPr>
          <w:i/>
        </w:rPr>
        <w:t xml:space="preserve">ee </w:t>
      </w:r>
      <w:r w:rsidRPr="002D63C3">
        <w:t xml:space="preserve">47 </w:t>
      </w:r>
      <w:r w:rsidR="000516D6">
        <w:t>CFR</w:t>
      </w:r>
      <w:r w:rsidRPr="002D63C3">
        <w:t xml:space="preserve"> § 1.80(b)(</w:t>
      </w:r>
      <w:r w:rsidR="001522FA">
        <w:t>11</w:t>
      </w:r>
      <w:r w:rsidRPr="002D63C3">
        <w:t xml:space="preserve">). </w:t>
      </w:r>
    </w:p>
  </w:footnote>
  <w:footnote w:id="24">
    <w:p w:rsidR="005D1BA6" w:rsidRPr="002D63C3" w14:paraId="0D4A18AB" w14:textId="7156F4D9">
      <w:pPr>
        <w:pStyle w:val="FootnoteText"/>
      </w:pPr>
      <w:r w:rsidRPr="002D63C3">
        <w:rPr>
          <w:rStyle w:val="FootnoteReference"/>
        </w:rPr>
        <w:footnoteRef/>
      </w:r>
      <w:r w:rsidRPr="002D63C3">
        <w:t xml:space="preserve"> </w:t>
      </w:r>
      <w:r w:rsidRPr="002D63C3">
        <w:rPr>
          <w:i/>
        </w:rPr>
        <w:t>See</w:t>
      </w:r>
      <w:r w:rsidRPr="002D63C3">
        <w:t xml:space="preserve"> 47 </w:t>
      </w:r>
      <w:r w:rsidR="000516D6">
        <w:t>CFR</w:t>
      </w:r>
      <w:r w:rsidRPr="002D63C3">
        <w:t xml:space="preserve"> § 1.80(b)(</w:t>
      </w:r>
      <w:r w:rsidR="001522FA">
        <w:t>10</w:t>
      </w:r>
      <w:r w:rsidRPr="002D63C3">
        <w:t>).</w:t>
      </w:r>
    </w:p>
  </w:footnote>
  <w:footnote w:id="25">
    <w:p w:rsidR="005D1BA6" w:rsidRPr="002D63C3" w14:paraId="723572DB" w14:textId="77777777">
      <w:pPr>
        <w:pStyle w:val="FootnoteText"/>
      </w:pPr>
      <w:r w:rsidRPr="002D63C3">
        <w:rPr>
          <w:rStyle w:val="FootnoteReference"/>
        </w:rPr>
        <w:footnoteRef/>
      </w:r>
      <w:r w:rsidRPr="002D63C3">
        <w:t xml:space="preserve"> 47 U.S.C. § 154(i), (j).</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D1BA6" w:rsidRPr="001B048F" w:rsidP="001B048F" w14:paraId="13BCB7E2" w14:textId="5F983A0D">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3"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49"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Pr="00BE70CC">
      <w:rPr>
        <w:spacing w:val="-2"/>
      </w:rPr>
      <w:t xml:space="preserve">DA </w:t>
    </w:r>
    <w:r w:rsidR="0095179D">
      <w:rPr>
        <w:spacing w:val="-2"/>
      </w:rPr>
      <w:t>21-1010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D1BA6" w:rsidRPr="001B048F" w:rsidP="00D260D6" w14:paraId="5582DE02" w14:textId="55BE7BE0">
    <w:pPr>
      <w:pStyle w:val="Header"/>
      <w:spacing w:after="120"/>
      <w:rPr>
        <w:b w:val="0"/>
      </w:rPr>
    </w:pPr>
    <w:r w:rsidRPr="00EE36BE">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rsidRPr="00EE36BE">
      <w:tab/>
      <w:t>Federal Communications Commission</w:t>
    </w:r>
    <w:r w:rsidRPr="00EE36BE">
      <w:tab/>
    </w:r>
    <w:r w:rsidRPr="00F50F55">
      <w:rPr>
        <w:spacing w:val="-2"/>
      </w:rPr>
      <w:t xml:space="preserve">DA </w:t>
    </w:r>
    <w:r w:rsidR="0095179D">
      <w:rPr>
        <w:spacing w:val="-2"/>
      </w:rPr>
      <w:t>21-1010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FE"/>
    <w:multiLevelType w:val="singleLevel"/>
    <w:tmpl w:val="5428EE0A"/>
    <w:lvl w:ilvl="0">
      <w:start w:val="0"/>
      <w:numFmt w:val="bullet"/>
      <w:pStyle w:val="par1"/>
      <w:lvlText w:val="*"/>
      <w:lvlJc w:val="left"/>
    </w:lvl>
  </w:abstractNum>
  <w:abstractNum w:abstractNumId="1">
    <w:nsid w:val="03673889"/>
    <w:multiLevelType w:val="hybridMultilevel"/>
    <w:tmpl w:val="DBD4CE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5B93665"/>
    <w:multiLevelType w:val="hybridMultilevel"/>
    <w:tmpl w:val="1D36EA8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084B453C"/>
    <w:multiLevelType w:val="singleLevel"/>
    <w:tmpl w:val="40A8E97A"/>
    <w:lvl w:ilvl="0">
      <w:start w:val="1"/>
      <w:numFmt w:val="decimal"/>
      <w:lvlText w:val="%1."/>
      <w:lvlJc w:val="left"/>
      <w:pPr>
        <w:tabs>
          <w:tab w:val="num" w:pos="1080"/>
        </w:tabs>
        <w:ind w:left="0" w:firstLine="720"/>
      </w:pPr>
    </w:lvl>
  </w:abstractNum>
  <w:abstractNum w:abstractNumId="4">
    <w:nsid w:val="1A71299D"/>
    <w:multiLevelType w:val="hybridMultilevel"/>
    <w:tmpl w:val="62108E7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6">
    <w:nsid w:val="248246F3"/>
    <w:multiLevelType w:val="singleLevel"/>
    <w:tmpl w:val="B1F45678"/>
    <w:lvl w:ilvl="0">
      <w:start w:val="1"/>
      <w:numFmt w:val="decimal"/>
      <w:lvlText w:val="%1."/>
      <w:lvlJc w:val="left"/>
      <w:pPr>
        <w:tabs>
          <w:tab w:val="num" w:pos="1080"/>
        </w:tabs>
        <w:ind w:left="0" w:firstLine="720"/>
      </w:pPr>
    </w:lvl>
  </w:abstractNum>
  <w:abstractNum w:abstractNumId="7">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8">
    <w:nsid w:val="2C736FC6"/>
    <w:multiLevelType w:val="hybridMultilevel"/>
    <w:tmpl w:val="93F0D3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3D0F1B3D"/>
    <w:multiLevelType w:val="singleLevel"/>
    <w:tmpl w:val="583C7A4A"/>
    <w:lvl w:ilvl="0">
      <w:start w:val="7"/>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10">
    <w:nsid w:val="4C483DAF"/>
    <w:multiLevelType w:val="hybridMultilevel"/>
    <w:tmpl w:val="54B282D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nsid w:val="4E211B6F"/>
    <w:multiLevelType w:val="hybridMultilevel"/>
    <w:tmpl w:val="43B252E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5AA06DBA"/>
    <w:multiLevelType w:val="hybridMultilevel"/>
    <w:tmpl w:val="697AE332"/>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4">
    <w:nsid w:val="5BFF1F81"/>
    <w:multiLevelType w:val="hybridMultilevel"/>
    <w:tmpl w:val="A75C035C"/>
    <w:lvl w:ilvl="0">
      <w:start w:val="1"/>
      <w:numFmt w:val="bullet"/>
      <w:lvlText w:val=""/>
      <w:lvlJc w:val="left"/>
      <w:pPr>
        <w:ind w:left="1545" w:hanging="360"/>
      </w:pPr>
      <w:rPr>
        <w:rFonts w:ascii="Symbol" w:hAnsi="Symbol" w:hint="default"/>
      </w:rPr>
    </w:lvl>
    <w:lvl w:ilvl="1" w:tentative="1">
      <w:start w:val="1"/>
      <w:numFmt w:val="bullet"/>
      <w:lvlText w:val="o"/>
      <w:lvlJc w:val="left"/>
      <w:pPr>
        <w:ind w:left="2265" w:hanging="360"/>
      </w:pPr>
      <w:rPr>
        <w:rFonts w:ascii="Courier New" w:hAnsi="Courier New" w:cs="Courier New" w:hint="default"/>
      </w:rPr>
    </w:lvl>
    <w:lvl w:ilvl="2" w:tentative="1">
      <w:start w:val="1"/>
      <w:numFmt w:val="bullet"/>
      <w:lvlText w:val=""/>
      <w:lvlJc w:val="left"/>
      <w:pPr>
        <w:ind w:left="2985" w:hanging="360"/>
      </w:pPr>
      <w:rPr>
        <w:rFonts w:ascii="Wingdings" w:hAnsi="Wingdings" w:hint="default"/>
      </w:rPr>
    </w:lvl>
    <w:lvl w:ilvl="3" w:tentative="1">
      <w:start w:val="1"/>
      <w:numFmt w:val="bullet"/>
      <w:lvlText w:val=""/>
      <w:lvlJc w:val="left"/>
      <w:pPr>
        <w:ind w:left="3705" w:hanging="360"/>
      </w:pPr>
      <w:rPr>
        <w:rFonts w:ascii="Symbol" w:hAnsi="Symbol" w:hint="default"/>
      </w:rPr>
    </w:lvl>
    <w:lvl w:ilvl="4" w:tentative="1">
      <w:start w:val="1"/>
      <w:numFmt w:val="bullet"/>
      <w:lvlText w:val="o"/>
      <w:lvlJc w:val="left"/>
      <w:pPr>
        <w:ind w:left="4425" w:hanging="360"/>
      </w:pPr>
      <w:rPr>
        <w:rFonts w:ascii="Courier New" w:hAnsi="Courier New" w:cs="Courier New" w:hint="default"/>
      </w:rPr>
    </w:lvl>
    <w:lvl w:ilvl="5" w:tentative="1">
      <w:start w:val="1"/>
      <w:numFmt w:val="bullet"/>
      <w:lvlText w:val=""/>
      <w:lvlJc w:val="left"/>
      <w:pPr>
        <w:ind w:left="5145" w:hanging="360"/>
      </w:pPr>
      <w:rPr>
        <w:rFonts w:ascii="Wingdings" w:hAnsi="Wingdings" w:hint="default"/>
      </w:rPr>
    </w:lvl>
    <w:lvl w:ilvl="6" w:tentative="1">
      <w:start w:val="1"/>
      <w:numFmt w:val="bullet"/>
      <w:lvlText w:val=""/>
      <w:lvlJc w:val="left"/>
      <w:pPr>
        <w:ind w:left="5865" w:hanging="360"/>
      </w:pPr>
      <w:rPr>
        <w:rFonts w:ascii="Symbol" w:hAnsi="Symbol" w:hint="default"/>
      </w:rPr>
    </w:lvl>
    <w:lvl w:ilvl="7" w:tentative="1">
      <w:start w:val="1"/>
      <w:numFmt w:val="bullet"/>
      <w:lvlText w:val="o"/>
      <w:lvlJc w:val="left"/>
      <w:pPr>
        <w:ind w:left="6585" w:hanging="360"/>
      </w:pPr>
      <w:rPr>
        <w:rFonts w:ascii="Courier New" w:hAnsi="Courier New" w:cs="Courier New" w:hint="default"/>
      </w:rPr>
    </w:lvl>
    <w:lvl w:ilvl="8" w:tentative="1">
      <w:start w:val="1"/>
      <w:numFmt w:val="bullet"/>
      <w:lvlText w:val=""/>
      <w:lvlJc w:val="left"/>
      <w:pPr>
        <w:ind w:left="7305" w:hanging="360"/>
      </w:pPr>
      <w:rPr>
        <w:rFonts w:ascii="Wingdings" w:hAnsi="Wingdings" w:hint="default"/>
      </w:rPr>
    </w:lvl>
  </w:abstractNum>
  <w:abstractNum w:abstractNumId="15">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6">
    <w:nsid w:val="6FB837BF"/>
    <w:multiLevelType w:val="hybridMultilevel"/>
    <w:tmpl w:val="57DE5A72"/>
    <w:lvl w:ilvl="0">
      <w:start w:val="1"/>
      <w:numFmt w:val="lowerRoman"/>
      <w:lvlText w:val="%1."/>
      <w:lvlJc w:val="left"/>
      <w:pPr>
        <w:ind w:left="2160" w:hanging="72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num w:numId="1">
    <w:abstractNumId w:val="15"/>
  </w:num>
  <w:num w:numId="2">
    <w:abstractNumId w:val="7"/>
  </w:num>
  <w:num w:numId="3">
    <w:abstractNumId w:val="2"/>
  </w:num>
  <w:num w:numId="4">
    <w:abstractNumId w:val="10"/>
  </w:num>
  <w:num w:numId="5">
    <w:abstractNumId w:val="1"/>
  </w:num>
  <w:num w:numId="6">
    <w:abstractNumId w:val="8"/>
  </w:num>
  <w:num w:numId="7">
    <w:abstractNumId w:val="0"/>
    <w:lvlOverride w:ilvl="0">
      <w:lvl w:ilvl="0">
        <w:start w:val="0"/>
        <w:numFmt w:val="bullet"/>
        <w:pStyle w:val="par1"/>
        <w:lvlText w:val=""/>
        <w:legacy w:legacy="1" w:legacySpace="0" w:legacyIndent="360"/>
        <w:lvlJc w:val="left"/>
        <w:rPr>
          <w:rFonts w:ascii="Symbol" w:hAnsi="Symbol" w:hint="default"/>
        </w:rPr>
      </w:lvl>
    </w:lvlOverride>
  </w:num>
  <w:num w:numId="8">
    <w:abstractNumId w:val="14"/>
  </w:num>
  <w:num w:numId="9">
    <w:abstractNumId w:val="13"/>
  </w:num>
  <w:num w:numId="10">
    <w:abstractNumId w:val="9"/>
  </w:num>
  <w:num w:numId="11">
    <w:abstractNumId w:val="15"/>
  </w:num>
  <w:num w:numId="12">
    <w:abstractNumId w:val="15"/>
  </w:num>
  <w:num w:numId="13">
    <w:abstractNumId w:val="15"/>
  </w:num>
  <w:num w:numId="14">
    <w:abstractNumId w:val="15"/>
  </w:num>
  <w:num w:numId="15">
    <w:abstractNumId w:val="15"/>
  </w:num>
  <w:num w:numId="16">
    <w:abstractNumId w:val="15"/>
  </w:num>
  <w:num w:numId="17">
    <w:abstractNumId w:val="15"/>
    <w:lvlOverride w:ilvl="0">
      <w:startOverride w:val="1"/>
    </w:lvlOverride>
  </w:num>
  <w:num w:numId="18">
    <w:abstractNumId w:val="15"/>
    <w:lvlOverride w:ilvl="0">
      <w:startOverride w:val="1"/>
    </w:lvlOverride>
  </w:num>
  <w:num w:numId="19">
    <w:abstractNumId w:val="15"/>
  </w:num>
  <w:num w:numId="20">
    <w:abstractNumId w:val="16"/>
  </w:num>
  <w:num w:numId="21">
    <w:abstractNumId w:val="15"/>
  </w:num>
  <w:num w:numId="22">
    <w:abstractNumId w:val="15"/>
  </w:num>
  <w:num w:numId="23">
    <w:abstractNumId w:val="15"/>
  </w:num>
  <w:num w:numId="24">
    <w:abstractNumId w:val="15"/>
  </w:num>
  <w:num w:numId="25">
    <w:abstractNumId w:val="15"/>
  </w:num>
  <w:num w:numId="26">
    <w:abstractNumId w:val="15"/>
  </w:num>
  <w:num w:numId="27">
    <w:abstractNumId w:val="15"/>
  </w:num>
  <w:num w:numId="28">
    <w:abstractNumId w:val="15"/>
  </w:num>
  <w:num w:numId="29">
    <w:abstractNumId w:val="15"/>
    <w:lvlOverride w:ilvl="0">
      <w:startOverride w:val="14"/>
    </w:lvlOverride>
  </w:num>
  <w:num w:numId="30">
    <w:abstractNumId w:val="15"/>
  </w:num>
  <w:num w:numId="31">
    <w:abstractNumId w:val="15"/>
  </w:num>
  <w:num w:numId="32">
    <w:abstractNumId w:val="15"/>
  </w:num>
  <w:num w:numId="33">
    <w:abstractNumId w:val="15"/>
  </w:num>
  <w:num w:numId="34">
    <w:abstractNumId w:val="15"/>
  </w:num>
  <w:num w:numId="35">
    <w:abstractNumId w:val="15"/>
  </w:num>
  <w:num w:numId="36">
    <w:abstractNumId w:val="15"/>
  </w:num>
  <w:num w:numId="37">
    <w:abstractNumId w:val="15"/>
  </w:num>
  <w:num w:numId="38">
    <w:abstractNumId w:val="15"/>
  </w:num>
  <w:num w:numId="39">
    <w:abstractNumId w:val="15"/>
  </w:num>
  <w:num w:numId="40">
    <w:abstractNumId w:val="15"/>
  </w:num>
  <w:num w:numId="41">
    <w:abstractNumId w:val="4"/>
  </w:num>
  <w:num w:numId="42">
    <w:abstractNumId w:val="12"/>
  </w:num>
  <w:num w:numId="43">
    <w:abstractNumId w:val="5"/>
  </w:num>
  <w:num w:numId="44">
    <w:abstractNumId w:val="11"/>
  </w:num>
  <w:num w:numId="45">
    <w:abstractNumId w:val="6"/>
  </w:num>
  <w:num w:numId="46">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EDB"/>
    <w:rsid w:val="000024CA"/>
    <w:rsid w:val="00002925"/>
    <w:rsid w:val="00005148"/>
    <w:rsid w:val="00012BFC"/>
    <w:rsid w:val="00014462"/>
    <w:rsid w:val="000174F9"/>
    <w:rsid w:val="00022C58"/>
    <w:rsid w:val="00023EA3"/>
    <w:rsid w:val="00024E11"/>
    <w:rsid w:val="000264B4"/>
    <w:rsid w:val="00030037"/>
    <w:rsid w:val="00031AE8"/>
    <w:rsid w:val="00036D58"/>
    <w:rsid w:val="00046E05"/>
    <w:rsid w:val="000516D6"/>
    <w:rsid w:val="000604EB"/>
    <w:rsid w:val="0006278C"/>
    <w:rsid w:val="00062C44"/>
    <w:rsid w:val="000649FE"/>
    <w:rsid w:val="00071A40"/>
    <w:rsid w:val="00071E3F"/>
    <w:rsid w:val="00072D7D"/>
    <w:rsid w:val="0007344A"/>
    <w:rsid w:val="00074717"/>
    <w:rsid w:val="00080535"/>
    <w:rsid w:val="000824AC"/>
    <w:rsid w:val="000853AD"/>
    <w:rsid w:val="00086824"/>
    <w:rsid w:val="00091AE4"/>
    <w:rsid w:val="00092506"/>
    <w:rsid w:val="000962DF"/>
    <w:rsid w:val="00097330"/>
    <w:rsid w:val="00097F82"/>
    <w:rsid w:val="000A3E68"/>
    <w:rsid w:val="000A4776"/>
    <w:rsid w:val="000A7F7D"/>
    <w:rsid w:val="000B14C3"/>
    <w:rsid w:val="000B1C2B"/>
    <w:rsid w:val="000B1D6B"/>
    <w:rsid w:val="000B29ED"/>
    <w:rsid w:val="000B7657"/>
    <w:rsid w:val="000C4B55"/>
    <w:rsid w:val="000C6050"/>
    <w:rsid w:val="000D0561"/>
    <w:rsid w:val="000D1391"/>
    <w:rsid w:val="000E1951"/>
    <w:rsid w:val="000E2707"/>
    <w:rsid w:val="000E3600"/>
    <w:rsid w:val="000F1155"/>
    <w:rsid w:val="00100646"/>
    <w:rsid w:val="00105A35"/>
    <w:rsid w:val="00111822"/>
    <w:rsid w:val="0011337B"/>
    <w:rsid w:val="001164C6"/>
    <w:rsid w:val="0011687C"/>
    <w:rsid w:val="00117582"/>
    <w:rsid w:val="001205FE"/>
    <w:rsid w:val="001229B0"/>
    <w:rsid w:val="00122BB3"/>
    <w:rsid w:val="0012427E"/>
    <w:rsid w:val="00126C88"/>
    <w:rsid w:val="00135F7F"/>
    <w:rsid w:val="00136476"/>
    <w:rsid w:val="00136D96"/>
    <w:rsid w:val="001426F0"/>
    <w:rsid w:val="00145E08"/>
    <w:rsid w:val="001522FA"/>
    <w:rsid w:val="001532B1"/>
    <w:rsid w:val="00153904"/>
    <w:rsid w:val="00153CE0"/>
    <w:rsid w:val="00162161"/>
    <w:rsid w:val="00164D9B"/>
    <w:rsid w:val="001715BD"/>
    <w:rsid w:val="001740BB"/>
    <w:rsid w:val="00180026"/>
    <w:rsid w:val="00180F25"/>
    <w:rsid w:val="001819AF"/>
    <w:rsid w:val="001829BE"/>
    <w:rsid w:val="00192DF0"/>
    <w:rsid w:val="00193CBF"/>
    <w:rsid w:val="001A0DCA"/>
    <w:rsid w:val="001A29EF"/>
    <w:rsid w:val="001A2F40"/>
    <w:rsid w:val="001A38A4"/>
    <w:rsid w:val="001A69BA"/>
    <w:rsid w:val="001A79FB"/>
    <w:rsid w:val="001B048F"/>
    <w:rsid w:val="001C3156"/>
    <w:rsid w:val="001C3B35"/>
    <w:rsid w:val="001C42B3"/>
    <w:rsid w:val="001D1CEF"/>
    <w:rsid w:val="001D51CE"/>
    <w:rsid w:val="001D6C80"/>
    <w:rsid w:val="001E135C"/>
    <w:rsid w:val="001E1906"/>
    <w:rsid w:val="001E36EE"/>
    <w:rsid w:val="001E401B"/>
    <w:rsid w:val="001E5FFC"/>
    <w:rsid w:val="001E7C0D"/>
    <w:rsid w:val="001F2B76"/>
    <w:rsid w:val="001F5AA4"/>
    <w:rsid w:val="001F7EE0"/>
    <w:rsid w:val="00204682"/>
    <w:rsid w:val="0021315C"/>
    <w:rsid w:val="002141E6"/>
    <w:rsid w:val="002146E2"/>
    <w:rsid w:val="00223173"/>
    <w:rsid w:val="00225A9B"/>
    <w:rsid w:val="00226191"/>
    <w:rsid w:val="0022665A"/>
    <w:rsid w:val="00234165"/>
    <w:rsid w:val="00236820"/>
    <w:rsid w:val="00246222"/>
    <w:rsid w:val="00250EDF"/>
    <w:rsid w:val="00252799"/>
    <w:rsid w:val="00255F72"/>
    <w:rsid w:val="00256862"/>
    <w:rsid w:val="00256904"/>
    <w:rsid w:val="00256B42"/>
    <w:rsid w:val="002659F3"/>
    <w:rsid w:val="00265FC9"/>
    <w:rsid w:val="00270CD1"/>
    <w:rsid w:val="002710C5"/>
    <w:rsid w:val="0027183B"/>
    <w:rsid w:val="002718D7"/>
    <w:rsid w:val="00276909"/>
    <w:rsid w:val="00281120"/>
    <w:rsid w:val="00283E59"/>
    <w:rsid w:val="00284377"/>
    <w:rsid w:val="00287564"/>
    <w:rsid w:val="002966A1"/>
    <w:rsid w:val="00297424"/>
    <w:rsid w:val="002A1963"/>
    <w:rsid w:val="002A54C2"/>
    <w:rsid w:val="002B04CB"/>
    <w:rsid w:val="002B7493"/>
    <w:rsid w:val="002C12AD"/>
    <w:rsid w:val="002C2218"/>
    <w:rsid w:val="002C45D5"/>
    <w:rsid w:val="002C66A2"/>
    <w:rsid w:val="002D1534"/>
    <w:rsid w:val="002D3A88"/>
    <w:rsid w:val="002D4CD9"/>
    <w:rsid w:val="002D63C3"/>
    <w:rsid w:val="002D6A81"/>
    <w:rsid w:val="002D74C4"/>
    <w:rsid w:val="002E046E"/>
    <w:rsid w:val="002E1671"/>
    <w:rsid w:val="002E3DE5"/>
    <w:rsid w:val="002E43B6"/>
    <w:rsid w:val="002E6027"/>
    <w:rsid w:val="002E6841"/>
    <w:rsid w:val="002F02C0"/>
    <w:rsid w:val="002F2ACB"/>
    <w:rsid w:val="002F3405"/>
    <w:rsid w:val="002F7EF9"/>
    <w:rsid w:val="00302578"/>
    <w:rsid w:val="00306C34"/>
    <w:rsid w:val="00306C50"/>
    <w:rsid w:val="0032053D"/>
    <w:rsid w:val="0032244D"/>
    <w:rsid w:val="00325463"/>
    <w:rsid w:val="003258C9"/>
    <w:rsid w:val="00331B47"/>
    <w:rsid w:val="00331D4E"/>
    <w:rsid w:val="003343CA"/>
    <w:rsid w:val="003368A3"/>
    <w:rsid w:val="003368E2"/>
    <w:rsid w:val="003400E9"/>
    <w:rsid w:val="00340246"/>
    <w:rsid w:val="00344871"/>
    <w:rsid w:val="00345F40"/>
    <w:rsid w:val="00346DCB"/>
    <w:rsid w:val="003472A7"/>
    <w:rsid w:val="00347397"/>
    <w:rsid w:val="00350389"/>
    <w:rsid w:val="00353E9D"/>
    <w:rsid w:val="00361B43"/>
    <w:rsid w:val="003623B1"/>
    <w:rsid w:val="00367069"/>
    <w:rsid w:val="00367723"/>
    <w:rsid w:val="00383C2B"/>
    <w:rsid w:val="003868A6"/>
    <w:rsid w:val="0039768C"/>
    <w:rsid w:val="003A07BF"/>
    <w:rsid w:val="003A4346"/>
    <w:rsid w:val="003A4767"/>
    <w:rsid w:val="003A5530"/>
    <w:rsid w:val="003A6F0A"/>
    <w:rsid w:val="003B18EB"/>
    <w:rsid w:val="003B4544"/>
    <w:rsid w:val="003B5341"/>
    <w:rsid w:val="003B5EF6"/>
    <w:rsid w:val="003B6F75"/>
    <w:rsid w:val="003C0BCF"/>
    <w:rsid w:val="003C4AD3"/>
    <w:rsid w:val="003C6559"/>
    <w:rsid w:val="003D5B63"/>
    <w:rsid w:val="003D5BD6"/>
    <w:rsid w:val="003E36EC"/>
    <w:rsid w:val="003E3782"/>
    <w:rsid w:val="003E4BA1"/>
    <w:rsid w:val="003E5CB1"/>
    <w:rsid w:val="003E7003"/>
    <w:rsid w:val="003F21D4"/>
    <w:rsid w:val="003F2F66"/>
    <w:rsid w:val="004016AD"/>
    <w:rsid w:val="00403B86"/>
    <w:rsid w:val="00415670"/>
    <w:rsid w:val="00416F51"/>
    <w:rsid w:val="004200CE"/>
    <w:rsid w:val="0042056B"/>
    <w:rsid w:val="00426316"/>
    <w:rsid w:val="00431572"/>
    <w:rsid w:val="00436A9E"/>
    <w:rsid w:val="00436E88"/>
    <w:rsid w:val="004457AE"/>
    <w:rsid w:val="00452C14"/>
    <w:rsid w:val="00457AE7"/>
    <w:rsid w:val="00466CC6"/>
    <w:rsid w:val="00467066"/>
    <w:rsid w:val="0047221C"/>
    <w:rsid w:val="004736A1"/>
    <w:rsid w:val="004806B5"/>
    <w:rsid w:val="0048384A"/>
    <w:rsid w:val="004874A4"/>
    <w:rsid w:val="00493CA7"/>
    <w:rsid w:val="004942AD"/>
    <w:rsid w:val="00494E42"/>
    <w:rsid w:val="004C0F46"/>
    <w:rsid w:val="004C3EDB"/>
    <w:rsid w:val="004C4957"/>
    <w:rsid w:val="004D3233"/>
    <w:rsid w:val="004E218D"/>
    <w:rsid w:val="004E4FD9"/>
    <w:rsid w:val="004E5D01"/>
    <w:rsid w:val="004F0990"/>
    <w:rsid w:val="004F6A54"/>
    <w:rsid w:val="00500FF2"/>
    <w:rsid w:val="00505616"/>
    <w:rsid w:val="00510DEF"/>
    <w:rsid w:val="00512A5C"/>
    <w:rsid w:val="00514466"/>
    <w:rsid w:val="00514B5F"/>
    <w:rsid w:val="005214C9"/>
    <w:rsid w:val="00522727"/>
    <w:rsid w:val="005242A5"/>
    <w:rsid w:val="00524337"/>
    <w:rsid w:val="00526086"/>
    <w:rsid w:val="00526174"/>
    <w:rsid w:val="005321F0"/>
    <w:rsid w:val="0053406A"/>
    <w:rsid w:val="00535D18"/>
    <w:rsid w:val="00537EE6"/>
    <w:rsid w:val="005415C8"/>
    <w:rsid w:val="0054220C"/>
    <w:rsid w:val="005440C1"/>
    <w:rsid w:val="00545EF8"/>
    <w:rsid w:val="00547654"/>
    <w:rsid w:val="00552923"/>
    <w:rsid w:val="00557BF1"/>
    <w:rsid w:val="00560703"/>
    <w:rsid w:val="00560D01"/>
    <w:rsid w:val="0056704D"/>
    <w:rsid w:val="00567C95"/>
    <w:rsid w:val="00567D8D"/>
    <w:rsid w:val="00573841"/>
    <w:rsid w:val="005942FC"/>
    <w:rsid w:val="0059732E"/>
    <w:rsid w:val="005A72DD"/>
    <w:rsid w:val="005B1C29"/>
    <w:rsid w:val="005B3158"/>
    <w:rsid w:val="005B4CEA"/>
    <w:rsid w:val="005B67ED"/>
    <w:rsid w:val="005C1A05"/>
    <w:rsid w:val="005C2A5A"/>
    <w:rsid w:val="005C30D4"/>
    <w:rsid w:val="005D1BA6"/>
    <w:rsid w:val="005D250F"/>
    <w:rsid w:val="005D364B"/>
    <w:rsid w:val="005D4F7D"/>
    <w:rsid w:val="005E3D9F"/>
    <w:rsid w:val="005E6F60"/>
    <w:rsid w:val="005F7995"/>
    <w:rsid w:val="00600EA1"/>
    <w:rsid w:val="006020E8"/>
    <w:rsid w:val="00603106"/>
    <w:rsid w:val="006168A4"/>
    <w:rsid w:val="00622396"/>
    <w:rsid w:val="00624EEA"/>
    <w:rsid w:val="006254FB"/>
    <w:rsid w:val="0063038A"/>
    <w:rsid w:val="00634F84"/>
    <w:rsid w:val="00637D3F"/>
    <w:rsid w:val="00640EAA"/>
    <w:rsid w:val="00644983"/>
    <w:rsid w:val="0064498D"/>
    <w:rsid w:val="006472F4"/>
    <w:rsid w:val="00650C92"/>
    <w:rsid w:val="00653DFB"/>
    <w:rsid w:val="00654D13"/>
    <w:rsid w:val="006557D7"/>
    <w:rsid w:val="0065677C"/>
    <w:rsid w:val="006606A3"/>
    <w:rsid w:val="00661DE5"/>
    <w:rsid w:val="0066537F"/>
    <w:rsid w:val="00671666"/>
    <w:rsid w:val="00672014"/>
    <w:rsid w:val="006733A8"/>
    <w:rsid w:val="00673674"/>
    <w:rsid w:val="00674B18"/>
    <w:rsid w:val="00683E53"/>
    <w:rsid w:val="00686968"/>
    <w:rsid w:val="006877E7"/>
    <w:rsid w:val="00690659"/>
    <w:rsid w:val="00691EAC"/>
    <w:rsid w:val="006956FE"/>
    <w:rsid w:val="00696911"/>
    <w:rsid w:val="006A6FD0"/>
    <w:rsid w:val="006B080E"/>
    <w:rsid w:val="006B730D"/>
    <w:rsid w:val="006C1DED"/>
    <w:rsid w:val="006C22D3"/>
    <w:rsid w:val="006C69F8"/>
    <w:rsid w:val="006D2212"/>
    <w:rsid w:val="006D550A"/>
    <w:rsid w:val="006D73F2"/>
    <w:rsid w:val="006D7FF3"/>
    <w:rsid w:val="006E3B0D"/>
    <w:rsid w:val="006E6234"/>
    <w:rsid w:val="006E728E"/>
    <w:rsid w:val="006F083D"/>
    <w:rsid w:val="00702A4D"/>
    <w:rsid w:val="00704843"/>
    <w:rsid w:val="007115F7"/>
    <w:rsid w:val="00714FD7"/>
    <w:rsid w:val="00715666"/>
    <w:rsid w:val="00716E89"/>
    <w:rsid w:val="0072776E"/>
    <w:rsid w:val="00727F4F"/>
    <w:rsid w:val="00731211"/>
    <w:rsid w:val="0073326F"/>
    <w:rsid w:val="0073381B"/>
    <w:rsid w:val="00743885"/>
    <w:rsid w:val="00743CDB"/>
    <w:rsid w:val="00745AB4"/>
    <w:rsid w:val="007470E1"/>
    <w:rsid w:val="007479D6"/>
    <w:rsid w:val="00752D0E"/>
    <w:rsid w:val="00753BD2"/>
    <w:rsid w:val="00755564"/>
    <w:rsid w:val="00757E63"/>
    <w:rsid w:val="00765619"/>
    <w:rsid w:val="0077073F"/>
    <w:rsid w:val="0077103F"/>
    <w:rsid w:val="0077224C"/>
    <w:rsid w:val="00774542"/>
    <w:rsid w:val="00782257"/>
    <w:rsid w:val="00782388"/>
    <w:rsid w:val="00785772"/>
    <w:rsid w:val="00787DBC"/>
    <w:rsid w:val="00791577"/>
    <w:rsid w:val="00791F5A"/>
    <w:rsid w:val="007A276B"/>
    <w:rsid w:val="007A2AF2"/>
    <w:rsid w:val="007A4004"/>
    <w:rsid w:val="007A400F"/>
    <w:rsid w:val="007B1B20"/>
    <w:rsid w:val="007B1C3F"/>
    <w:rsid w:val="007B25BE"/>
    <w:rsid w:val="007C18DA"/>
    <w:rsid w:val="007C197B"/>
    <w:rsid w:val="007C3555"/>
    <w:rsid w:val="007C3802"/>
    <w:rsid w:val="007C3FB4"/>
    <w:rsid w:val="007C416C"/>
    <w:rsid w:val="007D2662"/>
    <w:rsid w:val="007D5BA0"/>
    <w:rsid w:val="007E040F"/>
    <w:rsid w:val="007E39BB"/>
    <w:rsid w:val="007F3C22"/>
    <w:rsid w:val="0080144D"/>
    <w:rsid w:val="00804AA7"/>
    <w:rsid w:val="00806AEF"/>
    <w:rsid w:val="00817123"/>
    <w:rsid w:val="00821729"/>
    <w:rsid w:val="008218CC"/>
    <w:rsid w:val="00823395"/>
    <w:rsid w:val="00835377"/>
    <w:rsid w:val="0083671D"/>
    <w:rsid w:val="00836DF6"/>
    <w:rsid w:val="0084691E"/>
    <w:rsid w:val="00854197"/>
    <w:rsid w:val="00861E8A"/>
    <w:rsid w:val="0086293F"/>
    <w:rsid w:val="00862B6D"/>
    <w:rsid w:val="008635E6"/>
    <w:rsid w:val="008661A4"/>
    <w:rsid w:val="008666BC"/>
    <w:rsid w:val="00874CFC"/>
    <w:rsid w:val="00886C3A"/>
    <w:rsid w:val="00890DC3"/>
    <w:rsid w:val="008A1A2C"/>
    <w:rsid w:val="008A62FF"/>
    <w:rsid w:val="008A6E2C"/>
    <w:rsid w:val="008B1964"/>
    <w:rsid w:val="008B1B41"/>
    <w:rsid w:val="008B27C1"/>
    <w:rsid w:val="008B7FFE"/>
    <w:rsid w:val="008C0FB2"/>
    <w:rsid w:val="008D682F"/>
    <w:rsid w:val="008D6AFE"/>
    <w:rsid w:val="008E0D87"/>
    <w:rsid w:val="008E2010"/>
    <w:rsid w:val="008F0F79"/>
    <w:rsid w:val="008F21BF"/>
    <w:rsid w:val="008F3480"/>
    <w:rsid w:val="00900F1C"/>
    <w:rsid w:val="009012DC"/>
    <w:rsid w:val="00901EA9"/>
    <w:rsid w:val="0090510E"/>
    <w:rsid w:val="00913674"/>
    <w:rsid w:val="009150E9"/>
    <w:rsid w:val="00920FB9"/>
    <w:rsid w:val="00922BC7"/>
    <w:rsid w:val="00924198"/>
    <w:rsid w:val="009244F0"/>
    <w:rsid w:val="00932C68"/>
    <w:rsid w:val="0093638C"/>
    <w:rsid w:val="00937A4E"/>
    <w:rsid w:val="0095179D"/>
    <w:rsid w:val="00952334"/>
    <w:rsid w:val="00955661"/>
    <w:rsid w:val="00961AB6"/>
    <w:rsid w:val="00965C7D"/>
    <w:rsid w:val="0096675D"/>
    <w:rsid w:val="009714F0"/>
    <w:rsid w:val="0097633D"/>
    <w:rsid w:val="009803CA"/>
    <w:rsid w:val="00980AA0"/>
    <w:rsid w:val="00981A39"/>
    <w:rsid w:val="00985084"/>
    <w:rsid w:val="009868EF"/>
    <w:rsid w:val="009902CC"/>
    <w:rsid w:val="00992A29"/>
    <w:rsid w:val="009A01CF"/>
    <w:rsid w:val="009A09C6"/>
    <w:rsid w:val="009A31E8"/>
    <w:rsid w:val="009A323D"/>
    <w:rsid w:val="009A3AE5"/>
    <w:rsid w:val="009A4C09"/>
    <w:rsid w:val="009B1061"/>
    <w:rsid w:val="009B2C59"/>
    <w:rsid w:val="009B3E58"/>
    <w:rsid w:val="009B6F55"/>
    <w:rsid w:val="009B78FB"/>
    <w:rsid w:val="009C2411"/>
    <w:rsid w:val="009C3321"/>
    <w:rsid w:val="009C46AB"/>
    <w:rsid w:val="009C6AD9"/>
    <w:rsid w:val="009D0C63"/>
    <w:rsid w:val="009D5355"/>
    <w:rsid w:val="009D6DE4"/>
    <w:rsid w:val="009E44EE"/>
    <w:rsid w:val="009E53A5"/>
    <w:rsid w:val="009E708F"/>
    <w:rsid w:val="009E73FC"/>
    <w:rsid w:val="009F5969"/>
    <w:rsid w:val="00A002F4"/>
    <w:rsid w:val="00A00AE0"/>
    <w:rsid w:val="00A01D1A"/>
    <w:rsid w:val="00A047AF"/>
    <w:rsid w:val="00A0567A"/>
    <w:rsid w:val="00A10460"/>
    <w:rsid w:val="00A14E35"/>
    <w:rsid w:val="00A174D4"/>
    <w:rsid w:val="00A204BA"/>
    <w:rsid w:val="00A20570"/>
    <w:rsid w:val="00A223C9"/>
    <w:rsid w:val="00A230E1"/>
    <w:rsid w:val="00A24CD1"/>
    <w:rsid w:val="00A26C54"/>
    <w:rsid w:val="00A35D97"/>
    <w:rsid w:val="00A37791"/>
    <w:rsid w:val="00A3796D"/>
    <w:rsid w:val="00A413EE"/>
    <w:rsid w:val="00A41565"/>
    <w:rsid w:val="00A42341"/>
    <w:rsid w:val="00A45420"/>
    <w:rsid w:val="00A52CEE"/>
    <w:rsid w:val="00A73C41"/>
    <w:rsid w:val="00A83EFC"/>
    <w:rsid w:val="00A8604A"/>
    <w:rsid w:val="00A92C53"/>
    <w:rsid w:val="00A95983"/>
    <w:rsid w:val="00AA19E7"/>
    <w:rsid w:val="00AA1C42"/>
    <w:rsid w:val="00AA595D"/>
    <w:rsid w:val="00AA614F"/>
    <w:rsid w:val="00AB2A81"/>
    <w:rsid w:val="00AB3FF0"/>
    <w:rsid w:val="00AB736F"/>
    <w:rsid w:val="00AB7F48"/>
    <w:rsid w:val="00AC08EF"/>
    <w:rsid w:val="00AC0A30"/>
    <w:rsid w:val="00AC2385"/>
    <w:rsid w:val="00AC262E"/>
    <w:rsid w:val="00AC47E5"/>
    <w:rsid w:val="00AC7682"/>
    <w:rsid w:val="00AC7905"/>
    <w:rsid w:val="00AD35D3"/>
    <w:rsid w:val="00AD525D"/>
    <w:rsid w:val="00AE4E71"/>
    <w:rsid w:val="00AE5929"/>
    <w:rsid w:val="00AE6CDF"/>
    <w:rsid w:val="00AF2483"/>
    <w:rsid w:val="00AF6122"/>
    <w:rsid w:val="00B046DF"/>
    <w:rsid w:val="00B0601B"/>
    <w:rsid w:val="00B102D9"/>
    <w:rsid w:val="00B106C6"/>
    <w:rsid w:val="00B122C3"/>
    <w:rsid w:val="00B20811"/>
    <w:rsid w:val="00B21753"/>
    <w:rsid w:val="00B246DD"/>
    <w:rsid w:val="00B26603"/>
    <w:rsid w:val="00B2660E"/>
    <w:rsid w:val="00B307A4"/>
    <w:rsid w:val="00B52F5E"/>
    <w:rsid w:val="00B62603"/>
    <w:rsid w:val="00B661C1"/>
    <w:rsid w:val="00B66914"/>
    <w:rsid w:val="00B70A0B"/>
    <w:rsid w:val="00B72A6B"/>
    <w:rsid w:val="00B7385F"/>
    <w:rsid w:val="00B8042F"/>
    <w:rsid w:val="00B84DAA"/>
    <w:rsid w:val="00B85F3E"/>
    <w:rsid w:val="00B94A16"/>
    <w:rsid w:val="00BA0DEA"/>
    <w:rsid w:val="00BA727E"/>
    <w:rsid w:val="00BB18C9"/>
    <w:rsid w:val="00BB2B10"/>
    <w:rsid w:val="00BB4888"/>
    <w:rsid w:val="00BB6D6F"/>
    <w:rsid w:val="00BC09DE"/>
    <w:rsid w:val="00BC3C88"/>
    <w:rsid w:val="00BC3FB6"/>
    <w:rsid w:val="00BC6FA7"/>
    <w:rsid w:val="00BD0B73"/>
    <w:rsid w:val="00BD532A"/>
    <w:rsid w:val="00BD5C10"/>
    <w:rsid w:val="00BD6FA1"/>
    <w:rsid w:val="00BD747D"/>
    <w:rsid w:val="00BE0410"/>
    <w:rsid w:val="00BE70CC"/>
    <w:rsid w:val="00BF0CB5"/>
    <w:rsid w:val="00BF39AF"/>
    <w:rsid w:val="00BF790E"/>
    <w:rsid w:val="00C016EF"/>
    <w:rsid w:val="00C02572"/>
    <w:rsid w:val="00C063BE"/>
    <w:rsid w:val="00C07DC3"/>
    <w:rsid w:val="00C11CF4"/>
    <w:rsid w:val="00C128B3"/>
    <w:rsid w:val="00C135FF"/>
    <w:rsid w:val="00C14EBB"/>
    <w:rsid w:val="00C211BD"/>
    <w:rsid w:val="00C22E21"/>
    <w:rsid w:val="00C2400C"/>
    <w:rsid w:val="00C26770"/>
    <w:rsid w:val="00C26850"/>
    <w:rsid w:val="00C30219"/>
    <w:rsid w:val="00C30B5C"/>
    <w:rsid w:val="00C32B5E"/>
    <w:rsid w:val="00C42D39"/>
    <w:rsid w:val="00C54F6A"/>
    <w:rsid w:val="00C5575E"/>
    <w:rsid w:val="00C56DF8"/>
    <w:rsid w:val="00C65B4E"/>
    <w:rsid w:val="00C710A4"/>
    <w:rsid w:val="00C7583B"/>
    <w:rsid w:val="00C8027D"/>
    <w:rsid w:val="00C80AB7"/>
    <w:rsid w:val="00C81248"/>
    <w:rsid w:val="00C81DFC"/>
    <w:rsid w:val="00C82A24"/>
    <w:rsid w:val="00C835A2"/>
    <w:rsid w:val="00C855E5"/>
    <w:rsid w:val="00C930F0"/>
    <w:rsid w:val="00C935BB"/>
    <w:rsid w:val="00C93DFC"/>
    <w:rsid w:val="00C9559E"/>
    <w:rsid w:val="00C9673A"/>
    <w:rsid w:val="00C97F25"/>
    <w:rsid w:val="00CA542E"/>
    <w:rsid w:val="00CA74A0"/>
    <w:rsid w:val="00CB0620"/>
    <w:rsid w:val="00CB6E37"/>
    <w:rsid w:val="00CC27C9"/>
    <w:rsid w:val="00CC660D"/>
    <w:rsid w:val="00CC6B2D"/>
    <w:rsid w:val="00CD7A1B"/>
    <w:rsid w:val="00CE064D"/>
    <w:rsid w:val="00CE3004"/>
    <w:rsid w:val="00CF0BCD"/>
    <w:rsid w:val="00CF2340"/>
    <w:rsid w:val="00CF537E"/>
    <w:rsid w:val="00CF6B67"/>
    <w:rsid w:val="00D0253E"/>
    <w:rsid w:val="00D05B66"/>
    <w:rsid w:val="00D137D5"/>
    <w:rsid w:val="00D1516F"/>
    <w:rsid w:val="00D15C2F"/>
    <w:rsid w:val="00D23943"/>
    <w:rsid w:val="00D249F3"/>
    <w:rsid w:val="00D260D6"/>
    <w:rsid w:val="00D33821"/>
    <w:rsid w:val="00D417DA"/>
    <w:rsid w:val="00D46881"/>
    <w:rsid w:val="00D51005"/>
    <w:rsid w:val="00D55192"/>
    <w:rsid w:val="00D603A8"/>
    <w:rsid w:val="00D66046"/>
    <w:rsid w:val="00D70675"/>
    <w:rsid w:val="00D708C9"/>
    <w:rsid w:val="00D70FC6"/>
    <w:rsid w:val="00D75D1C"/>
    <w:rsid w:val="00D77881"/>
    <w:rsid w:val="00D82A8B"/>
    <w:rsid w:val="00D84919"/>
    <w:rsid w:val="00D9369D"/>
    <w:rsid w:val="00D96440"/>
    <w:rsid w:val="00DB04B0"/>
    <w:rsid w:val="00DB110F"/>
    <w:rsid w:val="00DB209B"/>
    <w:rsid w:val="00DC68F5"/>
    <w:rsid w:val="00DD066D"/>
    <w:rsid w:val="00DD17B4"/>
    <w:rsid w:val="00DD355E"/>
    <w:rsid w:val="00DE45C6"/>
    <w:rsid w:val="00DF2FC3"/>
    <w:rsid w:val="00DF461A"/>
    <w:rsid w:val="00DF49C5"/>
    <w:rsid w:val="00E01DF0"/>
    <w:rsid w:val="00E03C5E"/>
    <w:rsid w:val="00E0401A"/>
    <w:rsid w:val="00E108B5"/>
    <w:rsid w:val="00E136B4"/>
    <w:rsid w:val="00E15551"/>
    <w:rsid w:val="00E20614"/>
    <w:rsid w:val="00E216B3"/>
    <w:rsid w:val="00E273E3"/>
    <w:rsid w:val="00E32B89"/>
    <w:rsid w:val="00E33AA5"/>
    <w:rsid w:val="00E35FB5"/>
    <w:rsid w:val="00E36B56"/>
    <w:rsid w:val="00E37301"/>
    <w:rsid w:val="00E3797B"/>
    <w:rsid w:val="00E40344"/>
    <w:rsid w:val="00E41348"/>
    <w:rsid w:val="00E43AFC"/>
    <w:rsid w:val="00E44170"/>
    <w:rsid w:val="00E44BA5"/>
    <w:rsid w:val="00E51553"/>
    <w:rsid w:val="00E51F9F"/>
    <w:rsid w:val="00E57ED1"/>
    <w:rsid w:val="00E61780"/>
    <w:rsid w:val="00E64D28"/>
    <w:rsid w:val="00E650AE"/>
    <w:rsid w:val="00E6792A"/>
    <w:rsid w:val="00E74600"/>
    <w:rsid w:val="00E87690"/>
    <w:rsid w:val="00E923AC"/>
    <w:rsid w:val="00E9402D"/>
    <w:rsid w:val="00E95342"/>
    <w:rsid w:val="00EA7956"/>
    <w:rsid w:val="00EA7BC5"/>
    <w:rsid w:val="00EB5C8E"/>
    <w:rsid w:val="00EB60F9"/>
    <w:rsid w:val="00EB73B3"/>
    <w:rsid w:val="00EC01C8"/>
    <w:rsid w:val="00EC389E"/>
    <w:rsid w:val="00EC439C"/>
    <w:rsid w:val="00EC43A5"/>
    <w:rsid w:val="00EC59F7"/>
    <w:rsid w:val="00EC6192"/>
    <w:rsid w:val="00ED001A"/>
    <w:rsid w:val="00ED3A3D"/>
    <w:rsid w:val="00ED5A07"/>
    <w:rsid w:val="00ED7F11"/>
    <w:rsid w:val="00EE05DB"/>
    <w:rsid w:val="00EE194C"/>
    <w:rsid w:val="00EE36BE"/>
    <w:rsid w:val="00EE6E00"/>
    <w:rsid w:val="00EF1FDD"/>
    <w:rsid w:val="00EF23E9"/>
    <w:rsid w:val="00EF2D22"/>
    <w:rsid w:val="00EF3412"/>
    <w:rsid w:val="00EF49F0"/>
    <w:rsid w:val="00EF5B91"/>
    <w:rsid w:val="00EF7A32"/>
    <w:rsid w:val="00F0262C"/>
    <w:rsid w:val="00F03DF9"/>
    <w:rsid w:val="00F122FD"/>
    <w:rsid w:val="00F14821"/>
    <w:rsid w:val="00F156C3"/>
    <w:rsid w:val="00F15E74"/>
    <w:rsid w:val="00F16485"/>
    <w:rsid w:val="00F210F9"/>
    <w:rsid w:val="00F22E6D"/>
    <w:rsid w:val="00F24FC1"/>
    <w:rsid w:val="00F35991"/>
    <w:rsid w:val="00F50F55"/>
    <w:rsid w:val="00F51AF3"/>
    <w:rsid w:val="00F53FB4"/>
    <w:rsid w:val="00F6754D"/>
    <w:rsid w:val="00F7141A"/>
    <w:rsid w:val="00F80BCB"/>
    <w:rsid w:val="00F83951"/>
    <w:rsid w:val="00F84343"/>
    <w:rsid w:val="00F85D8D"/>
    <w:rsid w:val="00F8613C"/>
    <w:rsid w:val="00F90362"/>
    <w:rsid w:val="00F93126"/>
    <w:rsid w:val="00F9326A"/>
    <w:rsid w:val="00FA2BC9"/>
    <w:rsid w:val="00FA3463"/>
    <w:rsid w:val="00FA581C"/>
    <w:rsid w:val="00FB3E3B"/>
    <w:rsid w:val="00FB450C"/>
    <w:rsid w:val="00FB4899"/>
    <w:rsid w:val="00FC1C58"/>
    <w:rsid w:val="00FC7FFE"/>
    <w:rsid w:val="00FD04FB"/>
    <w:rsid w:val="00FD0A5B"/>
    <w:rsid w:val="00FD2585"/>
    <w:rsid w:val="00FE74AF"/>
    <w:rsid w:val="00FF0865"/>
    <w:rsid w:val="00FF10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14:docId w14:val="19BB3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iPriority="0" w:unhideWhenUsed="1"/>
    <w:lsdException w:name="endnote text" w:locked="1" w:semiHidden="1" w:uiPriority="0" w:unhideWhenUsed="1"/>
    <w:lsdException w:name="table of authorities" w:locked="1" w:semiHidden="1" w:unhideWhenUsed="1"/>
    <w:lsdException w:name="macro" w:locked="1" w:semiHidden="1" w:unhideWhenUsed="1"/>
    <w:lsdException w:name="toa heading" w:locked="1" w:semiHidden="1" w:uiPriority="0"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iPriority="0"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BE0410"/>
    <w:pPr>
      <w:widowControl w:val="0"/>
    </w:pPr>
    <w:rPr>
      <w:snapToGrid w:val="0"/>
      <w:kern w:val="28"/>
      <w:szCs w:val="20"/>
    </w:rPr>
  </w:style>
  <w:style w:type="paragraph" w:styleId="Heading1">
    <w:name w:val="heading 1"/>
    <w:basedOn w:val="Normal"/>
    <w:next w:val="ParaNum"/>
    <w:link w:val="Heading1Char"/>
    <w:qFormat/>
    <w:rsid w:val="00BE0410"/>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BE0410"/>
    <w:pPr>
      <w:keepNext/>
      <w:numPr>
        <w:ilvl w:val="1"/>
        <w:numId w:val="2"/>
      </w:numPr>
      <w:spacing w:after="120"/>
      <w:outlineLvl w:val="1"/>
    </w:pPr>
    <w:rPr>
      <w:b/>
    </w:rPr>
  </w:style>
  <w:style w:type="paragraph" w:styleId="Heading3">
    <w:name w:val="heading 3"/>
    <w:basedOn w:val="Normal"/>
    <w:next w:val="ParaNum"/>
    <w:link w:val="Heading3Char"/>
    <w:qFormat/>
    <w:rsid w:val="00BE0410"/>
    <w:pPr>
      <w:keepNext/>
      <w:numPr>
        <w:ilvl w:val="2"/>
        <w:numId w:val="2"/>
      </w:numPr>
      <w:tabs>
        <w:tab w:val="left" w:pos="2160"/>
      </w:tabs>
      <w:spacing w:after="120"/>
      <w:outlineLvl w:val="2"/>
    </w:pPr>
    <w:rPr>
      <w:b/>
    </w:rPr>
  </w:style>
  <w:style w:type="paragraph" w:styleId="Heading4">
    <w:name w:val="heading 4"/>
    <w:basedOn w:val="Normal"/>
    <w:next w:val="ParaNum"/>
    <w:link w:val="Heading4Char"/>
    <w:qFormat/>
    <w:rsid w:val="00BE0410"/>
    <w:pPr>
      <w:keepNext/>
      <w:numPr>
        <w:ilvl w:val="3"/>
        <w:numId w:val="2"/>
      </w:numPr>
      <w:tabs>
        <w:tab w:val="left" w:pos="2880"/>
      </w:tabs>
      <w:spacing w:after="120"/>
      <w:outlineLvl w:val="3"/>
    </w:pPr>
    <w:rPr>
      <w:b/>
    </w:rPr>
  </w:style>
  <w:style w:type="paragraph" w:styleId="Heading5">
    <w:name w:val="heading 5"/>
    <w:basedOn w:val="Normal"/>
    <w:next w:val="ParaNum"/>
    <w:link w:val="Heading5Char"/>
    <w:qFormat/>
    <w:rsid w:val="00BE0410"/>
    <w:pPr>
      <w:keepNext/>
      <w:numPr>
        <w:ilvl w:val="4"/>
        <w:numId w:val="2"/>
      </w:numPr>
      <w:tabs>
        <w:tab w:val="left" w:pos="3600"/>
      </w:tabs>
      <w:suppressAutoHyphens/>
      <w:spacing w:after="120"/>
      <w:outlineLvl w:val="4"/>
    </w:pPr>
    <w:rPr>
      <w:b/>
    </w:rPr>
  </w:style>
  <w:style w:type="paragraph" w:styleId="Heading6">
    <w:name w:val="heading 6"/>
    <w:basedOn w:val="Normal"/>
    <w:next w:val="ParaNum"/>
    <w:link w:val="Heading6Char"/>
    <w:qFormat/>
    <w:rsid w:val="00BE0410"/>
    <w:pPr>
      <w:numPr>
        <w:ilvl w:val="5"/>
        <w:numId w:val="2"/>
      </w:numPr>
      <w:tabs>
        <w:tab w:val="left" w:pos="4320"/>
      </w:tabs>
      <w:spacing w:after="120"/>
      <w:outlineLvl w:val="5"/>
    </w:pPr>
    <w:rPr>
      <w:b/>
    </w:rPr>
  </w:style>
  <w:style w:type="paragraph" w:styleId="Heading7">
    <w:name w:val="heading 7"/>
    <w:basedOn w:val="Normal"/>
    <w:next w:val="ParaNum"/>
    <w:link w:val="Heading7Char"/>
    <w:qFormat/>
    <w:rsid w:val="00BE0410"/>
    <w:pPr>
      <w:numPr>
        <w:ilvl w:val="6"/>
        <w:numId w:val="2"/>
      </w:numPr>
      <w:tabs>
        <w:tab w:val="left" w:pos="5040"/>
      </w:tabs>
      <w:spacing w:after="120"/>
      <w:ind w:left="5040" w:hanging="720"/>
      <w:outlineLvl w:val="6"/>
    </w:pPr>
    <w:rPr>
      <w:b/>
    </w:rPr>
  </w:style>
  <w:style w:type="paragraph" w:styleId="Heading8">
    <w:name w:val="heading 8"/>
    <w:basedOn w:val="Normal"/>
    <w:next w:val="ParaNum"/>
    <w:link w:val="Heading8Char"/>
    <w:qFormat/>
    <w:rsid w:val="00BE0410"/>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BE0410"/>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BE041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E0410"/>
  </w:style>
  <w:style w:type="character" w:customStyle="1" w:styleId="Heading1Char">
    <w:name w:val="Heading 1 Char"/>
    <w:basedOn w:val="DefaultParagraphFont"/>
    <w:link w:val="Heading1"/>
    <w:locked/>
    <w:rsid w:val="0011687C"/>
    <w:rPr>
      <w:rFonts w:ascii="Times New Roman Bold" w:hAnsi="Times New Roman Bold"/>
      <w:b/>
      <w:caps/>
      <w:snapToGrid w:val="0"/>
      <w:kern w:val="28"/>
      <w:szCs w:val="20"/>
    </w:rPr>
  </w:style>
  <w:style w:type="character" w:customStyle="1" w:styleId="Heading2Char">
    <w:name w:val="Heading 2 Char"/>
    <w:basedOn w:val="DefaultParagraphFont"/>
    <w:link w:val="Heading2"/>
    <w:locked/>
    <w:rsid w:val="00086824"/>
    <w:rPr>
      <w:b/>
      <w:snapToGrid w:val="0"/>
      <w:kern w:val="28"/>
      <w:szCs w:val="20"/>
    </w:rPr>
  </w:style>
  <w:style w:type="character" w:customStyle="1" w:styleId="Heading3Char">
    <w:name w:val="Heading 3 Char"/>
    <w:basedOn w:val="DefaultParagraphFont"/>
    <w:link w:val="Heading3"/>
    <w:locked/>
    <w:rsid w:val="0011687C"/>
    <w:rPr>
      <w:b/>
      <w:snapToGrid w:val="0"/>
      <w:kern w:val="28"/>
      <w:szCs w:val="20"/>
    </w:rPr>
  </w:style>
  <w:style w:type="character" w:customStyle="1" w:styleId="Heading4Char">
    <w:name w:val="Heading 4 Char"/>
    <w:basedOn w:val="DefaultParagraphFont"/>
    <w:link w:val="Heading4"/>
    <w:locked/>
    <w:rsid w:val="0011687C"/>
    <w:rPr>
      <w:b/>
      <w:snapToGrid w:val="0"/>
      <w:kern w:val="28"/>
      <w:szCs w:val="20"/>
    </w:rPr>
  </w:style>
  <w:style w:type="character" w:customStyle="1" w:styleId="Heading5Char">
    <w:name w:val="Heading 5 Char"/>
    <w:basedOn w:val="DefaultParagraphFont"/>
    <w:link w:val="Heading5"/>
    <w:locked/>
    <w:rsid w:val="0011687C"/>
    <w:rPr>
      <w:b/>
      <w:snapToGrid w:val="0"/>
      <w:kern w:val="28"/>
      <w:szCs w:val="20"/>
    </w:rPr>
  </w:style>
  <w:style w:type="character" w:customStyle="1" w:styleId="Heading6Char">
    <w:name w:val="Heading 6 Char"/>
    <w:basedOn w:val="DefaultParagraphFont"/>
    <w:link w:val="Heading6"/>
    <w:locked/>
    <w:rsid w:val="0011687C"/>
    <w:rPr>
      <w:b/>
      <w:snapToGrid w:val="0"/>
      <w:kern w:val="28"/>
      <w:szCs w:val="20"/>
    </w:rPr>
  </w:style>
  <w:style w:type="character" w:customStyle="1" w:styleId="Heading7Char">
    <w:name w:val="Heading 7 Char"/>
    <w:basedOn w:val="DefaultParagraphFont"/>
    <w:link w:val="Heading7"/>
    <w:locked/>
    <w:rsid w:val="0011687C"/>
    <w:rPr>
      <w:b/>
      <w:snapToGrid w:val="0"/>
      <w:kern w:val="28"/>
      <w:szCs w:val="20"/>
    </w:rPr>
  </w:style>
  <w:style w:type="character" w:customStyle="1" w:styleId="Heading8Char">
    <w:name w:val="Heading 8 Char"/>
    <w:basedOn w:val="DefaultParagraphFont"/>
    <w:link w:val="Heading8"/>
    <w:locked/>
    <w:rsid w:val="0011687C"/>
    <w:rPr>
      <w:b/>
      <w:snapToGrid w:val="0"/>
      <w:kern w:val="28"/>
      <w:szCs w:val="20"/>
    </w:rPr>
  </w:style>
  <w:style w:type="character" w:customStyle="1" w:styleId="Heading9Char">
    <w:name w:val="Heading 9 Char"/>
    <w:basedOn w:val="DefaultParagraphFont"/>
    <w:link w:val="Heading9"/>
    <w:locked/>
    <w:rsid w:val="0011687C"/>
    <w:rPr>
      <w:b/>
      <w:snapToGrid w:val="0"/>
      <w:kern w:val="28"/>
      <w:szCs w:val="20"/>
    </w:rPr>
  </w:style>
  <w:style w:type="paragraph" w:styleId="BalloonText">
    <w:name w:val="Balloon Text"/>
    <w:basedOn w:val="Normal"/>
    <w:link w:val="BalloonTextChar"/>
    <w:uiPriority w:val="99"/>
    <w:semiHidden/>
    <w:rsid w:val="009B2C5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1687C"/>
    <w:rPr>
      <w:rFonts w:cs="Times New Roman"/>
      <w:kern w:val="28"/>
      <w:sz w:val="2"/>
    </w:rPr>
  </w:style>
  <w:style w:type="paragraph" w:customStyle="1" w:styleId="ParaNum">
    <w:name w:val="ParaNum"/>
    <w:basedOn w:val="Normal"/>
    <w:link w:val="ParaNumChar"/>
    <w:rsid w:val="00BE0410"/>
    <w:pPr>
      <w:numPr>
        <w:numId w:val="1"/>
      </w:numPr>
      <w:tabs>
        <w:tab w:val="clear" w:pos="1080"/>
        <w:tab w:val="num" w:pos="1440"/>
      </w:tabs>
      <w:spacing w:after="120"/>
    </w:pPr>
  </w:style>
  <w:style w:type="paragraph" w:styleId="EndnoteText">
    <w:name w:val="endnote text"/>
    <w:basedOn w:val="Normal"/>
    <w:link w:val="EndnoteTextChar"/>
    <w:semiHidden/>
    <w:rsid w:val="00BE0410"/>
    <w:rPr>
      <w:sz w:val="20"/>
    </w:rPr>
  </w:style>
  <w:style w:type="character" w:customStyle="1" w:styleId="EndnoteTextChar">
    <w:name w:val="Endnote Text Char"/>
    <w:basedOn w:val="DefaultParagraphFont"/>
    <w:link w:val="EndnoteText"/>
    <w:semiHidden/>
    <w:locked/>
    <w:rsid w:val="0011687C"/>
    <w:rPr>
      <w:snapToGrid w:val="0"/>
      <w:kern w:val="28"/>
      <w:sz w:val="20"/>
      <w:szCs w:val="20"/>
    </w:rPr>
  </w:style>
  <w:style w:type="character" w:styleId="EndnoteReference">
    <w:name w:val="endnote reference"/>
    <w:semiHidden/>
    <w:rsid w:val="00BE0410"/>
    <w:rPr>
      <w:vertAlign w:val="superscript"/>
    </w:rPr>
  </w:style>
  <w:style w:type="paragraph" w:styleId="FootnoteText">
    <w:name w:val="footnote text"/>
    <w:aliases w:val="Footnote Text Char,Footnote Text Char Char,Footnote Text Char Char Char Char,Footnote Text Char Char Char Char Char Char,Footnote Text Char1,Footnote Text Char1 Char Char,Footnote Text Char1 Char Char Char Char,Footnote Text Char3 Char1,f"/>
    <w:link w:val="FootnoteTextChar2"/>
    <w:rsid w:val="00BE0410"/>
    <w:pPr>
      <w:spacing w:after="120"/>
    </w:pPr>
    <w:rPr>
      <w:sz w:val="20"/>
      <w:szCs w:val="20"/>
    </w:rPr>
  </w:style>
  <w:style w:type="character" w:customStyle="1" w:styleId="FootnoteTextChar2">
    <w:name w:val="Footnote Text Char2"/>
    <w:aliases w:val="Footnote Text Char Char Char,Footnote Text Char Char Char Char Char,Footnote Text Char Char Char Char Char Char Char,Footnote Text Char1 Char,Footnote Text Char1 Char Char Char,Footnote Text Char1 Char Char Char Char Char,f Char"/>
    <w:basedOn w:val="DefaultParagraphFont"/>
    <w:link w:val="FootnoteText"/>
    <w:locked/>
    <w:rsid w:val="009B2C59"/>
    <w:rPr>
      <w:sz w:val="20"/>
      <w:szCs w:val="20"/>
    </w:r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BE0410"/>
    <w:rPr>
      <w:rFonts w:ascii="Times New Roman" w:hAnsi="Times New Roman"/>
      <w:dstrike w:val="0"/>
      <w:color w:val="auto"/>
      <w:sz w:val="20"/>
      <w:vertAlign w:val="superscript"/>
    </w:rPr>
  </w:style>
  <w:style w:type="paragraph" w:styleId="TOC1">
    <w:name w:val="toc 1"/>
    <w:basedOn w:val="Normal"/>
    <w:next w:val="Normal"/>
    <w:rsid w:val="00BE0410"/>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BE0410"/>
    <w:pPr>
      <w:tabs>
        <w:tab w:val="left" w:pos="720"/>
        <w:tab w:val="right" w:leader="dot" w:pos="9360"/>
      </w:tabs>
      <w:suppressAutoHyphens/>
      <w:ind w:left="720" w:right="720" w:hanging="360"/>
    </w:pPr>
    <w:rPr>
      <w:noProof/>
    </w:rPr>
  </w:style>
  <w:style w:type="paragraph" w:styleId="TOC3">
    <w:name w:val="toc 3"/>
    <w:basedOn w:val="Normal"/>
    <w:next w:val="Normal"/>
    <w:semiHidden/>
    <w:rsid w:val="00BE0410"/>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BE0410"/>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BE0410"/>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BE0410"/>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BE0410"/>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BE0410"/>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BE0410"/>
    <w:pPr>
      <w:tabs>
        <w:tab w:val="left" w:pos="3240"/>
        <w:tab w:val="right" w:leader="dot" w:pos="9360"/>
      </w:tabs>
      <w:suppressAutoHyphens/>
      <w:ind w:left="3240" w:hanging="360"/>
    </w:pPr>
    <w:rPr>
      <w:noProof/>
    </w:rPr>
  </w:style>
  <w:style w:type="paragraph" w:styleId="TOAHeading">
    <w:name w:val="toa heading"/>
    <w:basedOn w:val="Normal"/>
    <w:next w:val="Normal"/>
    <w:semiHidden/>
    <w:rsid w:val="00BE0410"/>
    <w:pPr>
      <w:tabs>
        <w:tab w:val="right" w:pos="9360"/>
      </w:tabs>
      <w:suppressAutoHyphens/>
    </w:pPr>
  </w:style>
  <w:style w:type="character" w:customStyle="1" w:styleId="EquationCaption">
    <w:name w:val="_Equation Caption"/>
    <w:rsid w:val="00BE0410"/>
  </w:style>
  <w:style w:type="paragraph" w:styleId="Header">
    <w:name w:val="header"/>
    <w:basedOn w:val="Normal"/>
    <w:link w:val="HeaderChar"/>
    <w:autoRedefine/>
    <w:rsid w:val="00BE0410"/>
    <w:pPr>
      <w:tabs>
        <w:tab w:val="center" w:pos="4680"/>
        <w:tab w:val="right" w:pos="9360"/>
      </w:tabs>
    </w:pPr>
    <w:rPr>
      <w:b/>
    </w:rPr>
  </w:style>
  <w:style w:type="character" w:customStyle="1" w:styleId="HeaderChar">
    <w:name w:val="Header Char"/>
    <w:basedOn w:val="DefaultParagraphFont"/>
    <w:link w:val="Header"/>
    <w:locked/>
    <w:rsid w:val="0011687C"/>
    <w:rPr>
      <w:b/>
      <w:snapToGrid w:val="0"/>
      <w:kern w:val="28"/>
      <w:szCs w:val="20"/>
    </w:rPr>
  </w:style>
  <w:style w:type="paragraph" w:styleId="Footer">
    <w:name w:val="footer"/>
    <w:basedOn w:val="Normal"/>
    <w:link w:val="FooterChar"/>
    <w:uiPriority w:val="99"/>
    <w:rsid w:val="00BE0410"/>
    <w:pPr>
      <w:tabs>
        <w:tab w:val="center" w:pos="4320"/>
        <w:tab w:val="right" w:pos="8640"/>
      </w:tabs>
    </w:pPr>
  </w:style>
  <w:style w:type="character" w:customStyle="1" w:styleId="FooterChar">
    <w:name w:val="Footer Char"/>
    <w:link w:val="Footer"/>
    <w:uiPriority w:val="99"/>
    <w:locked/>
    <w:rsid w:val="00BE0410"/>
    <w:rPr>
      <w:snapToGrid w:val="0"/>
      <w:kern w:val="28"/>
      <w:szCs w:val="20"/>
    </w:rPr>
  </w:style>
  <w:style w:type="character" w:styleId="PageNumber">
    <w:name w:val="page number"/>
    <w:basedOn w:val="DefaultParagraphFont"/>
    <w:rsid w:val="00BE0410"/>
  </w:style>
  <w:style w:type="paragraph" w:styleId="BlockText">
    <w:name w:val="Block Text"/>
    <w:basedOn w:val="Normal"/>
    <w:rsid w:val="00BE0410"/>
    <w:pPr>
      <w:spacing w:after="240"/>
      <w:ind w:left="1440" w:right="1440"/>
    </w:pPr>
  </w:style>
  <w:style w:type="paragraph" w:customStyle="1" w:styleId="Paratitle">
    <w:name w:val="Para title"/>
    <w:basedOn w:val="Normal"/>
    <w:rsid w:val="00BE0410"/>
    <w:pPr>
      <w:tabs>
        <w:tab w:val="center" w:pos="9270"/>
      </w:tabs>
      <w:spacing w:after="240"/>
    </w:pPr>
    <w:rPr>
      <w:spacing w:val="-2"/>
    </w:rPr>
  </w:style>
  <w:style w:type="paragraph" w:customStyle="1" w:styleId="Bullet">
    <w:name w:val="Bullet"/>
    <w:basedOn w:val="Normal"/>
    <w:rsid w:val="00BE0410"/>
    <w:pPr>
      <w:tabs>
        <w:tab w:val="left" w:pos="2160"/>
      </w:tabs>
      <w:spacing w:after="220"/>
      <w:ind w:left="2160" w:hanging="720"/>
    </w:pPr>
  </w:style>
  <w:style w:type="paragraph" w:customStyle="1" w:styleId="TableFormat">
    <w:name w:val="TableFormat"/>
    <w:basedOn w:val="Bullet"/>
    <w:rsid w:val="00BE0410"/>
    <w:pPr>
      <w:tabs>
        <w:tab w:val="clear" w:pos="2160"/>
        <w:tab w:val="left" w:pos="5040"/>
      </w:tabs>
      <w:ind w:left="5040" w:hanging="3600"/>
    </w:pPr>
  </w:style>
  <w:style w:type="paragraph" w:customStyle="1" w:styleId="TOCTitle">
    <w:name w:val="TOC Title"/>
    <w:basedOn w:val="Normal"/>
    <w:rsid w:val="00BE0410"/>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BE0410"/>
    <w:pPr>
      <w:jc w:val="center"/>
    </w:pPr>
    <w:rPr>
      <w:rFonts w:ascii="Times New Roman Bold" w:hAnsi="Times New Roman Bold"/>
      <w:b/>
      <w:bCs/>
      <w:caps/>
      <w:szCs w:val="22"/>
    </w:rPr>
  </w:style>
  <w:style w:type="character" w:styleId="Hyperlink">
    <w:name w:val="Hyperlink"/>
    <w:rsid w:val="00BE0410"/>
    <w:rPr>
      <w:color w:val="0000FF"/>
      <w:u w:val="single"/>
    </w:rPr>
  </w:style>
  <w:style w:type="character" w:styleId="FollowedHyperlink">
    <w:name w:val="FollowedHyperlink"/>
    <w:basedOn w:val="DefaultParagraphFont"/>
    <w:uiPriority w:val="99"/>
    <w:rsid w:val="009B2C59"/>
    <w:rPr>
      <w:rFonts w:cs="Times New Roman"/>
      <w:color w:val="800080"/>
      <w:u w:val="single"/>
    </w:rPr>
  </w:style>
  <w:style w:type="character" w:customStyle="1" w:styleId="ParaNumChar">
    <w:name w:val="ParaNum Char"/>
    <w:link w:val="ParaNum"/>
    <w:locked/>
    <w:rsid w:val="00226191"/>
    <w:rPr>
      <w:snapToGrid w:val="0"/>
      <w:kern w:val="28"/>
      <w:szCs w:val="20"/>
    </w:rPr>
  </w:style>
  <w:style w:type="character" w:customStyle="1" w:styleId="FootnoteTextCharChar2">
    <w:name w:val="Footnote Text Char Char2"/>
    <w:aliases w:val="Footnote Text Char Char Char Char Char Char2,Footnote Text Char1 Char Char Char Char2,Footnote Text Char2 Char Char1,rrfootnote Char Char Char Char"/>
    <w:uiPriority w:val="99"/>
    <w:rsid w:val="009B2C59"/>
    <w:rPr>
      <w:lang w:val="en-US" w:eastAsia="en-US"/>
    </w:rPr>
  </w:style>
  <w:style w:type="character" w:customStyle="1" w:styleId="documentbody">
    <w:name w:val="documentbody"/>
    <w:basedOn w:val="DefaultParagraphFont"/>
    <w:rsid w:val="009B2C59"/>
    <w:rPr>
      <w:rFonts w:cs="Times New Roman"/>
    </w:rPr>
  </w:style>
  <w:style w:type="character" w:customStyle="1" w:styleId="searchterm">
    <w:name w:val="searchterm"/>
    <w:basedOn w:val="DefaultParagraphFont"/>
    <w:uiPriority w:val="99"/>
    <w:rsid w:val="009B2C59"/>
    <w:rPr>
      <w:rFonts w:cs="Times New Roman"/>
    </w:rPr>
  </w:style>
  <w:style w:type="character" w:styleId="CommentReference">
    <w:name w:val="annotation reference"/>
    <w:basedOn w:val="DefaultParagraphFont"/>
    <w:uiPriority w:val="99"/>
    <w:rsid w:val="00C211BD"/>
    <w:rPr>
      <w:rFonts w:cs="Times New Roman"/>
      <w:sz w:val="16"/>
    </w:rPr>
  </w:style>
  <w:style w:type="paragraph" w:styleId="CommentText">
    <w:name w:val="annotation text"/>
    <w:basedOn w:val="Normal"/>
    <w:link w:val="CommentTextChar"/>
    <w:uiPriority w:val="99"/>
    <w:rsid w:val="00C211BD"/>
    <w:rPr>
      <w:sz w:val="20"/>
    </w:rPr>
  </w:style>
  <w:style w:type="character" w:customStyle="1" w:styleId="CommentTextChar">
    <w:name w:val="Comment Text Char"/>
    <w:basedOn w:val="DefaultParagraphFont"/>
    <w:link w:val="CommentText"/>
    <w:uiPriority w:val="99"/>
    <w:locked/>
    <w:rsid w:val="00C211BD"/>
    <w:rPr>
      <w:rFonts w:cs="Times New Roman"/>
      <w:kern w:val="28"/>
    </w:rPr>
  </w:style>
  <w:style w:type="paragraph" w:styleId="CommentSubject">
    <w:name w:val="annotation subject"/>
    <w:basedOn w:val="CommentText"/>
    <w:next w:val="CommentText"/>
    <w:link w:val="CommentSubjectChar"/>
    <w:uiPriority w:val="99"/>
    <w:rsid w:val="00BB2B10"/>
    <w:rPr>
      <w:b/>
      <w:bCs/>
    </w:rPr>
  </w:style>
  <w:style w:type="character" w:customStyle="1" w:styleId="CommentSubjectChar">
    <w:name w:val="Comment Subject Char"/>
    <w:basedOn w:val="CommentTextChar"/>
    <w:link w:val="CommentSubject"/>
    <w:uiPriority w:val="99"/>
    <w:locked/>
    <w:rsid w:val="00BB2B10"/>
    <w:rPr>
      <w:rFonts w:cs="Times New Roman"/>
      <w:b/>
      <w:bCs/>
      <w:snapToGrid w:val="0"/>
      <w:kern w:val="28"/>
    </w:rPr>
  </w:style>
  <w:style w:type="character" w:customStyle="1" w:styleId="FootnoteTextChar3">
    <w:name w:val="Footnote Text Char3"/>
    <w:aliases w:val="Footnote Text Char Char Char1,Footnote Text Char1 Char1,Footnote Text Char2 Char Char Char1,Footnote Text Char2 Char1 Char1 Char Char Char1,Footnote Text Char3 Char1 Char Char Char Char Char1,Footnote Text Char3 Char1 Char Char Char1"/>
    <w:locked/>
    <w:rsid w:val="00A204BA"/>
    <w:rPr>
      <w:sz w:val="20"/>
      <w:szCs w:val="20"/>
    </w:rPr>
  </w:style>
  <w:style w:type="paragraph" w:styleId="ListParagraph">
    <w:name w:val="List Paragraph"/>
    <w:basedOn w:val="Normal"/>
    <w:uiPriority w:val="99"/>
    <w:qFormat/>
    <w:rsid w:val="003343CA"/>
    <w:pPr>
      <w:ind w:left="720"/>
      <w:contextualSpacing/>
    </w:pPr>
    <w:rPr>
      <w:snapToGrid/>
    </w:rPr>
  </w:style>
  <w:style w:type="paragraph" w:customStyle="1" w:styleId="par1">
    <w:name w:val="par1"/>
    <w:basedOn w:val="Normal"/>
    <w:link w:val="par1Char"/>
    <w:uiPriority w:val="99"/>
    <w:rsid w:val="003343CA"/>
    <w:pPr>
      <w:numPr>
        <w:numId w:val="7"/>
      </w:numPr>
      <w:tabs>
        <w:tab w:val="num" w:pos="900"/>
        <w:tab w:val="left" w:pos="1440"/>
      </w:tabs>
      <w:ind w:left="-180" w:firstLine="720"/>
    </w:pPr>
    <w:rPr>
      <w:snapToGrid/>
      <w:sz w:val="20"/>
    </w:rPr>
  </w:style>
  <w:style w:type="character" w:customStyle="1" w:styleId="par1Char">
    <w:name w:val="par1 Char"/>
    <w:link w:val="par1"/>
    <w:uiPriority w:val="99"/>
    <w:locked/>
    <w:rsid w:val="003343CA"/>
    <w:rPr>
      <w:snapToGrid w:val="0"/>
      <w:kern w:val="28"/>
      <w:sz w:val="20"/>
      <w:szCs w:val="20"/>
    </w:rPr>
  </w:style>
  <w:style w:type="character" w:customStyle="1" w:styleId="FootnoteTextChar2Char1Char">
    <w:name w:val="Footnote Text Char2 Char1 Char"/>
    <w:aliases w:val="Footnote Text Char Char Char Char2 Char,Footnote Text Char1 Char Char Char Char Char Char,Footnote Text Char1 Char Char2 Char,Footnote Text Char2 Char Char1 Char Char1 Char"/>
    <w:rsid w:val="008E2010"/>
    <w:rPr>
      <w:lang w:val="en-US" w:eastAsia="en-US" w:bidi="ar-SA"/>
    </w:rPr>
  </w:style>
  <w:style w:type="paragraph" w:styleId="Revision">
    <w:name w:val="Revision"/>
    <w:hidden/>
    <w:uiPriority w:val="99"/>
    <w:semiHidden/>
    <w:rsid w:val="000A7F7D"/>
    <w:rPr>
      <w:kern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FCC504@fcc.gov" TargetMode="External" /><Relationship Id="rId6" Type="http://schemas.openxmlformats.org/officeDocument/2006/relationships/hyperlink" Target="mailto:john.reyes@hostrocket.com"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