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038C8D57">
            <w:pPr>
              <w:tabs>
                <w:tab w:val="center" w:pos="4680"/>
              </w:tabs>
              <w:suppressAutoHyphens/>
              <w:rPr>
                <w:spacing w:val="-2"/>
              </w:rPr>
            </w:pPr>
            <w:r>
              <w:rPr>
                <w:spacing w:val="-2"/>
              </w:rPr>
              <w:t xml:space="preserve">In </w:t>
            </w:r>
            <w:r w:rsidR="007F223C">
              <w:rPr>
                <w:spacing w:val="-2"/>
              </w:rPr>
              <w:t>re Application</w:t>
            </w:r>
            <w:r>
              <w:rPr>
                <w:spacing w:val="-2"/>
              </w:rPr>
              <w:t xml:space="preserve"> of</w:t>
            </w:r>
          </w:p>
          <w:p w:rsidR="004C2EE3" w14:paraId="41032766" w14:textId="77777777">
            <w:pPr>
              <w:tabs>
                <w:tab w:val="center" w:pos="4680"/>
              </w:tabs>
              <w:suppressAutoHyphens/>
              <w:rPr>
                <w:spacing w:val="-2"/>
              </w:rPr>
            </w:pPr>
          </w:p>
          <w:p w:rsidR="00140750" w:rsidRPr="00E80030" w:rsidP="00140750" w14:paraId="2310D2D0" w14:textId="6E727B57">
            <w:pPr>
              <w:tabs>
                <w:tab w:val="center" w:pos="4680"/>
              </w:tabs>
              <w:suppressAutoHyphens/>
              <w:rPr>
                <w:b/>
                <w:bCs/>
                <w:spacing w:val="-2"/>
              </w:rPr>
            </w:pPr>
            <w:r>
              <w:rPr>
                <w:b/>
                <w:bCs/>
                <w:spacing w:val="-2"/>
              </w:rPr>
              <w:t>Potter Radio, LLC</w:t>
            </w:r>
          </w:p>
          <w:p w:rsidR="00140750" w:rsidRPr="00E80030" w:rsidP="00140750" w14:paraId="57743B9F" w14:textId="77777777">
            <w:pPr>
              <w:tabs>
                <w:tab w:val="center" w:pos="4680"/>
              </w:tabs>
              <w:suppressAutoHyphens/>
              <w:rPr>
                <w:spacing w:val="-2"/>
              </w:rPr>
            </w:pPr>
          </w:p>
          <w:p w:rsidR="00140750" w:rsidRPr="00140750" w:rsidP="00140750" w14:paraId="2120163C" w14:textId="63384E7E">
            <w:pPr>
              <w:tabs>
                <w:tab w:val="center" w:pos="4680"/>
              </w:tabs>
              <w:suppressAutoHyphens/>
              <w:rPr>
                <w:spacing w:val="-2"/>
              </w:rPr>
            </w:pPr>
            <w:r w:rsidRPr="00140750">
              <w:rPr>
                <w:spacing w:val="-2"/>
              </w:rPr>
              <w:t xml:space="preserve">For </w:t>
            </w:r>
            <w:r w:rsidR="00596F9E">
              <w:rPr>
                <w:spacing w:val="-2"/>
              </w:rPr>
              <w:t>License to Cover</w:t>
            </w:r>
          </w:p>
          <w:p w:rsidR="00140750" w:rsidRPr="00140750" w:rsidP="00140750" w14:paraId="6701BC9C" w14:textId="4CC9E785">
            <w:pPr>
              <w:tabs>
                <w:tab w:val="center" w:pos="4680"/>
              </w:tabs>
              <w:suppressAutoHyphens/>
              <w:rPr>
                <w:spacing w:val="-2"/>
              </w:rPr>
            </w:pPr>
            <w:r w:rsidRPr="00140750">
              <w:rPr>
                <w:spacing w:val="-2"/>
              </w:rPr>
              <w:t xml:space="preserve">FM Translator Station </w:t>
            </w:r>
            <w:r w:rsidR="00596F9E">
              <w:rPr>
                <w:spacing w:val="-2"/>
              </w:rPr>
              <w:t>K236CT</w:t>
            </w:r>
          </w:p>
          <w:p w:rsidR="004C2EE3" w:rsidRPr="007115F7" w:rsidP="00140750" w14:paraId="310B4D25" w14:textId="36C8C3A6">
            <w:pPr>
              <w:tabs>
                <w:tab w:val="center" w:pos="4680"/>
              </w:tabs>
              <w:suppressAutoHyphens/>
              <w:rPr>
                <w:spacing w:val="-2"/>
              </w:rPr>
            </w:pPr>
            <w:r>
              <w:rPr>
                <w:spacing w:val="-2"/>
              </w:rPr>
              <w:t>Pawhuska, Oklahoma</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7C0E1CA7">
            <w:pPr>
              <w:pStyle w:val="TOAHeading"/>
              <w:tabs>
                <w:tab w:val="center" w:pos="4680"/>
              </w:tabs>
              <w:rPr>
                <w:spacing w:val="-2"/>
              </w:rPr>
            </w:pPr>
            <w:r w:rsidRPr="00140750">
              <w:rPr>
                <w:spacing w:val="-2"/>
              </w:rPr>
              <w:t xml:space="preserve">Facility ID No. </w:t>
            </w:r>
            <w:r w:rsidR="00596F9E">
              <w:rPr>
                <w:spacing w:val="-2"/>
              </w:rPr>
              <w:t>201601</w:t>
            </w:r>
          </w:p>
          <w:p w:rsidR="00140750" w:rsidRPr="00140750" w:rsidP="00140750" w14:paraId="31F6B7E1" w14:textId="28D270BC">
            <w:pPr>
              <w:pStyle w:val="TOAHeading"/>
              <w:tabs>
                <w:tab w:val="center" w:pos="4680"/>
              </w:tabs>
              <w:rPr>
                <w:spacing w:val="-2"/>
              </w:rPr>
            </w:pPr>
            <w:r w:rsidRPr="00140750">
              <w:rPr>
                <w:spacing w:val="-2"/>
              </w:rPr>
              <w:t xml:space="preserve">NAL/Acct. No. </w:t>
            </w:r>
            <w:bookmarkStart w:id="0" w:name="_Hlk65044492"/>
            <w:r w:rsidRPr="00140750">
              <w:rPr>
                <w:spacing w:val="-2"/>
              </w:rPr>
              <w:t>MB-202</w:t>
            </w:r>
            <w:r w:rsidR="00250597">
              <w:rPr>
                <w:spacing w:val="-2"/>
              </w:rPr>
              <w:t>1</w:t>
            </w:r>
            <w:r w:rsidRPr="00140750">
              <w:rPr>
                <w:spacing w:val="-2"/>
              </w:rPr>
              <w:t>414100</w:t>
            </w:r>
            <w:bookmarkEnd w:id="0"/>
            <w:r w:rsidR="00FF6072">
              <w:rPr>
                <w:spacing w:val="-2"/>
              </w:rPr>
              <w:t>36</w:t>
            </w:r>
          </w:p>
          <w:p w:rsidR="00140750" w:rsidRPr="00140750" w:rsidP="00140750" w14:paraId="60F8F9FE" w14:textId="57E390FD">
            <w:pPr>
              <w:pStyle w:val="TOAHeading"/>
              <w:tabs>
                <w:tab w:val="center" w:pos="4680"/>
              </w:tabs>
              <w:rPr>
                <w:spacing w:val="-2"/>
              </w:rPr>
            </w:pPr>
            <w:r w:rsidRPr="00140750">
              <w:rPr>
                <w:spacing w:val="-2"/>
              </w:rPr>
              <w:t>FRN:</w:t>
            </w:r>
            <w:r w:rsidR="002172BD">
              <w:rPr>
                <w:spacing w:val="-2"/>
              </w:rPr>
              <w:t xml:space="preserve"> </w:t>
            </w:r>
            <w:r w:rsidR="00596F9E">
              <w:rPr>
                <w:spacing w:val="-2"/>
              </w:rPr>
              <w:t>0012537544</w:t>
            </w:r>
          </w:p>
          <w:p w:rsidR="004C2EE3" w:rsidP="00140750" w14:paraId="0C593CF4" w14:textId="11A4C948">
            <w:pPr>
              <w:tabs>
                <w:tab w:val="center" w:pos="4680"/>
              </w:tabs>
              <w:suppressAutoHyphens/>
              <w:rPr>
                <w:spacing w:val="-2"/>
              </w:rPr>
            </w:pPr>
            <w:r w:rsidRPr="00140750">
              <w:rPr>
                <w:spacing w:val="-2"/>
              </w:rPr>
              <w:t xml:space="preserve">File No. </w:t>
            </w:r>
            <w:r w:rsidR="00596F9E">
              <w:rPr>
                <w:spacing w:val="-2"/>
              </w:rPr>
              <w:t>0000155321</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6CDC4F2D">
      <w:pPr>
        <w:tabs>
          <w:tab w:val="left" w:pos="720"/>
          <w:tab w:val="right" w:pos="9360"/>
        </w:tabs>
        <w:suppressAutoHyphens/>
        <w:spacing w:line="227" w:lineRule="auto"/>
        <w:rPr>
          <w:spacing w:val="-2"/>
        </w:rPr>
      </w:pPr>
      <w:r w:rsidRPr="003F17E2">
        <w:rPr>
          <w:b/>
          <w:spacing w:val="-2"/>
        </w:rPr>
        <w:t xml:space="preserve">Adopted:  </w:t>
      </w:r>
      <w:r w:rsidR="00FF6072">
        <w:rPr>
          <w:b/>
          <w:spacing w:val="-2"/>
        </w:rPr>
        <w:t>August 18,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FF6072">
        <w:rPr>
          <w:b/>
          <w:spacing w:val="-2"/>
        </w:rPr>
        <w:t>August 18,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3290ED9D">
      <w:pPr>
        <w:pStyle w:val="ParaNum"/>
        <w:rPr>
          <w:szCs w:val="22"/>
        </w:rPr>
      </w:pPr>
      <w:r>
        <w:t xml:space="preserve">The Media Bureau (Bureau) has before it the </w:t>
      </w:r>
      <w:r w:rsidR="00596F9E">
        <w:t xml:space="preserve">above-captioned </w:t>
      </w:r>
      <w:r>
        <w:t>application (Application)</w:t>
      </w:r>
      <w:r w:rsidR="00596F9E">
        <w:t xml:space="preserve"> of</w:t>
      </w:r>
      <w:r>
        <w:t xml:space="preserve"> </w:t>
      </w:r>
      <w:r w:rsidR="00596F9E">
        <w:t>Potter Radio</w:t>
      </w:r>
      <w:r w:rsidR="007743C9">
        <w:t>, LLC</w:t>
      </w:r>
      <w:r w:rsidR="000F6468">
        <w:t xml:space="preserve"> </w:t>
      </w:r>
      <w:r w:rsidRPr="00DB10EE" w:rsidR="00DB10EE">
        <w:t>(</w:t>
      </w:r>
      <w:r w:rsidR="00596F9E">
        <w:t>Permittee</w:t>
      </w:r>
      <w:r w:rsidRPr="00DB10EE" w:rsidR="00DB10EE">
        <w:t>)</w:t>
      </w:r>
      <w:r w:rsidR="00221720">
        <w:t>,</w:t>
      </w:r>
      <w:r w:rsidRPr="00DB10EE" w:rsidR="00DB10EE">
        <w:t xml:space="preserve"> for </w:t>
      </w:r>
      <w:r w:rsidR="00596F9E">
        <w:t>a license to cover</w:t>
      </w:r>
      <w:r w:rsidRPr="00DB10EE" w:rsidR="00DB10EE">
        <w:t xml:space="preserve"> FM translator station </w:t>
      </w:r>
      <w:r w:rsidR="00596F9E">
        <w:t>K236CT, Pawhuska, Oklahoma</w:t>
      </w:r>
      <w:r w:rsidRPr="00DB10EE" w:rsidR="00DB10EE">
        <w:t xml:space="preserve"> (</w:t>
      </w:r>
      <w:r w:rsidR="006255CA">
        <w:t>Translator</w:t>
      </w:r>
      <w:r w:rsidRPr="00DB10EE" w:rsidR="00DB10EE">
        <w:t xml:space="preserve">).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3"/>
      </w:r>
      <w:r w:rsidRPr="00947B4D">
        <w:rPr>
          <w:i/>
        </w:rPr>
        <w:t xml:space="preserve"> </w:t>
      </w:r>
      <w:r w:rsidR="00596F9E">
        <w:t xml:space="preserve">we find that the Permittee apparently willfully violated </w:t>
      </w:r>
      <w:r w:rsidR="006255CA">
        <w:t>s</w:t>
      </w:r>
      <w:r w:rsidR="00596F9E">
        <w:t>ection 73.3598</w:t>
      </w:r>
      <w:r>
        <w:rPr>
          <w:rStyle w:val="FootnoteReference"/>
          <w:color w:val="000000"/>
        </w:rPr>
        <w:footnoteReference w:id="4"/>
      </w:r>
      <w:r w:rsidR="00596F9E">
        <w:t xml:space="preserve"> of the Rules by failing to timely file a License to Cover Application, and willfully and repeatedly violated section 301 of the Act,</w:t>
      </w:r>
      <w:r>
        <w:rPr>
          <w:rStyle w:val="FootnoteReference"/>
          <w:color w:val="000000"/>
        </w:rPr>
        <w:footnoteReference w:id="5"/>
      </w:r>
      <w:r w:rsidR="00596F9E">
        <w:t xml:space="preserve"> by engaging in unauthorized operation of the Translator after </w:t>
      </w:r>
      <w:r w:rsidR="006255CA">
        <w:t>its</w:t>
      </w:r>
      <w:r w:rsidR="00596F9E">
        <w:t xml:space="preserve"> construction permit had expired.  Based upon our review of the facts and circumstances before us, we conclude that the Permittee </w:t>
      </w:r>
      <w:r w:rsidR="00C27060">
        <w:t xml:space="preserve">is </w:t>
      </w:r>
      <w:r w:rsidR="00596F9E">
        <w:t xml:space="preserve">apparently liable for a monetary forfeiture in the amount of </w:t>
      </w:r>
      <w:r w:rsidR="00C27060">
        <w:t>three</w:t>
      </w:r>
      <w:r w:rsidR="00596F9E">
        <w:t xml:space="preserve"> thousand </w:t>
      </w:r>
      <w:r w:rsidR="00C27060">
        <w:t>five hundred d</w:t>
      </w:r>
      <w:r w:rsidR="00596F9E">
        <w:t>ollars ($3,500)</w:t>
      </w:r>
      <w:r w:rsidR="00596F9E">
        <w:rPr>
          <w:szCs w:val="22"/>
        </w:rPr>
        <w:t>.</w:t>
      </w:r>
    </w:p>
    <w:p w:rsidR="00140750" w:rsidRPr="00146D8A" w:rsidP="00140750" w14:paraId="3DBF3911" w14:textId="77777777">
      <w:pPr>
        <w:pStyle w:val="Heading1"/>
      </w:pPr>
      <w:r w:rsidRPr="00947B4D">
        <w:t>BACKGROUN</w:t>
      </w:r>
      <w:r>
        <w:t>D</w:t>
      </w:r>
    </w:p>
    <w:p w:rsidR="00140750" w:rsidRPr="00146D8A" w:rsidP="00275A56" w14:paraId="6BFD0F40" w14:textId="07CB2E0A">
      <w:pPr>
        <w:pStyle w:val="ParaNum"/>
      </w:pPr>
      <w:r>
        <w:t>The Bureau issued Permittee a construction permit for the Translator on January 4, 2018, with an expiration date of January 4, 2021</w:t>
      </w:r>
      <w:r w:rsidR="00F94259">
        <w:t xml:space="preserve"> (Permit)</w:t>
      </w:r>
      <w:r>
        <w:t xml:space="preserve">. </w:t>
      </w:r>
      <w:r w:rsidR="00A41060">
        <w:t xml:space="preserve"> </w:t>
      </w:r>
      <w:r w:rsidR="00AF350B">
        <w:t xml:space="preserve">On August 4, 2020, </w:t>
      </w:r>
      <w:r w:rsidR="00275A56">
        <w:t xml:space="preserve">Permittee requested </w:t>
      </w:r>
      <w:r w:rsidR="00AF350B">
        <w:t>six month</w:t>
      </w:r>
      <w:r w:rsidR="00C27060">
        <w:t>s</w:t>
      </w:r>
      <w:r w:rsidR="00AF350B">
        <w:t xml:space="preserve"> of additional time in which to construct the Translator, citing construction delays caused by the COVID-19 </w:t>
      </w:r>
      <w:r w:rsidR="00006E03">
        <w:t xml:space="preserve">pandemic, </w:t>
      </w:r>
      <w:r w:rsidR="00C27060">
        <w:t>and</w:t>
      </w:r>
      <w:r w:rsidR="00006E03">
        <w:t xml:space="preserve"> the Bureau extended the Permit until July 4, 2021.</w:t>
      </w:r>
      <w:r>
        <w:rPr>
          <w:rStyle w:val="FootnoteReference"/>
        </w:rPr>
        <w:footnoteReference w:id="6"/>
      </w:r>
      <w:r w:rsidR="00275A56">
        <w:t xml:space="preserve">  However, Permittee</w:t>
      </w:r>
      <w:r w:rsidR="00C27060">
        <w:t xml:space="preserve"> not</w:t>
      </w:r>
      <w:r w:rsidR="00275A56">
        <w:t xml:space="preserve"> did file a covering license application by July 4, 2021, and the</w:t>
      </w:r>
      <w:r w:rsidR="00A41060">
        <w:t xml:space="preserve"> Permit expired on its own terms that day</w:t>
      </w:r>
      <w:r w:rsidR="00275A56">
        <w:t xml:space="preserve"> </w:t>
      </w:r>
      <w:r w:rsidR="00AF350B">
        <w:t>pursuant</w:t>
      </w:r>
      <w:r w:rsidR="00275A56">
        <w:t xml:space="preserve"> to section 73.3598(e) of the R</w:t>
      </w:r>
      <w:r w:rsidR="00F92630">
        <w:t>ules</w:t>
      </w:r>
      <w:r w:rsidR="00A41060">
        <w:t>.</w:t>
      </w:r>
      <w:r>
        <w:rPr>
          <w:bCs/>
          <w:snapToGrid/>
          <w:kern w:val="0"/>
          <w:sz w:val="20"/>
          <w:vertAlign w:val="superscript"/>
        </w:rPr>
        <w:footnoteReference w:id="7"/>
      </w:r>
      <w:r w:rsidR="00A41060">
        <w:t xml:space="preserve"> </w:t>
      </w:r>
      <w:r w:rsidR="00025331">
        <w:t xml:space="preserve"> O</w:t>
      </w:r>
      <w:r w:rsidR="00AF350B">
        <w:t>n</w:t>
      </w:r>
      <w:r w:rsidR="00025331">
        <w:t xml:space="preserve"> </w:t>
      </w:r>
      <w:r w:rsidR="00AF350B">
        <w:t>July</w:t>
      </w:r>
      <w:r w:rsidR="00025331">
        <w:t xml:space="preserve"> 23, 2021, </w:t>
      </w:r>
      <w:r w:rsidR="003946B0">
        <w:t>Permittee</w:t>
      </w:r>
      <w:r w:rsidR="00025331">
        <w:t xml:space="preserve"> filed a “Petition for </w:t>
      </w:r>
      <w:r w:rsidR="00AF350B">
        <w:t>Reconsideration</w:t>
      </w:r>
      <w:r w:rsidR="00025331">
        <w:t xml:space="preserve"> of Cancellation of Construction Permit”</w:t>
      </w:r>
      <w:r w:rsidR="00F94259">
        <w:t xml:space="preserve"> (Petition)</w:t>
      </w:r>
      <w:r w:rsidR="00025331">
        <w:t xml:space="preserve">, </w:t>
      </w:r>
      <w:r w:rsidR="00AF350B">
        <w:t>demonstrating</w:t>
      </w:r>
      <w:r w:rsidR="00025331">
        <w:t xml:space="preserve"> that the Translator was constructed prior to the expiration of the Permit.  The staff treated the Petition as a request for waiver of section 73.3598 of </w:t>
      </w:r>
      <w:r w:rsidR="00025331">
        <w:t xml:space="preserve">the Rules, granted the </w:t>
      </w:r>
      <w:r w:rsidR="00C27060">
        <w:t>waiver, reinstated the Permit</w:t>
      </w:r>
      <w:r w:rsidR="00025331">
        <w:t xml:space="preserve">, and afford </w:t>
      </w:r>
      <w:r w:rsidR="003946B0">
        <w:t>Permittee</w:t>
      </w:r>
      <w:r w:rsidR="00025331">
        <w:t xml:space="preserve"> until August 13</w:t>
      </w:r>
      <w:r w:rsidR="00C27060">
        <w:t>, 2021,</w:t>
      </w:r>
      <w:r w:rsidR="00025331">
        <w:t xml:space="preserve"> to file a covering license application for the Permit.</w:t>
      </w:r>
      <w:r>
        <w:rPr>
          <w:rStyle w:val="FootnoteReference"/>
        </w:rPr>
        <w:footnoteReference w:id="8"/>
      </w:r>
      <w:r w:rsidR="00D6392C">
        <w:t xml:space="preserve">  Permittee filed the Application on August 2, 2021.</w:t>
      </w:r>
    </w:p>
    <w:p w:rsidR="00140750" w:rsidRPr="00146D8A" w:rsidP="00140750" w14:paraId="663EEE6D" w14:textId="77777777">
      <w:pPr>
        <w:pStyle w:val="Heading1"/>
        <w:rPr>
          <w:szCs w:val="22"/>
        </w:rPr>
      </w:pPr>
      <w:r w:rsidRPr="00753410">
        <w:t>DISCUSSION</w:t>
      </w:r>
    </w:p>
    <w:p w:rsidR="00140750" w:rsidRPr="00146D8A" w:rsidP="00F94259" w14:paraId="174DC642" w14:textId="45C1DAA6">
      <w:pPr>
        <w:pStyle w:val="ParaNum"/>
      </w:pPr>
      <w:r w:rsidRPr="000B44EA">
        <w:rPr>
          <w:i/>
          <w:color w:val="000000"/>
        </w:rPr>
        <w:t>Proposed Forfeiture</w:t>
      </w:r>
      <w:r w:rsidRPr="000B44EA">
        <w:rPr>
          <w:color w:val="000000"/>
        </w:rPr>
        <w:t xml:space="preserve">. </w:t>
      </w:r>
      <w:r w:rsidRPr="000B44EA" w:rsidR="000B44EA">
        <w:rPr>
          <w:i/>
          <w:iCs/>
          <w:spacing w:val="-3"/>
        </w:rPr>
        <w:t xml:space="preserve"> </w:t>
      </w:r>
      <w:r w:rsidR="00F94259">
        <w:t>T</w:t>
      </w:r>
      <w:r w:rsidR="000B44EA">
        <w:t xml:space="preserve">he </w:t>
      </w:r>
      <w:r w:rsidR="003946B0">
        <w:t>Permittee</w:t>
      </w:r>
      <w:r w:rsidR="000B44EA">
        <w:t xml:space="preserve"> failed to timely file a covering license application as required by </w:t>
      </w:r>
      <w:r w:rsidR="00F94259">
        <w:t>s</w:t>
      </w:r>
      <w:r w:rsidR="000B44EA">
        <w:t>ection 73.3598(e) of the Rules</w:t>
      </w:r>
      <w:r w:rsidR="00F94259">
        <w:t>, and</w:t>
      </w:r>
      <w:r w:rsidR="000B44EA">
        <w:t xml:space="preserve"> continued </w:t>
      </w:r>
      <w:r w:rsidR="006255CA">
        <w:t>Translator</w:t>
      </w:r>
      <w:r w:rsidR="000B44EA">
        <w:t xml:space="preserve"> operations with the permitted facilities after the </w:t>
      </w:r>
      <w:r w:rsidR="00F94259">
        <w:t>P</w:t>
      </w:r>
      <w:r w:rsidR="000B44EA">
        <w:t xml:space="preserve">ermit expired on </w:t>
      </w:r>
      <w:r w:rsidR="00F94259">
        <w:t>July 4, 2021</w:t>
      </w:r>
      <w:r w:rsidR="000B44EA">
        <w:t xml:space="preserve">, before attempting to file the appropriate covering license application, and did not seek </w:t>
      </w:r>
      <w:r w:rsidR="00F94259">
        <w:t>special temporary authority</w:t>
      </w:r>
      <w:r w:rsidR="000B44EA">
        <w:t xml:space="preserve"> to operate with those facilities.  Thus, </w:t>
      </w:r>
      <w:r w:rsidR="003946B0">
        <w:t>Permittee</w:t>
      </w:r>
      <w:r w:rsidR="000B44EA">
        <w:t xml:space="preserve"> engaged in unauthorized operation for nearly </w:t>
      </w:r>
      <w:r w:rsidR="00D6392C">
        <w:t xml:space="preserve">a month </w:t>
      </w:r>
      <w:r w:rsidR="000B44EA">
        <w:t xml:space="preserve">in violation of </w:t>
      </w:r>
      <w:r w:rsidR="00D6392C">
        <w:t>s</w:t>
      </w:r>
      <w:r w:rsidR="000B44EA">
        <w:t>ection 301 of the Act.</w:t>
      </w:r>
    </w:p>
    <w:p w:rsidR="00140750" w:rsidRPr="00146D8A" w:rsidP="000B44EA" w14:paraId="1DBB92B8" w14:textId="2A01DD01">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9"/>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10"/>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1"/>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2"/>
      </w:r>
      <w:r w:rsidR="00BF575C">
        <w:rPr>
          <w:rFonts w:eastAsia="SimSun"/>
        </w:rPr>
        <w:t xml:space="preserve">  </w:t>
      </w:r>
      <w:r w:rsidRPr="008D30C5" w:rsidR="00BF575C">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3"/>
      </w:r>
      <w:r w:rsidRPr="008D30C5" w:rsidR="00BF575C">
        <w:t xml:space="preserve">  </w:t>
      </w:r>
    </w:p>
    <w:p w:rsidR="00D6392C" w:rsidRPr="00D6392C" w:rsidP="00140750" w14:paraId="50057BAA" w14:textId="38EDEBD8">
      <w:pPr>
        <w:pStyle w:val="ParaNum"/>
        <w:rPr>
          <w:szCs w:val="22"/>
        </w:rPr>
      </w:pPr>
      <w:r>
        <w:t xml:space="preserve">The Commission's </w:t>
      </w:r>
      <w:r>
        <w:rPr>
          <w:i/>
        </w:rPr>
        <w:t>Forfeiture Policy Statement</w:t>
      </w:r>
      <w:r>
        <w:t xml:space="preserve"> and section 1.80(b)(</w:t>
      </w:r>
      <w:r w:rsidR="000B44EA">
        <w:t>10</w:t>
      </w:r>
      <w:r>
        <w:t>) of the Rules establish a base forfeiture amount of $3,000 for the failure to file a required form.</w:t>
      </w:r>
      <w:r>
        <w:rPr>
          <w:rStyle w:val="FootnoteReference"/>
          <w:szCs w:val="22"/>
        </w:rPr>
        <w:footnoteReference w:id="14"/>
      </w:r>
      <w:r w:rsidR="00BF575C">
        <w:t xml:space="preserve">  The guidelines also specify a base forfeiture amount of $10,000 for construction and/or operation without an instrument of authorization for the service.</w:t>
      </w:r>
      <w:r>
        <w:rPr>
          <w:rStyle w:val="FootnoteReference"/>
        </w:rPr>
        <w:footnoteReference w:id="15"/>
      </w:r>
      <w:r w:rsidR="00BF575C">
        <w:t xml:space="preserve">  </w:t>
      </w:r>
      <w:r>
        <w:t>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6"/>
      </w:r>
      <w:r>
        <w:t xml:space="preserve">  </w:t>
      </w:r>
    </w:p>
    <w:p w:rsidR="00140750" w:rsidRPr="00221720" w:rsidP="00FF6072" w14:paraId="36D2D6B7" w14:textId="3A1B97D8">
      <w:pPr>
        <w:pStyle w:val="ParaNum"/>
        <w:widowControl/>
        <w:rPr>
          <w:color w:val="000000"/>
        </w:rPr>
      </w:pPr>
      <w:r>
        <w:t>Based on our review of the facts and circumstances, we tentatively find that a $</w:t>
      </w:r>
      <w:r w:rsidR="00D6392C">
        <w:t>7,000</w:t>
      </w:r>
      <w:r>
        <w:t xml:space="preserve"> </w:t>
      </w:r>
      <w:r w:rsidR="006255CA">
        <w:t xml:space="preserve">base </w:t>
      </w:r>
      <w:r>
        <w:t>forfeiture is appropriate.</w:t>
      </w:r>
      <w:r>
        <w:rPr>
          <w:rStyle w:val="FootnoteReference"/>
        </w:rPr>
        <w:footnoteReference w:id="17"/>
      </w:r>
      <w:r>
        <w:t xml:space="preserve">  </w:t>
      </w:r>
      <w:r>
        <w:t xml:space="preserve">Licensee failed to file a </w:t>
      </w:r>
      <w:r w:rsidR="00BF575C">
        <w:t>timely covering license application</w:t>
      </w:r>
      <w:r>
        <w:t xml:space="preserve"> for the </w:t>
      </w:r>
      <w:r w:rsidR="006255CA">
        <w:t>Translator</w:t>
      </w:r>
      <w:r>
        <w:t xml:space="preserve"> </w:t>
      </w:r>
      <w:r>
        <w:t xml:space="preserve">and engaged in unauthorized operation of the </w:t>
      </w:r>
      <w:r w:rsidR="006255CA">
        <w:t>Translator</w:t>
      </w:r>
      <w:r>
        <w:t xml:space="preserve"> after the permit expired on July 4, 2021</w:t>
      </w:r>
      <w:r>
        <w:t>.</w:t>
      </w:r>
      <w:r>
        <w:t xml:space="preserv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 amount to $</w:t>
      </w:r>
      <w:r w:rsidR="006255CA">
        <w:rPr>
          <w:szCs w:val="22"/>
        </w:rPr>
        <w:t>3</w:t>
      </w:r>
      <w:r>
        <w:rPr>
          <w:szCs w:val="22"/>
        </w:rPr>
        <w:t xml:space="preserve">,500 because, as a translator, the </w:t>
      </w:r>
      <w:r w:rsidR="006255CA">
        <w:rPr>
          <w:szCs w:val="22"/>
        </w:rPr>
        <w:t xml:space="preserve">Translator </w:t>
      </w:r>
      <w:r>
        <w:rPr>
          <w:szCs w:val="22"/>
        </w:rPr>
        <w:t>is providing a secondary service.</w:t>
      </w:r>
      <w:r>
        <w:rPr>
          <w:rStyle w:val="FootnoteReference"/>
          <w:szCs w:val="22"/>
        </w:rPr>
        <w:footnoteReference w:id="18"/>
      </w:r>
      <w:r>
        <w:t xml:space="preserve"> </w:t>
      </w:r>
      <w:r w:rsidR="006255CA">
        <w:t xml:space="preserve"> </w:t>
      </w:r>
      <w:r>
        <w:t>We will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140750" w:rsidRPr="00146D8A" w:rsidP="00140750" w14:paraId="4E2E2BE9" w14:textId="5F7B9F5C">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19"/>
      </w:r>
      <w:r w:rsidRPr="00947B4D">
        <w:t xml:space="preserve"> </w:t>
      </w:r>
      <w:r w:rsidR="00221720">
        <w:t>Potter Radio, LLC</w:t>
      </w:r>
      <w:r w:rsidR="00943ACD">
        <w:t>,</w:t>
      </w:r>
      <w:r w:rsidRPr="00DB10EE" w:rsidR="00DB10EE">
        <w:t xml:space="preserve"> is hereby </w:t>
      </w:r>
      <w:r w:rsidRPr="00DB10EE" w:rsidR="00DB10EE">
        <w:rPr>
          <w:b/>
        </w:rPr>
        <w:t>NOTIFIED</w:t>
      </w:r>
      <w:r w:rsidRPr="00DB10EE" w:rsidR="00DB10EE">
        <w:t xml:space="preserve"> of</w:t>
      </w:r>
      <w:r w:rsidR="00943ACD">
        <w:t xml:space="preserve"> its</w:t>
      </w:r>
      <w:r w:rsidRPr="00DB10EE" w:rsidR="00DB10EE">
        <w:t xml:space="preserve"> </w:t>
      </w:r>
      <w:r w:rsidRPr="00DB10EE" w:rsidR="00DB10EE">
        <w:rPr>
          <w:b/>
        </w:rPr>
        <w:t>APPARENT LIABILITY FOR FORFEITURE</w:t>
      </w:r>
      <w:r w:rsidRPr="00947B4D">
        <w:t xml:space="preserve"> in the amount of </w:t>
      </w:r>
      <w:r>
        <w:t xml:space="preserve"> </w:t>
      </w:r>
      <w:r w:rsidR="003946B0">
        <w:t xml:space="preserve">three </w:t>
      </w:r>
      <w:r>
        <w:t>thousand five hundred dollars (</w:t>
      </w:r>
      <w:r w:rsidRPr="00947B4D">
        <w:t>$</w:t>
      </w:r>
      <w:r w:rsidR="003946B0">
        <w:t>3</w:t>
      </w:r>
      <w:r>
        <w:t>,500)</w:t>
      </w:r>
      <w:r w:rsidRPr="00947B4D">
        <w:t xml:space="preserve"> for </w:t>
      </w:r>
      <w:r w:rsidR="00943ACD">
        <w:t>its</w:t>
      </w:r>
      <w:r w:rsidR="00F67AFF">
        <w:t xml:space="preserve"> </w:t>
      </w:r>
      <w:r>
        <w:t>apparent willful violation of section 73.35</w:t>
      </w:r>
      <w:r w:rsidR="00221720">
        <w:t>98</w:t>
      </w:r>
      <w:r w:rsidRPr="00947B4D">
        <w:t xml:space="preserve"> of the</w:t>
      </w:r>
      <w:r>
        <w:t xml:space="preserve"> </w:t>
      </w:r>
      <w:r w:rsidRPr="00947B4D">
        <w:t xml:space="preserve">Commission’s </w:t>
      </w:r>
      <w:r>
        <w:t>r</w:t>
      </w:r>
      <w:r w:rsidRPr="00947B4D">
        <w:t>ules</w:t>
      </w:r>
      <w:r w:rsidR="00B3712A">
        <w:t xml:space="preserve"> and section 301 of the Communications Act of 1934, as amended</w:t>
      </w:r>
      <w:r w:rsidRPr="00947B4D">
        <w:t>.</w:t>
      </w:r>
    </w:p>
    <w:p w:rsidR="00140750" w:rsidRPr="00146D8A" w:rsidP="00140750" w14:paraId="5C577B4F" w14:textId="0974CBA5">
      <w:pPr>
        <w:pStyle w:val="ParaNum"/>
      </w:pPr>
      <w:r w:rsidRPr="003F17E2">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NAL</w:t>
      </w:r>
      <w:r>
        <w:rPr>
          <w:i/>
        </w:rPr>
        <w:t xml:space="preserve">, </w:t>
      </w:r>
      <w:r w:rsidR="00221720">
        <w:t>Potter Radio, LLC</w:t>
      </w:r>
      <w:r w:rsidR="008C6117">
        <w:t>,</w:t>
      </w:r>
      <w:r>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140750" w:rsidRPr="00146D8A" w:rsidP="007F42C5" w14:paraId="23227498" w14:textId="77777777">
      <w:pPr>
        <w:pStyle w:val="ParaNum"/>
        <w:widowControl/>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20"/>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1"/>
      </w:r>
      <w:r w:rsidRPr="00264220">
        <w:t xml:space="preserve"> </w:t>
      </w:r>
    </w:p>
    <w:p w:rsidR="00140750" w:rsidRPr="00264220" w:rsidP="00140750" w14:paraId="7BDFBE76" w14:textId="77777777">
      <w:pPr>
        <w:numPr>
          <w:ilvl w:val="0"/>
          <w:numId w:val="7"/>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2"/>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140750" w:rsidRPr="00264220" w:rsidP="003F17E2" w14:paraId="519AAD80" w14:textId="77777777">
      <w:pPr>
        <w:widowControl/>
        <w:numPr>
          <w:ilvl w:val="0"/>
          <w:numId w:val="7"/>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140750" w:rsidRPr="00146D8A" w:rsidP="00140750" w14:paraId="35FEF26C" w14:textId="77777777">
      <w:pPr>
        <w:numPr>
          <w:ilvl w:val="0"/>
          <w:numId w:val="7"/>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140750" w14:paraId="10A6FACB" w14:textId="2B6B73D9">
      <w:pPr>
        <w:pStyle w:val="ParaNum"/>
      </w:pPr>
      <w:r w:rsidRPr="00264220">
        <w:t xml:space="preserve">Any request for making full payment over time under an installment plan should be sent to:  </w:t>
      </w:r>
      <w:r w:rsidR="005F7F74">
        <w:t>Associate Managing Director</w:t>
      </w:r>
      <w:r w:rsidRPr="00264220">
        <w:t xml:space="preserve">—Financial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23"/>
      </w:r>
      <w:r w:rsidRPr="00264220">
        <w:t xml:space="preserve">  Questions regarding payment procedures should be directed to the Financial Operations Group Help Desk by phone, 1-877-480-3201</w:t>
      </w:r>
      <w:r w:rsidR="005F7F74">
        <w:t xml:space="preserve"> (option #6)</w:t>
      </w:r>
      <w:r w:rsidRPr="00264220">
        <w:t>, or by e-mail</w:t>
      </w:r>
      <w:r w:rsidR="005F7F74">
        <w:t xml:space="preserve"> at</w:t>
      </w:r>
      <w:r w:rsidRPr="00264220">
        <w:t xml:space="preserve"> </w:t>
      </w:r>
      <w:hyperlink r:id="rId8" w:history="1">
        <w:r w:rsidRPr="00264220">
          <w:rPr>
            <w:rStyle w:val="Hyperlink"/>
          </w:rPr>
          <w:t>ARINQUIRIES@fcc.gov</w:t>
        </w:r>
      </w:hyperlink>
      <w:r w:rsidRPr="00264220">
        <w:t>.</w:t>
      </w:r>
    </w:p>
    <w:p w:rsidR="00C6145C" w:rsidRPr="00BD5379" w:rsidP="00C6145C" w14:paraId="77E8320E" w14:textId="50356565">
      <w:pPr>
        <w:pStyle w:val="ParaNum"/>
      </w:pPr>
      <w:r>
        <w:rPr>
          <w:szCs w:val="22"/>
        </w:rPr>
        <w:t>Any</w:t>
      </w:r>
      <w:r w:rsidRPr="00514C8E">
        <w:rPr>
          <w:szCs w:val="22"/>
        </w:rPr>
        <w:t xml:space="preserve"> </w:t>
      </w:r>
      <w:r>
        <w:rPr>
          <w:szCs w:val="22"/>
        </w:rPr>
        <w:t xml:space="preserve">written </w:t>
      </w:r>
      <w:r w:rsidRPr="00514C8E">
        <w:rPr>
          <w:szCs w:val="22"/>
        </w:rPr>
        <w:t>response</w:t>
      </w:r>
      <w:r>
        <w:rPr>
          <w:szCs w:val="22"/>
        </w:rPr>
        <w:t xml:space="preserve"> seeking reduction or cancellation of the proposed forfeiture </w:t>
      </w:r>
      <w:r w:rsidRPr="00514C8E">
        <w:rPr>
          <w:szCs w:val="22"/>
        </w:rPr>
        <w:t xml:space="preserve">must </w:t>
      </w:r>
      <w:r w:rsidRPr="00525F98">
        <w:rPr>
          <w:szCs w:val="22"/>
        </w:rPr>
        <w:t>include a detailed factual statement supported by appropriate documentation and affidavits pursuant to sections 1.16 and 1.80(</w:t>
      </w:r>
      <w:r w:rsidR="001C5F2F">
        <w:rPr>
          <w:szCs w:val="22"/>
        </w:rPr>
        <w:t>g</w:t>
      </w:r>
      <w:r w:rsidRPr="00525F98">
        <w:rPr>
          <w:szCs w:val="22"/>
        </w:rPr>
        <w:t>)(3) of the Commission’s rules</w:t>
      </w:r>
      <w:r>
        <w:rPr>
          <w:szCs w:val="22"/>
        </w:rPr>
        <w:t>.</w:t>
      </w:r>
      <w:r>
        <w:rPr>
          <w:rStyle w:val="FootnoteReference"/>
          <w:szCs w:val="22"/>
        </w:rPr>
        <w:footnoteReference w:id="24"/>
      </w:r>
      <w:r>
        <w:rPr>
          <w:szCs w:val="22"/>
        </w:rPr>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B8499A">
        <w:rPr>
          <w:b/>
        </w:rPr>
        <w:t>MUST INCLUDE</w:t>
      </w:r>
      <w:r w:rsidRPr="00947B4D">
        <w:t xml:space="preserve"> the NAL/Acct. No. referenced above.</w:t>
      </w:r>
      <w:r>
        <w:t xml:space="preserve">  </w:t>
      </w:r>
      <w:r w:rsidRPr="00BD5379">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5"/>
      </w:r>
      <w:r>
        <w:t xml:space="preserve"> </w:t>
      </w:r>
      <w:r w:rsidRPr="001940F0">
        <w:t xml:space="preserve">A courtesy copy emailed to </w:t>
      </w:r>
      <w:hyperlink r:id="rId9" w:history="1">
        <w:r w:rsidRPr="001940F0">
          <w:rPr>
            <w:rStyle w:val="Hyperlink"/>
          </w:rPr>
          <w:t>Alexander.Sanjenis@fcc.gov</w:t>
        </w:r>
      </w:hyperlink>
      <w:r w:rsidRPr="001940F0">
        <w:t xml:space="preserve"> will assist in processing the response</w:t>
      </w:r>
      <w:r>
        <w:t>.</w:t>
      </w:r>
    </w:p>
    <w:p w:rsidR="00C6145C" w:rsidRPr="00C6145C" w:rsidP="00C6145C" w14:paraId="68143363" w14:textId="77777777">
      <w:pPr>
        <w:pStyle w:val="ParaNum"/>
        <w:numPr>
          <w:ilvl w:val="0"/>
          <w:numId w:val="10"/>
        </w:numPr>
      </w:pPr>
      <w:r w:rsidRPr="00C6145C">
        <w:t xml:space="preserve">Commercial overnight mail (other than U.S. Postal Service Express Mail and Priority Mail) must be sent to 9050 Junction Drive, Annapolis Junction, MD 20701. </w:t>
      </w:r>
    </w:p>
    <w:p w:rsidR="00140750" w:rsidP="00C6145C" w14:paraId="70F00440" w14:textId="3B4B07BF">
      <w:pPr>
        <w:pStyle w:val="ParaNum"/>
        <w:numPr>
          <w:ilvl w:val="0"/>
          <w:numId w:val="10"/>
        </w:numPr>
      </w:pPr>
      <w:r w:rsidRPr="00C6145C">
        <w:t>Postal Service first-class, Express, and Priority mail must be addressed to 45 L Street, NE, Washington, DC 20554.</w:t>
      </w:r>
    </w:p>
    <w:p w:rsidR="00140750" w:rsidRPr="00146D8A" w:rsidP="00140750" w14:paraId="42E00888" w14:textId="1A68CBA1">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rsidR="005F7F74">
        <w:t xml:space="preserve"> </w:t>
      </w:r>
      <w:r w:rsidRPr="00947B4D">
        <w:t xml:space="preserve"> </w:t>
      </w:r>
      <w:r w:rsidRPr="005F7F74" w:rsidR="005F7F74">
        <w:t xml:space="preserve">Inability to pay, however, is only one of several factors that the Commission will consider in determining the appropriate forfeiture, and we have </w:t>
      </w:r>
      <w:r w:rsidRPr="005F7F74" w:rsidR="005F7F74">
        <w:t xml:space="preserve">discretion to not reduce or cancel the forfeiture if other prongs of </w:t>
      </w:r>
      <w:r w:rsidRPr="00C6145C" w:rsidR="00C6145C">
        <w:t xml:space="preserve">section § 503(b)(2)(E) of the Communications Act of 1934, as amended, </w:t>
      </w:r>
      <w:r w:rsidRPr="005F7F74" w:rsidR="005F7F74">
        <w:t>support that result.</w:t>
      </w:r>
      <w:r>
        <w:rPr>
          <w:vertAlign w:val="superscript"/>
        </w:rPr>
        <w:footnoteReference w:id="26"/>
      </w:r>
      <w:r w:rsidRPr="005F7F74" w:rsidR="005F7F74">
        <w:t xml:space="preserve">  </w:t>
      </w:r>
    </w:p>
    <w:p w:rsidR="00140750" w:rsidRPr="008D4F70" w:rsidP="00257770" w14:paraId="27B417DC" w14:textId="786B1341">
      <w:pPr>
        <w:pStyle w:val="ParaNum"/>
        <w:widowControl/>
      </w:pPr>
      <w:r w:rsidRPr="003F17E2">
        <w:rPr>
          <w:b/>
        </w:rPr>
        <w:t>IT IS FURTHER ORDERED</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t>to</w:t>
      </w:r>
      <w:r w:rsidR="00F67AFF">
        <w:t xml:space="preserve"> </w:t>
      </w:r>
      <w:r w:rsidR="001C5F2F">
        <w:t>Potter Radio, LLC</w:t>
      </w:r>
      <w:r w:rsidR="008C6117">
        <w:t xml:space="preserve">, c/o </w:t>
      </w:r>
      <w:r w:rsidR="001C5F2F">
        <w:t>Kevin Potter, 1200 SE Frank Phillips Blvd., Bartlesville, OK</w:t>
      </w:r>
      <w:r w:rsidR="008C6117">
        <w:t xml:space="preserve">, and to </w:t>
      </w:r>
      <w:r w:rsidR="001C5F2F">
        <w:t>its counsel, John C. Trent, Esq</w:t>
      </w:r>
      <w:r w:rsidR="008C6117">
        <w:t>.</w:t>
      </w:r>
      <w:r w:rsidR="001C5F2F">
        <w:t>, Putbrese, Hunsaker, and Trent, PC, 200 South Church Street, Woodstock, VA 22664.</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12D603B" w14:textId="75DC9899">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w:t>
      </w:r>
      <w:r w:rsidR="00C6145C">
        <w:t>Rules</w:t>
      </w:r>
      <w:r w:rsidRPr="000725CB">
        <w:t xml:space="preserve">.  </w:t>
      </w:r>
      <w:r w:rsidRPr="000725CB">
        <w:rPr>
          <w:i/>
        </w:rPr>
        <w:t>See</w:t>
      </w:r>
      <w:r w:rsidRPr="000725CB">
        <w:t xml:space="preserve"> 47 CFR § 0.283.</w:t>
      </w:r>
    </w:p>
  </w:footnote>
  <w:footnote w:id="4">
    <w:p w:rsidR="00596F9E" w:rsidP="00596F9E" w14:paraId="60B36F5A" w14:textId="77777777">
      <w:pPr>
        <w:shd w:val="clear" w:color="auto" w:fill="FFFFFF"/>
        <w:tabs>
          <w:tab w:val="left" w:pos="125"/>
        </w:tabs>
        <w:spacing w:after="120"/>
        <w:ind w:left="14"/>
        <w:rPr>
          <w:sz w:val="20"/>
        </w:rPr>
      </w:pPr>
      <w:r>
        <w:rPr>
          <w:rStyle w:val="FootnoteReference"/>
        </w:rPr>
        <w:footnoteRef/>
      </w:r>
      <w:r>
        <w:rPr>
          <w:sz w:val="20"/>
        </w:rPr>
        <w:t xml:space="preserve"> </w:t>
      </w:r>
      <w:r>
        <w:rPr>
          <w:i/>
          <w:iCs/>
          <w:sz w:val="20"/>
        </w:rPr>
        <w:t xml:space="preserve">See </w:t>
      </w:r>
      <w:r>
        <w:rPr>
          <w:sz w:val="20"/>
        </w:rPr>
        <w:t>47 C.F.R. § 73.3598.</w:t>
      </w:r>
    </w:p>
  </w:footnote>
  <w:footnote w:id="5">
    <w:p w:rsidR="00596F9E" w:rsidP="00596F9E" w14:paraId="180E879C" w14:textId="28E6B4E0">
      <w:pPr>
        <w:shd w:val="clear" w:color="auto" w:fill="FFFFFF"/>
        <w:tabs>
          <w:tab w:val="left" w:pos="125"/>
        </w:tabs>
        <w:spacing w:after="120"/>
        <w:ind w:left="14"/>
        <w:rPr>
          <w:sz w:val="20"/>
        </w:rPr>
      </w:pPr>
      <w:r>
        <w:rPr>
          <w:rStyle w:val="FootnoteReference"/>
        </w:rPr>
        <w:footnoteRef/>
      </w:r>
      <w:r>
        <w:rPr>
          <w:sz w:val="20"/>
        </w:rPr>
        <w:t xml:space="preserve"> </w:t>
      </w:r>
      <w:r>
        <w:rPr>
          <w:i/>
          <w:sz w:val="20"/>
        </w:rPr>
        <w:t>See</w:t>
      </w:r>
      <w:r>
        <w:rPr>
          <w:sz w:val="20"/>
        </w:rPr>
        <w:t xml:space="preserve"> 47 U.S.C. § 301.</w:t>
      </w:r>
    </w:p>
  </w:footnote>
  <w:footnote w:id="6">
    <w:p w:rsidR="00F94259" w14:paraId="1F1A311A" w14:textId="37255714">
      <w:pPr>
        <w:pStyle w:val="FootnoteText"/>
      </w:pPr>
      <w:r>
        <w:rPr>
          <w:rStyle w:val="FootnoteReference"/>
        </w:rPr>
        <w:footnoteRef/>
      </w:r>
      <w:r>
        <w:rPr>
          <w:rStyle w:val="FootnoteReference"/>
        </w:rPr>
        <w:footnoteRef/>
      </w:r>
      <w:r>
        <w:t xml:space="preserve"> Letter from John C. Trent, Esq., Putbrese Hunsaker &amp; Trent, P.C., to Marlene H. Dortch, Secretary, FCC (Aug. 4, 2020).</w:t>
      </w:r>
    </w:p>
  </w:footnote>
  <w:footnote w:id="7">
    <w:p w:rsidR="00A41060" w:rsidRPr="00C17963" w:rsidP="00A41060" w14:paraId="4353A7E7" w14:textId="77777777">
      <w:pPr>
        <w:pStyle w:val="FootnoteText"/>
      </w:pPr>
      <w:r>
        <w:rPr>
          <w:rStyle w:val="FootnoteReference"/>
        </w:rPr>
        <w:footnoteRef/>
      </w:r>
      <w:r w:rsidRPr="00C17963">
        <w:t xml:space="preserve"> 47 CFR</w:t>
      </w:r>
      <w:r>
        <w:t xml:space="preserve"> </w:t>
      </w:r>
      <w:r w:rsidRPr="00D84577">
        <w:t>§</w:t>
      </w:r>
      <w:r w:rsidRPr="00C17963">
        <w:t xml:space="preserve"> 73.3598(e) (“</w:t>
      </w:r>
      <w:r>
        <w:t>Any construction permit for which construction has not been completed and for which an application for license has not been filed, shall be automatically forfeited upon expiration without any further affirmative cancellation by the Commission.”).</w:t>
      </w:r>
    </w:p>
  </w:footnote>
  <w:footnote w:id="8">
    <w:p w:rsidR="002476A5" w:rsidRPr="002476A5" w14:paraId="798D49C5" w14:textId="100DF7C9">
      <w:pPr>
        <w:pStyle w:val="FootnoteText"/>
        <w:rPr>
          <w:i/>
          <w:iCs/>
        </w:rPr>
      </w:pPr>
      <w:r>
        <w:rPr>
          <w:rStyle w:val="FootnoteReference"/>
        </w:rPr>
        <w:footnoteRef/>
      </w:r>
      <w:r>
        <w:t xml:space="preserve"> </w:t>
      </w:r>
      <w:r w:rsidR="00C27060">
        <w:t xml:space="preserve">Email from James Bradshaw, Deputy Chief, Audio Division, FCC Media Bureau, to Cary S. Tepper, Esq., Tepper Law Firm, LLC (July 30, 2021, 11:08 EDT).  </w:t>
      </w:r>
      <w:r>
        <w:rPr>
          <w:i/>
          <w:iCs/>
        </w:rPr>
        <w:t xml:space="preserve">See also </w:t>
      </w:r>
      <w:r w:rsidRPr="001F7DA5">
        <w:rPr>
          <w:i/>
          <w:iCs/>
        </w:rPr>
        <w:t>Clear Channel Broadcasting Licenses, Inc.</w:t>
      </w:r>
      <w:r w:rsidRPr="001F7DA5">
        <w:t xml:space="preserve">, Memorandum Opinion and Order, </w:t>
      </w:r>
      <w:bookmarkStart w:id="1" w:name="_Hlk78178508"/>
      <w:r w:rsidRPr="001F7DA5">
        <w:t>26 FCC Rcd 7153</w:t>
      </w:r>
      <w:bookmarkEnd w:id="1"/>
      <w:r w:rsidRPr="001F7DA5">
        <w:t>, 7157, para 11 (2011) (</w:t>
      </w:r>
      <w:r w:rsidRPr="001F7DA5">
        <w:rPr>
          <w:i/>
          <w:iCs/>
        </w:rPr>
        <w:t>Clear Channel</w:t>
      </w:r>
      <w:r w:rsidRPr="001F7DA5">
        <w:t>) (upholding as proper the Bureau’s practice of processing a late-filed covering license application for facilities fully completed by the construction deadline through the waiver process);</w:t>
      </w:r>
      <w:r>
        <w:t xml:space="preserve"> </w:t>
      </w:r>
      <w:r w:rsidRPr="005E2DDC" w:rsidR="001C5F2F">
        <w:rPr>
          <w:i/>
          <w:iCs/>
        </w:rPr>
        <w:t>Cranesville Block Company, Inc.</w:t>
      </w:r>
      <w:r w:rsidRPr="005E2DDC" w:rsidR="001C5F2F">
        <w:t>, Letter Order, 27 FCC Rcd 2018</w:t>
      </w:r>
      <w:r w:rsidR="001C5F2F">
        <w:t xml:space="preserve">, </w:t>
      </w:r>
      <w:r w:rsidRPr="005E2DDC">
        <w:t xml:space="preserve">2019-20 </w:t>
      </w:r>
      <w:r w:rsidR="001C5F2F">
        <w:t xml:space="preserve">(MB 2012) </w:t>
      </w:r>
      <w:r w:rsidRPr="005E2DDC">
        <w:t>(dismissing a</w:t>
      </w:r>
      <w:r>
        <w:t xml:space="preserve"> petition for reconsideration of an expired construction permit as procedurally improper and treating it instead as a request for waiver</w:t>
      </w:r>
      <w:r w:rsidRPr="005E2DDC">
        <w:t>).</w:t>
      </w:r>
    </w:p>
  </w:footnote>
  <w:footnote w:id="9">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10">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1">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2">
    <w:p w:rsidR="00140750" w:rsidRPr="00D64E57" w:rsidP="003F17E2" w14:paraId="41182A00" w14:textId="27375176">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xml:space="preserve">, </w:t>
      </w:r>
      <w:r w:rsidR="002172BD">
        <w:t xml:space="preserve">Memorandum Opinion and Order, </w:t>
      </w:r>
      <w:r w:rsidRPr="00D64E57">
        <w:t>7 FCC Rcd 3454 (1992</w:t>
      </w:r>
      <w:r w:rsidRPr="00600AB4">
        <w:t>).</w:t>
      </w:r>
    </w:p>
  </w:footnote>
  <w:footnote w:id="13">
    <w:p w:rsidR="00BF575C" w:rsidRPr="006F7D37" w:rsidP="00BF575C" w14:paraId="331B20AE" w14:textId="77777777">
      <w:pPr>
        <w:pStyle w:val="Footer"/>
        <w:spacing w:after="120"/>
        <w:rPr>
          <w:sz w:val="20"/>
        </w:rPr>
      </w:pPr>
      <w:r w:rsidRPr="006F7D37">
        <w:rPr>
          <w:rStyle w:val="FootnoteReference"/>
        </w:rPr>
        <w:footnoteRef/>
      </w:r>
      <w:r w:rsidRPr="006F7D37">
        <w:rPr>
          <w:sz w:val="20"/>
        </w:rPr>
        <w:t xml:space="preserve"> 47 U.S.C. § 312(f)(2). </w:t>
      </w:r>
    </w:p>
  </w:footnote>
  <w:footnote w:id="14">
    <w:p w:rsidR="00140750" w:rsidP="00140750" w14:paraId="57100D3A" w14:textId="4D7364C1">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xml:space="preserve">, </w:t>
      </w:r>
      <w:r w:rsidR="007B357C">
        <w:rPr>
          <w:sz w:val="20"/>
        </w:rPr>
        <w:t xml:space="preserve">Memorandum Opinion and Order, </w:t>
      </w:r>
      <w:r>
        <w:rPr>
          <w:sz w:val="20"/>
        </w:rPr>
        <w:t>15 FCC Rcd 303 (1999); 47 CFR § 1.80(b)(</w:t>
      </w:r>
      <w:r w:rsidR="000B44EA">
        <w:rPr>
          <w:sz w:val="20"/>
        </w:rPr>
        <w:t>10</w:t>
      </w:r>
      <w:r>
        <w:rPr>
          <w:sz w:val="20"/>
        </w:rPr>
        <w:t>), note to paragraph (b)(</w:t>
      </w:r>
      <w:r w:rsidR="000B44EA">
        <w:rPr>
          <w:sz w:val="20"/>
        </w:rPr>
        <w:t>10</w:t>
      </w:r>
      <w:r>
        <w:rPr>
          <w:sz w:val="20"/>
        </w:rPr>
        <w:t>), Section I.</w:t>
      </w:r>
    </w:p>
  </w:footnote>
  <w:footnote w:id="15">
    <w:p w:rsidR="00BF575C" w:rsidRPr="00CF021F" w:rsidP="00BF575C" w14:paraId="55F9CE8D" w14:textId="77777777">
      <w:pPr>
        <w:shd w:val="clear" w:color="auto" w:fill="FFFFFF"/>
        <w:spacing w:after="120"/>
        <w:rPr>
          <w:color w:val="000000"/>
          <w:sz w:val="20"/>
        </w:rPr>
      </w:pPr>
      <w:r>
        <w:rPr>
          <w:rStyle w:val="FootnoteReference"/>
        </w:rPr>
        <w:footnoteRef/>
      </w:r>
      <w:r>
        <w:t xml:space="preserve"> </w:t>
      </w:r>
      <w:r w:rsidRPr="00CF021F">
        <w:rPr>
          <w:color w:val="000000"/>
          <w:sz w:val="20"/>
        </w:rPr>
        <w:t>A broadcast station requires an authorization from the Commission to operate.</w:t>
      </w:r>
      <w:r>
        <w:rPr>
          <w:color w:val="000000"/>
          <w:sz w:val="20"/>
        </w:rPr>
        <w:t xml:space="preserve"> </w:t>
      </w:r>
      <w:r w:rsidRPr="00CF021F">
        <w:rPr>
          <w:color w:val="000000"/>
          <w:sz w:val="20"/>
        </w:rPr>
        <w:t xml:space="preserve"> </w:t>
      </w:r>
      <w:r w:rsidRPr="00CF021F">
        <w:rPr>
          <w:i/>
          <w:iCs/>
          <w:color w:val="000000"/>
          <w:sz w:val="20"/>
        </w:rPr>
        <w:t>See</w:t>
      </w:r>
      <w:r w:rsidRPr="00CF021F">
        <w:rPr>
          <w:color w:val="000000"/>
          <w:sz w:val="20"/>
        </w:rPr>
        <w:t xml:space="preserve"> 47 U.S.C. § 301.</w:t>
      </w:r>
    </w:p>
  </w:footnote>
  <w:footnote w:id="16">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Rcd at 17100; 47 CFR § 1.80(b)(4). </w:t>
      </w:r>
    </w:p>
  </w:footnote>
  <w:footnote w:id="17">
    <w:p w:rsidR="00D6392C" w:rsidRPr="00D6392C" w14:paraId="7726822B" w14:textId="249D7F84">
      <w:pPr>
        <w:pStyle w:val="FootnoteText"/>
      </w:pPr>
      <w:r>
        <w:rPr>
          <w:rStyle w:val="FootnoteReference"/>
        </w:rPr>
        <w:footnoteRef/>
      </w:r>
      <w:r>
        <w:t xml:space="preserve"> </w:t>
      </w:r>
      <w:r>
        <w:rPr>
          <w:i/>
          <w:iCs/>
        </w:rPr>
        <w:t>See, e.g.,</w:t>
      </w:r>
      <w:r>
        <w:t xml:space="preserve"> </w:t>
      </w:r>
      <w:r>
        <w:rPr>
          <w:i/>
          <w:iCs/>
        </w:rPr>
        <w:t>WKLC, Inc.</w:t>
      </w:r>
      <w:r>
        <w:t>, Memorandum Opinion and Order and Notice of Apparent Liability</w:t>
      </w:r>
      <w:r w:rsidR="00FC0CFA">
        <w:t xml:space="preserve">, 26 FCC Rcd 11001 (MB 2011) (proposing $7,000 </w:t>
      </w:r>
      <w:r w:rsidR="004B5D3F">
        <w:t>forfeiture</w:t>
      </w:r>
      <w:r w:rsidR="00FC0CFA">
        <w:t xml:space="preserve"> for violation of section 73.3598 of the Rules and section 301 of the Act)</w:t>
      </w:r>
      <w:r w:rsidR="001C5F2F">
        <w:t xml:space="preserve">.  </w:t>
      </w:r>
      <w:r w:rsidRPr="00DC5CAC" w:rsidR="001C5F2F">
        <w:rPr>
          <w:i/>
          <w:iCs/>
        </w:rPr>
        <w:t xml:space="preserve">See </w:t>
      </w:r>
      <w:r w:rsidR="001C5F2F">
        <w:rPr>
          <w:i/>
          <w:iCs/>
        </w:rPr>
        <w:t xml:space="preserve">also </w:t>
      </w:r>
      <w:r w:rsidRPr="00C3027F" w:rsidR="001C5F2F">
        <w:rPr>
          <w:i/>
          <w:iCs/>
        </w:rPr>
        <w:t>Clear Channel</w:t>
      </w:r>
      <w:r w:rsidR="001C5F2F">
        <w:t xml:space="preserve">, 26 FCC Rcd at 7157 </w:t>
      </w:r>
      <w:r w:rsidRPr="00E4234B" w:rsidR="001C5F2F">
        <w:rPr>
          <w:color w:val="000000" w:themeColor="text1"/>
        </w:rPr>
        <w:t>(“</w:t>
      </w:r>
      <w:r w:rsidRPr="00E4234B" w:rsidR="001C5F2F">
        <w:rPr>
          <w:color w:val="000000" w:themeColor="text1"/>
          <w:shd w:val="clear" w:color="auto" w:fill="FFFFFF"/>
        </w:rPr>
        <w:t>We note that the staff may also issue Notices of Apparent Liability for ‘failure to file a required form’ as authorized by Section 503(b)(1)(B) of the Communications Act of 1934, as amended (the ‘Act’) and Section 1.80 of the Rules, for such violations of covering license application filing deadlines or take other enforcement action.”)</w:t>
      </w:r>
      <w:r w:rsidR="001C5F2F">
        <w:rPr>
          <w:color w:val="000000" w:themeColor="text1"/>
          <w:shd w:val="clear" w:color="auto" w:fill="FFFFFF"/>
        </w:rPr>
        <w:t>.</w:t>
      </w:r>
    </w:p>
  </w:footnote>
  <w:footnote w:id="18">
    <w:p w:rsidR="00140750" w:rsidRPr="000A65AC" w:rsidP="003F17E2" w14:paraId="0ECE7B02" w14:textId="1EC0526F">
      <w:pPr>
        <w:pStyle w:val="FootnoteText"/>
        <w:widowControl w:val="0"/>
      </w:pPr>
      <w:r>
        <w:rPr>
          <w:rStyle w:val="FootnoteReference"/>
        </w:rPr>
        <w:footnoteRef/>
      </w:r>
      <w:r>
        <w:t xml:space="preserve"> </w:t>
      </w:r>
      <w:r>
        <w:rPr>
          <w:i/>
          <w:iCs/>
        </w:rPr>
        <w:t>See, e.g.</w:t>
      </w:r>
      <w:r>
        <w:t xml:space="preserve">, </w:t>
      </w:r>
      <w:r>
        <w:rPr>
          <w:i/>
          <w:iCs/>
        </w:rPr>
        <w:t>Pirate Media Group, LLC</w:t>
      </w:r>
      <w:r>
        <w:t>,</w:t>
      </w:r>
      <w:r>
        <w:rPr>
          <w:i/>
          <w:iCs/>
        </w:rPr>
        <w:t xml:space="preserve"> </w:t>
      </w:r>
      <w:r>
        <w:t>Memorandum Opinion and Order and Notice of Apparent Liability, 34 FCC Rcd 12280 (MB 2019) (</w:t>
      </w:r>
      <w:r w:rsidR="006255CA">
        <w:t>reducing $3,000 base forfeiture to</w:t>
      </w:r>
      <w:r>
        <w:t xml:space="preserve"> $1,500 for untimely filed renewal application </w:t>
      </w:r>
      <w:r w:rsidR="006255CA">
        <w:t>filed by</w:t>
      </w:r>
      <w:r>
        <w:t xml:space="preserve"> FM translator station).</w:t>
      </w:r>
    </w:p>
  </w:footnote>
  <w:footnote w:id="19">
    <w:p w:rsidR="005F7F74" w14:paraId="6DDA34AA" w14:textId="3F385F2D">
      <w:pPr>
        <w:pStyle w:val="FootnoteText"/>
      </w:pPr>
      <w:r>
        <w:rPr>
          <w:rStyle w:val="FootnoteReference"/>
        </w:rPr>
        <w:footnoteRef/>
      </w:r>
      <w:r>
        <w:t xml:space="preserve"> </w:t>
      </w:r>
      <w:bookmarkStart w:id="2" w:name="_Hlk63415835"/>
      <w:r w:rsidRPr="005F7F74">
        <w:t>47 U.S.C. § 503(b)</w:t>
      </w:r>
      <w:r>
        <w:t>; 4</w:t>
      </w:r>
      <w:r w:rsidRPr="005F7F74">
        <w:t>7 CFR § 1.80.</w:t>
      </w:r>
      <w:bookmarkEnd w:id="2"/>
    </w:p>
  </w:footnote>
  <w:footnote w:id="20">
    <w:p w:rsidR="00140750" w:rsidRPr="00132193" w:rsidP="003F17E2" w14:paraId="2469170A"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1">
    <w:p w:rsidR="00140750" w:rsidRPr="00132193" w:rsidP="003F17E2" w14:paraId="6EA5A40F"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2">
    <w:p w:rsidR="00140750" w:rsidRPr="004B33E9" w:rsidP="003F17E2" w14:paraId="6393D3F3"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3">
    <w:p w:rsidR="00140750" w:rsidRPr="004B33E9" w:rsidP="003F17E2" w14:paraId="3936FEE6"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4">
    <w:p w:rsidR="00C6145C" w:rsidP="00C6145C" w14:paraId="21D533EE" w14:textId="1970BB38">
      <w:pPr>
        <w:pStyle w:val="FootnoteText"/>
        <w:widowControl w:val="0"/>
      </w:pPr>
      <w:r>
        <w:rPr>
          <w:rStyle w:val="FootnoteReference"/>
        </w:rPr>
        <w:footnoteRef/>
      </w:r>
      <w:r>
        <w:t xml:space="preserve"> 47 CFR §§ 1.16 and 1.80(</w:t>
      </w:r>
      <w:r w:rsidR="001C5F2F">
        <w:t>g</w:t>
      </w:r>
      <w:r>
        <w:t>)(3).</w:t>
      </w:r>
    </w:p>
  </w:footnote>
  <w:footnote w:id="25">
    <w:p w:rsidR="00C6145C" w:rsidP="00C6145C" w14:paraId="0B35FA38"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6">
    <w:p w:rsidR="005F7F74" w:rsidP="005F7F74" w14:paraId="42D7EDAE" w14:textId="14C7058F">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5E24F1B7">
    <w:pPr>
      <w:pStyle w:val="Header"/>
      <w:rPr>
        <w:b w:val="0"/>
      </w:rPr>
    </w:pPr>
    <w:r>
      <w:tab/>
      <w:t>Federal Communications Commission</w:t>
    </w:r>
    <w:r>
      <w:tab/>
    </w:r>
    <w:r w:rsidR="00140750">
      <w:t>DA 2</w:t>
    </w:r>
    <w:r w:rsidR="00F02727">
      <w:t>1</w:t>
    </w:r>
    <w:r w:rsidR="00140750">
      <w:t>-</w:t>
    </w:r>
    <w:r w:rsidR="00FF6072">
      <w:t>1101</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231FB8B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FF6072">
      <w:rPr>
        <w:spacing w:val="-2"/>
      </w:rPr>
      <w:t>1011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7"/>
  </w:num>
  <w:num w:numId="10">
    <w:abstractNumId w:val="9"/>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06E03"/>
    <w:rsid w:val="00025331"/>
    <w:rsid w:val="00025BF3"/>
    <w:rsid w:val="00036039"/>
    <w:rsid w:val="00037F90"/>
    <w:rsid w:val="00044E42"/>
    <w:rsid w:val="000634FA"/>
    <w:rsid w:val="000725CB"/>
    <w:rsid w:val="000875BF"/>
    <w:rsid w:val="00096D8C"/>
    <w:rsid w:val="000A65AC"/>
    <w:rsid w:val="000B44EA"/>
    <w:rsid w:val="000C0B65"/>
    <w:rsid w:val="000C4D69"/>
    <w:rsid w:val="000D2FDB"/>
    <w:rsid w:val="000E05FE"/>
    <w:rsid w:val="000E3D42"/>
    <w:rsid w:val="000F3DE4"/>
    <w:rsid w:val="000F6468"/>
    <w:rsid w:val="0010399E"/>
    <w:rsid w:val="00122BD5"/>
    <w:rsid w:val="00124FB3"/>
    <w:rsid w:val="00132193"/>
    <w:rsid w:val="00133F79"/>
    <w:rsid w:val="00140750"/>
    <w:rsid w:val="00146D8A"/>
    <w:rsid w:val="00152E4C"/>
    <w:rsid w:val="00152F4B"/>
    <w:rsid w:val="00175910"/>
    <w:rsid w:val="001940F0"/>
    <w:rsid w:val="00194A66"/>
    <w:rsid w:val="001C5F2F"/>
    <w:rsid w:val="001D6BCF"/>
    <w:rsid w:val="001E01CA"/>
    <w:rsid w:val="001F7DA5"/>
    <w:rsid w:val="002172BD"/>
    <w:rsid w:val="00221720"/>
    <w:rsid w:val="00244DA3"/>
    <w:rsid w:val="00245789"/>
    <w:rsid w:val="002476A5"/>
    <w:rsid w:val="00250597"/>
    <w:rsid w:val="002546D1"/>
    <w:rsid w:val="00257770"/>
    <w:rsid w:val="00264220"/>
    <w:rsid w:val="00275A56"/>
    <w:rsid w:val="00275CF5"/>
    <w:rsid w:val="00282655"/>
    <w:rsid w:val="0028301F"/>
    <w:rsid w:val="00285017"/>
    <w:rsid w:val="002A2D2E"/>
    <w:rsid w:val="002C00E8"/>
    <w:rsid w:val="002F4279"/>
    <w:rsid w:val="00343749"/>
    <w:rsid w:val="003577E1"/>
    <w:rsid w:val="003660ED"/>
    <w:rsid w:val="003664DA"/>
    <w:rsid w:val="003946B0"/>
    <w:rsid w:val="003B0550"/>
    <w:rsid w:val="003B694F"/>
    <w:rsid w:val="003F171C"/>
    <w:rsid w:val="003F17E2"/>
    <w:rsid w:val="00412FC5"/>
    <w:rsid w:val="00422276"/>
    <w:rsid w:val="004242F1"/>
    <w:rsid w:val="00434675"/>
    <w:rsid w:val="004450EA"/>
    <w:rsid w:val="00445A00"/>
    <w:rsid w:val="00451B0F"/>
    <w:rsid w:val="00460B7A"/>
    <w:rsid w:val="004711FC"/>
    <w:rsid w:val="00476992"/>
    <w:rsid w:val="004B33E9"/>
    <w:rsid w:val="004B5D3F"/>
    <w:rsid w:val="004C2CAB"/>
    <w:rsid w:val="004C2EE3"/>
    <w:rsid w:val="004E40F1"/>
    <w:rsid w:val="004E4A22"/>
    <w:rsid w:val="00511968"/>
    <w:rsid w:val="00512D18"/>
    <w:rsid w:val="00513883"/>
    <w:rsid w:val="00514C8E"/>
    <w:rsid w:val="00525F98"/>
    <w:rsid w:val="00555D44"/>
    <w:rsid w:val="0055614C"/>
    <w:rsid w:val="00566D06"/>
    <w:rsid w:val="00596F9E"/>
    <w:rsid w:val="005B2CE7"/>
    <w:rsid w:val="005B6CC4"/>
    <w:rsid w:val="005E14C2"/>
    <w:rsid w:val="005E2DDC"/>
    <w:rsid w:val="005F0307"/>
    <w:rsid w:val="005F5ACF"/>
    <w:rsid w:val="005F7F74"/>
    <w:rsid w:val="00600AB4"/>
    <w:rsid w:val="00607BA5"/>
    <w:rsid w:val="0061180A"/>
    <w:rsid w:val="00614D11"/>
    <w:rsid w:val="006255CA"/>
    <w:rsid w:val="00626EB6"/>
    <w:rsid w:val="00655D03"/>
    <w:rsid w:val="00683388"/>
    <w:rsid w:val="00683F84"/>
    <w:rsid w:val="006A6A81"/>
    <w:rsid w:val="006F7393"/>
    <w:rsid w:val="006F7D37"/>
    <w:rsid w:val="0070224F"/>
    <w:rsid w:val="0071139E"/>
    <w:rsid w:val="007115F7"/>
    <w:rsid w:val="00753410"/>
    <w:rsid w:val="0077399F"/>
    <w:rsid w:val="007743C9"/>
    <w:rsid w:val="00785689"/>
    <w:rsid w:val="0079754B"/>
    <w:rsid w:val="007A1E6D"/>
    <w:rsid w:val="007A2495"/>
    <w:rsid w:val="007A502A"/>
    <w:rsid w:val="007B0EB2"/>
    <w:rsid w:val="007B357C"/>
    <w:rsid w:val="007B767F"/>
    <w:rsid w:val="007F223C"/>
    <w:rsid w:val="007F42C5"/>
    <w:rsid w:val="00810B6F"/>
    <w:rsid w:val="00815718"/>
    <w:rsid w:val="00822CE0"/>
    <w:rsid w:val="00823FF9"/>
    <w:rsid w:val="00841AB1"/>
    <w:rsid w:val="00874E66"/>
    <w:rsid w:val="008C6117"/>
    <w:rsid w:val="008C68F1"/>
    <w:rsid w:val="008D30C5"/>
    <w:rsid w:val="008D4F70"/>
    <w:rsid w:val="00921803"/>
    <w:rsid w:val="00926503"/>
    <w:rsid w:val="009377D8"/>
    <w:rsid w:val="00943ACD"/>
    <w:rsid w:val="00947B4D"/>
    <w:rsid w:val="009726D8"/>
    <w:rsid w:val="00982BF9"/>
    <w:rsid w:val="009D7308"/>
    <w:rsid w:val="009F76DB"/>
    <w:rsid w:val="00A069B5"/>
    <w:rsid w:val="00A32C3B"/>
    <w:rsid w:val="00A41060"/>
    <w:rsid w:val="00A45F4F"/>
    <w:rsid w:val="00A600A9"/>
    <w:rsid w:val="00A8013F"/>
    <w:rsid w:val="00AA120E"/>
    <w:rsid w:val="00AA55B7"/>
    <w:rsid w:val="00AA5B9E"/>
    <w:rsid w:val="00AB2407"/>
    <w:rsid w:val="00AB53DF"/>
    <w:rsid w:val="00AF350B"/>
    <w:rsid w:val="00AF64B2"/>
    <w:rsid w:val="00B07E5C"/>
    <w:rsid w:val="00B10690"/>
    <w:rsid w:val="00B3712A"/>
    <w:rsid w:val="00B4063A"/>
    <w:rsid w:val="00B811F7"/>
    <w:rsid w:val="00B8499A"/>
    <w:rsid w:val="00B913E9"/>
    <w:rsid w:val="00B945BD"/>
    <w:rsid w:val="00B97556"/>
    <w:rsid w:val="00BA5DC6"/>
    <w:rsid w:val="00BA6196"/>
    <w:rsid w:val="00BC6D8C"/>
    <w:rsid w:val="00BD5379"/>
    <w:rsid w:val="00BF575C"/>
    <w:rsid w:val="00BF7164"/>
    <w:rsid w:val="00BF7B55"/>
    <w:rsid w:val="00C17963"/>
    <w:rsid w:val="00C23825"/>
    <w:rsid w:val="00C27060"/>
    <w:rsid w:val="00C3027F"/>
    <w:rsid w:val="00C34006"/>
    <w:rsid w:val="00C36B4C"/>
    <w:rsid w:val="00C426B1"/>
    <w:rsid w:val="00C55A17"/>
    <w:rsid w:val="00C6145C"/>
    <w:rsid w:val="00C66160"/>
    <w:rsid w:val="00C721AC"/>
    <w:rsid w:val="00C90D6A"/>
    <w:rsid w:val="00CA247E"/>
    <w:rsid w:val="00CA4CE7"/>
    <w:rsid w:val="00CA6D21"/>
    <w:rsid w:val="00CC72B6"/>
    <w:rsid w:val="00CF021F"/>
    <w:rsid w:val="00D0218D"/>
    <w:rsid w:val="00D16857"/>
    <w:rsid w:val="00D25FB5"/>
    <w:rsid w:val="00D423B0"/>
    <w:rsid w:val="00D44223"/>
    <w:rsid w:val="00D6392C"/>
    <w:rsid w:val="00D64E57"/>
    <w:rsid w:val="00D84577"/>
    <w:rsid w:val="00D8571E"/>
    <w:rsid w:val="00D975B7"/>
    <w:rsid w:val="00DA2529"/>
    <w:rsid w:val="00DB10EE"/>
    <w:rsid w:val="00DB130A"/>
    <w:rsid w:val="00DB2EBB"/>
    <w:rsid w:val="00DC10A1"/>
    <w:rsid w:val="00DC5CAC"/>
    <w:rsid w:val="00DC655F"/>
    <w:rsid w:val="00DD0B59"/>
    <w:rsid w:val="00DD7EBD"/>
    <w:rsid w:val="00DF62B6"/>
    <w:rsid w:val="00E07225"/>
    <w:rsid w:val="00E1189A"/>
    <w:rsid w:val="00E4234B"/>
    <w:rsid w:val="00E4519B"/>
    <w:rsid w:val="00E5409F"/>
    <w:rsid w:val="00E66756"/>
    <w:rsid w:val="00E80030"/>
    <w:rsid w:val="00EE4177"/>
    <w:rsid w:val="00EE6488"/>
    <w:rsid w:val="00F021FA"/>
    <w:rsid w:val="00F02727"/>
    <w:rsid w:val="00F36DD9"/>
    <w:rsid w:val="00F62E97"/>
    <w:rsid w:val="00F64209"/>
    <w:rsid w:val="00F67AFF"/>
    <w:rsid w:val="00F92630"/>
    <w:rsid w:val="00F93BF5"/>
    <w:rsid w:val="00F94259"/>
    <w:rsid w:val="00FC0CFA"/>
    <w:rsid w:val="00FD6AD8"/>
    <w:rsid w:val="00FE0253"/>
    <w:rsid w:val="00FF60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40AA67"/>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F6072"/>
    <w:pPr>
      <w:widowControl w:val="0"/>
    </w:pPr>
    <w:rPr>
      <w:snapToGrid w:val="0"/>
      <w:kern w:val="28"/>
      <w:sz w:val="22"/>
    </w:rPr>
  </w:style>
  <w:style w:type="paragraph" w:styleId="Heading1">
    <w:name w:val="heading 1"/>
    <w:basedOn w:val="Normal"/>
    <w:next w:val="ParaNum"/>
    <w:link w:val="Heading1Char"/>
    <w:qFormat/>
    <w:rsid w:val="00FF607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F6072"/>
    <w:pPr>
      <w:keepNext/>
      <w:numPr>
        <w:ilvl w:val="1"/>
        <w:numId w:val="3"/>
      </w:numPr>
      <w:spacing w:after="120"/>
      <w:outlineLvl w:val="1"/>
    </w:pPr>
    <w:rPr>
      <w:b/>
    </w:rPr>
  </w:style>
  <w:style w:type="paragraph" w:styleId="Heading3">
    <w:name w:val="heading 3"/>
    <w:basedOn w:val="Normal"/>
    <w:next w:val="ParaNum"/>
    <w:qFormat/>
    <w:rsid w:val="00FF6072"/>
    <w:pPr>
      <w:keepNext/>
      <w:numPr>
        <w:ilvl w:val="2"/>
        <w:numId w:val="3"/>
      </w:numPr>
      <w:tabs>
        <w:tab w:val="left" w:pos="2160"/>
      </w:tabs>
      <w:spacing w:after="120"/>
      <w:outlineLvl w:val="2"/>
    </w:pPr>
    <w:rPr>
      <w:b/>
    </w:rPr>
  </w:style>
  <w:style w:type="paragraph" w:styleId="Heading4">
    <w:name w:val="heading 4"/>
    <w:basedOn w:val="Normal"/>
    <w:next w:val="ParaNum"/>
    <w:qFormat/>
    <w:rsid w:val="00FF6072"/>
    <w:pPr>
      <w:keepNext/>
      <w:numPr>
        <w:ilvl w:val="3"/>
        <w:numId w:val="3"/>
      </w:numPr>
      <w:tabs>
        <w:tab w:val="left" w:pos="2880"/>
      </w:tabs>
      <w:spacing w:after="120"/>
      <w:outlineLvl w:val="3"/>
    </w:pPr>
    <w:rPr>
      <w:b/>
    </w:rPr>
  </w:style>
  <w:style w:type="paragraph" w:styleId="Heading5">
    <w:name w:val="heading 5"/>
    <w:basedOn w:val="Normal"/>
    <w:next w:val="ParaNum"/>
    <w:qFormat/>
    <w:rsid w:val="00FF607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F6072"/>
    <w:pPr>
      <w:numPr>
        <w:ilvl w:val="5"/>
        <w:numId w:val="3"/>
      </w:numPr>
      <w:tabs>
        <w:tab w:val="left" w:pos="4320"/>
      </w:tabs>
      <w:spacing w:after="120"/>
      <w:outlineLvl w:val="5"/>
    </w:pPr>
    <w:rPr>
      <w:b/>
    </w:rPr>
  </w:style>
  <w:style w:type="paragraph" w:styleId="Heading7">
    <w:name w:val="heading 7"/>
    <w:basedOn w:val="Normal"/>
    <w:next w:val="ParaNum"/>
    <w:qFormat/>
    <w:rsid w:val="00FF607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F607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F607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F60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6072"/>
  </w:style>
  <w:style w:type="paragraph" w:customStyle="1" w:styleId="ParaNum">
    <w:name w:val="ParaNum"/>
    <w:basedOn w:val="Normal"/>
    <w:link w:val="ParaNumChar"/>
    <w:rsid w:val="00FF6072"/>
    <w:pPr>
      <w:numPr>
        <w:numId w:val="2"/>
      </w:numPr>
      <w:tabs>
        <w:tab w:val="clear" w:pos="1080"/>
        <w:tab w:val="num" w:pos="1440"/>
      </w:tabs>
      <w:spacing w:after="120"/>
    </w:pPr>
  </w:style>
  <w:style w:type="paragraph" w:styleId="EndnoteText">
    <w:name w:val="endnote text"/>
    <w:basedOn w:val="Normal"/>
    <w:semiHidden/>
    <w:rsid w:val="00FF6072"/>
    <w:rPr>
      <w:sz w:val="20"/>
    </w:rPr>
  </w:style>
  <w:style w:type="character" w:styleId="EndnoteReference">
    <w:name w:val="endnote reference"/>
    <w:semiHidden/>
    <w:rsid w:val="00FF6072"/>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FF607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FF6072"/>
    <w:rPr>
      <w:rFonts w:ascii="Times New Roman" w:hAnsi="Times New Roman"/>
      <w:dstrike w:val="0"/>
      <w:color w:val="auto"/>
      <w:sz w:val="20"/>
      <w:vertAlign w:val="superscript"/>
    </w:rPr>
  </w:style>
  <w:style w:type="paragraph" w:styleId="TOC1">
    <w:name w:val="toc 1"/>
    <w:basedOn w:val="Normal"/>
    <w:next w:val="Normal"/>
    <w:semiHidden/>
    <w:rsid w:val="00FF607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F6072"/>
    <w:pPr>
      <w:tabs>
        <w:tab w:val="left" w:pos="720"/>
        <w:tab w:val="right" w:leader="dot" w:pos="9360"/>
      </w:tabs>
      <w:suppressAutoHyphens/>
      <w:ind w:left="720" w:right="720" w:hanging="360"/>
    </w:pPr>
    <w:rPr>
      <w:noProof/>
    </w:rPr>
  </w:style>
  <w:style w:type="paragraph" w:styleId="TOC3">
    <w:name w:val="toc 3"/>
    <w:basedOn w:val="Normal"/>
    <w:next w:val="Normal"/>
    <w:semiHidden/>
    <w:rsid w:val="00FF607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F607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F60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F60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F60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F60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F607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F6072"/>
    <w:pPr>
      <w:tabs>
        <w:tab w:val="right" w:pos="9360"/>
      </w:tabs>
      <w:suppressAutoHyphens/>
    </w:pPr>
  </w:style>
  <w:style w:type="character" w:customStyle="1" w:styleId="EquationCaption">
    <w:name w:val="_Equation Caption"/>
    <w:rsid w:val="00FF6072"/>
  </w:style>
  <w:style w:type="paragraph" w:styleId="Header">
    <w:name w:val="header"/>
    <w:basedOn w:val="Normal"/>
    <w:autoRedefine/>
    <w:rsid w:val="00FF6072"/>
    <w:pPr>
      <w:tabs>
        <w:tab w:val="center" w:pos="4680"/>
        <w:tab w:val="right" w:pos="9360"/>
      </w:tabs>
    </w:pPr>
    <w:rPr>
      <w:b/>
    </w:rPr>
  </w:style>
  <w:style w:type="paragraph" w:styleId="Footer">
    <w:name w:val="footer"/>
    <w:basedOn w:val="Normal"/>
    <w:link w:val="FooterChar"/>
    <w:uiPriority w:val="99"/>
    <w:rsid w:val="00FF6072"/>
    <w:pPr>
      <w:tabs>
        <w:tab w:val="center" w:pos="4320"/>
        <w:tab w:val="right" w:pos="8640"/>
      </w:tabs>
    </w:pPr>
  </w:style>
  <w:style w:type="character" w:styleId="PageNumber">
    <w:name w:val="page number"/>
    <w:basedOn w:val="DefaultParagraphFont"/>
    <w:rsid w:val="00FF6072"/>
  </w:style>
  <w:style w:type="paragraph" w:styleId="BlockText">
    <w:name w:val="Block Text"/>
    <w:basedOn w:val="Normal"/>
    <w:rsid w:val="00FF6072"/>
    <w:pPr>
      <w:spacing w:after="240"/>
      <w:ind w:left="1440" w:right="1440"/>
    </w:pPr>
  </w:style>
  <w:style w:type="paragraph" w:customStyle="1" w:styleId="Paratitle">
    <w:name w:val="Para title"/>
    <w:basedOn w:val="Normal"/>
    <w:rsid w:val="00FF6072"/>
    <w:pPr>
      <w:tabs>
        <w:tab w:val="center" w:pos="9270"/>
      </w:tabs>
      <w:spacing w:after="240"/>
    </w:pPr>
    <w:rPr>
      <w:spacing w:val="-2"/>
    </w:rPr>
  </w:style>
  <w:style w:type="paragraph" w:customStyle="1" w:styleId="Bullet">
    <w:name w:val="Bullet"/>
    <w:basedOn w:val="Normal"/>
    <w:rsid w:val="00FF6072"/>
    <w:pPr>
      <w:tabs>
        <w:tab w:val="left" w:pos="2160"/>
      </w:tabs>
      <w:spacing w:after="220"/>
      <w:ind w:left="2160" w:hanging="720"/>
    </w:pPr>
  </w:style>
  <w:style w:type="paragraph" w:customStyle="1" w:styleId="TableFormat">
    <w:name w:val="TableFormat"/>
    <w:basedOn w:val="Bullet"/>
    <w:rsid w:val="00FF6072"/>
    <w:pPr>
      <w:tabs>
        <w:tab w:val="clear" w:pos="2160"/>
        <w:tab w:val="left" w:pos="5040"/>
      </w:tabs>
      <w:ind w:left="5040" w:hanging="3600"/>
    </w:pPr>
  </w:style>
  <w:style w:type="paragraph" w:customStyle="1" w:styleId="TOCTitle">
    <w:name w:val="TOC Title"/>
    <w:basedOn w:val="Normal"/>
    <w:rsid w:val="00FF60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F6072"/>
    <w:pPr>
      <w:jc w:val="center"/>
    </w:pPr>
    <w:rPr>
      <w:rFonts w:ascii="Times New Roman Bold" w:hAnsi="Times New Roman Bold"/>
      <w:b/>
      <w:bCs/>
      <w:caps/>
      <w:szCs w:val="22"/>
    </w:rPr>
  </w:style>
  <w:style w:type="character" w:styleId="Hyperlink">
    <w:name w:val="Hyperlink"/>
    <w:rsid w:val="00FF6072"/>
    <w:rPr>
      <w:color w:val="0000FF"/>
      <w:u w:val="single"/>
    </w:rPr>
  </w:style>
  <w:style w:type="character" w:customStyle="1" w:styleId="FooterChar">
    <w:name w:val="Footer Char"/>
    <w:link w:val="Footer"/>
    <w:uiPriority w:val="99"/>
    <w:rsid w:val="00FF6072"/>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styleId="Emphasis">
    <w:name w:val="Emphasis"/>
    <w:basedOn w:val="DefaultParagraphFont"/>
    <w:uiPriority w:val="20"/>
    <w:qFormat/>
    <w:rsid w:val="00357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