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703C81BC" w14:textId="77777777">
      <w:pPr>
        <w:jc w:val="right"/>
        <w:rPr>
          <w:sz w:val="24"/>
        </w:rPr>
      </w:pPr>
    </w:p>
    <w:p w:rsidR="00013A8B" w:rsidRPr="00B20363" w:rsidP="00013A8B" w14:paraId="5C49F305" w14:textId="7611EF14">
      <w:pPr>
        <w:jc w:val="right"/>
        <w:rPr>
          <w:b/>
          <w:sz w:val="24"/>
        </w:rPr>
      </w:pPr>
      <w:r>
        <w:rPr>
          <w:b/>
          <w:sz w:val="24"/>
        </w:rPr>
        <w:t>DA 2</w:t>
      </w:r>
      <w:r w:rsidR="00CF448C">
        <w:rPr>
          <w:b/>
          <w:sz w:val="24"/>
        </w:rPr>
        <w:t>1</w:t>
      </w:r>
      <w:r>
        <w:rPr>
          <w:b/>
          <w:sz w:val="24"/>
        </w:rPr>
        <w:t>-</w:t>
      </w:r>
      <w:r w:rsidR="001311AB">
        <w:rPr>
          <w:b/>
          <w:sz w:val="24"/>
        </w:rPr>
        <w:t>1014</w:t>
      </w:r>
    </w:p>
    <w:p w:rsidR="00013A8B" w:rsidRPr="00B20363" w:rsidP="00013A8B" w14:paraId="1BFCEC0C" w14:textId="5ACDE8D8">
      <w:pPr>
        <w:spacing w:before="60"/>
        <w:jc w:val="right"/>
        <w:rPr>
          <w:b/>
          <w:sz w:val="24"/>
        </w:rPr>
      </w:pPr>
      <w:r>
        <w:rPr>
          <w:b/>
          <w:sz w:val="24"/>
        </w:rPr>
        <w:t xml:space="preserve">Released:  </w:t>
      </w:r>
      <w:r w:rsidR="009B1E98">
        <w:rPr>
          <w:b/>
          <w:sz w:val="24"/>
        </w:rPr>
        <w:t xml:space="preserve">August </w:t>
      </w:r>
      <w:r w:rsidRPr="00AC5C37" w:rsidR="00AC5C37">
        <w:rPr>
          <w:b/>
          <w:sz w:val="24"/>
        </w:rPr>
        <w:t>18</w:t>
      </w:r>
      <w:r w:rsidR="00FF5F91">
        <w:rPr>
          <w:b/>
          <w:sz w:val="24"/>
        </w:rPr>
        <w:t>, 202</w:t>
      </w:r>
      <w:r w:rsidR="00CF448C">
        <w:rPr>
          <w:b/>
          <w:sz w:val="24"/>
        </w:rPr>
        <w:t>1</w:t>
      </w:r>
    </w:p>
    <w:p w:rsidR="00013A8B" w:rsidP="00013A8B" w14:paraId="50F84B0B" w14:textId="77777777">
      <w:pPr>
        <w:jc w:val="right"/>
        <w:rPr>
          <w:sz w:val="24"/>
        </w:rPr>
      </w:pPr>
    </w:p>
    <w:p w:rsidR="00013A8B" w:rsidRPr="00B20363" w:rsidP="00013A8B" w14:paraId="6063D829" w14:textId="7A0A4C7C">
      <w:pPr>
        <w:spacing w:after="240"/>
        <w:jc w:val="center"/>
        <w:rPr>
          <w:rFonts w:ascii="Times New Roman Bold" w:hAnsi="Times New Roman Bold"/>
          <w:b/>
          <w:caps/>
          <w:sz w:val="24"/>
        </w:rPr>
      </w:pPr>
      <w:r>
        <w:rPr>
          <w:rFonts w:ascii="Times New Roman Bold" w:hAnsi="Times New Roman Bold"/>
          <w:b/>
          <w:caps/>
          <w:sz w:val="24"/>
        </w:rPr>
        <w:t xml:space="preserve">The wireless telecommunications bureau </w:t>
      </w:r>
      <w:r w:rsidR="007058E0">
        <w:rPr>
          <w:rFonts w:ascii="Times New Roman Bold" w:hAnsi="Times New Roman Bold"/>
          <w:b/>
          <w:caps/>
          <w:sz w:val="24"/>
        </w:rPr>
        <w:t xml:space="preserve">Establishes a new Docket </w:t>
      </w:r>
      <w:r>
        <w:rPr>
          <w:rFonts w:ascii="Times New Roman Bold" w:hAnsi="Times New Roman Bold"/>
          <w:b/>
          <w:caps/>
          <w:sz w:val="24"/>
        </w:rPr>
        <w:t xml:space="preserve">for </w:t>
      </w:r>
      <w:r w:rsidR="00CF448C">
        <w:rPr>
          <w:rFonts w:ascii="Times New Roman Bold" w:hAnsi="Times New Roman Bold"/>
          <w:b/>
          <w:caps/>
          <w:sz w:val="24"/>
        </w:rPr>
        <w:t xml:space="preserve">C-BAND </w:t>
      </w:r>
      <w:r w:rsidR="009B1E98">
        <w:rPr>
          <w:rFonts w:ascii="Times New Roman Bold" w:hAnsi="Times New Roman Bold"/>
          <w:b/>
          <w:caps/>
          <w:sz w:val="24"/>
        </w:rPr>
        <w:t xml:space="preserve">Relocation payment clearinghouse dispute </w:t>
      </w:r>
      <w:r w:rsidR="00E172B8">
        <w:rPr>
          <w:rFonts w:ascii="Times New Roman Bold" w:hAnsi="Times New Roman Bold"/>
          <w:b/>
          <w:caps/>
          <w:sz w:val="24"/>
        </w:rPr>
        <w:t xml:space="preserve">REFERRALS AND </w:t>
      </w:r>
      <w:r w:rsidR="009B1E98">
        <w:rPr>
          <w:rFonts w:ascii="Times New Roman Bold" w:hAnsi="Times New Roman Bold"/>
          <w:b/>
          <w:caps/>
          <w:sz w:val="24"/>
        </w:rPr>
        <w:t xml:space="preserve">appeals </w:t>
      </w:r>
    </w:p>
    <w:p w:rsidR="00013A8B" w:rsidP="00013A8B" w14:paraId="71687DB3" w14:textId="286A9FB4">
      <w:pPr>
        <w:jc w:val="center"/>
        <w:rPr>
          <w:b/>
          <w:sz w:val="24"/>
        </w:rPr>
      </w:pPr>
      <w:r>
        <w:rPr>
          <w:b/>
          <w:sz w:val="24"/>
        </w:rPr>
        <w:t>WT</w:t>
      </w:r>
      <w:r w:rsidRPr="00ED6725" w:rsidR="0007037F">
        <w:rPr>
          <w:b/>
          <w:sz w:val="24"/>
        </w:rPr>
        <w:t xml:space="preserve"> Docket No. </w:t>
      </w:r>
      <w:r w:rsidRPr="00ED6725" w:rsidR="00461B7A">
        <w:rPr>
          <w:b/>
          <w:sz w:val="24"/>
        </w:rPr>
        <w:t>2</w:t>
      </w:r>
      <w:r w:rsidR="00CF448C">
        <w:rPr>
          <w:b/>
          <w:sz w:val="24"/>
        </w:rPr>
        <w:t>1</w:t>
      </w:r>
      <w:r w:rsidRPr="00ED6725" w:rsidR="0007037F">
        <w:rPr>
          <w:b/>
          <w:sz w:val="24"/>
        </w:rPr>
        <w:t>-</w:t>
      </w:r>
      <w:r w:rsidRPr="00AC5C37" w:rsidR="00AC5C37">
        <w:rPr>
          <w:b/>
          <w:sz w:val="24"/>
        </w:rPr>
        <w:t>333</w:t>
      </w:r>
    </w:p>
    <w:p w:rsidR="00F96F63" w:rsidRPr="00930ECF" w:rsidP="00F96F63" w14:paraId="50AB2FF1" w14:textId="77777777">
      <w:pPr>
        <w:rPr>
          <w:sz w:val="24"/>
        </w:rPr>
      </w:pPr>
      <w:bookmarkStart w:id="0" w:name="TOChere"/>
    </w:p>
    <w:bookmarkEnd w:id="0"/>
    <w:p w:rsidR="00966BE3" w:rsidRPr="00E172B8" w:rsidP="00803F43" w14:paraId="525B0A64" w14:textId="1D7D9230">
      <w:pPr>
        <w:ind w:firstLine="720"/>
        <w:rPr>
          <w:szCs w:val="22"/>
        </w:rPr>
      </w:pPr>
      <w:r w:rsidRPr="003C2291">
        <w:rPr>
          <w:szCs w:val="22"/>
        </w:rPr>
        <w:t xml:space="preserve">With this Public Notice, the Wireless Telecommunications Bureau (WTB) </w:t>
      </w:r>
      <w:r w:rsidRPr="003C2291" w:rsidR="007058E0">
        <w:rPr>
          <w:szCs w:val="22"/>
        </w:rPr>
        <w:t>establish</w:t>
      </w:r>
      <w:r w:rsidRPr="003C2291" w:rsidR="00747A59">
        <w:rPr>
          <w:szCs w:val="22"/>
        </w:rPr>
        <w:t>es</w:t>
      </w:r>
      <w:r w:rsidRPr="003C2291" w:rsidR="007058E0">
        <w:rPr>
          <w:szCs w:val="22"/>
        </w:rPr>
        <w:t xml:space="preserve"> </w:t>
      </w:r>
      <w:r w:rsidRPr="00E172B8" w:rsidR="00084BE5">
        <w:rPr>
          <w:szCs w:val="22"/>
        </w:rPr>
        <w:t>WT</w:t>
      </w:r>
      <w:r w:rsidRPr="00E172B8" w:rsidR="007058E0">
        <w:rPr>
          <w:szCs w:val="22"/>
        </w:rPr>
        <w:t xml:space="preserve"> Docket No. 2</w:t>
      </w:r>
      <w:r w:rsidRPr="00E172B8" w:rsidR="00CF448C">
        <w:rPr>
          <w:szCs w:val="22"/>
        </w:rPr>
        <w:t>1</w:t>
      </w:r>
      <w:r w:rsidRPr="00E172B8" w:rsidR="007058E0">
        <w:rPr>
          <w:szCs w:val="22"/>
        </w:rPr>
        <w:t>-</w:t>
      </w:r>
      <w:r w:rsidRPr="00AC5C37" w:rsidR="00AC5C37">
        <w:rPr>
          <w:szCs w:val="22"/>
        </w:rPr>
        <w:t>333</w:t>
      </w:r>
      <w:r w:rsidRPr="003C2291" w:rsidR="007058E0">
        <w:rPr>
          <w:szCs w:val="22"/>
        </w:rPr>
        <w:t>, which is captioned “</w:t>
      </w:r>
      <w:r w:rsidRPr="003C2291" w:rsidR="00FE65DB">
        <w:rPr>
          <w:szCs w:val="22"/>
        </w:rPr>
        <w:t>3.7-4.2 GHz Band</w:t>
      </w:r>
      <w:r w:rsidRPr="003C2291" w:rsidR="00694FC8">
        <w:rPr>
          <w:szCs w:val="22"/>
        </w:rPr>
        <w:t xml:space="preserve"> Transition </w:t>
      </w:r>
      <w:r w:rsidRPr="00F213A9" w:rsidR="003C2291">
        <w:rPr>
          <w:szCs w:val="22"/>
        </w:rPr>
        <w:t xml:space="preserve">Clearinghouse </w:t>
      </w:r>
      <w:r w:rsidRPr="00F213A9" w:rsidR="00694FC8">
        <w:rPr>
          <w:szCs w:val="22"/>
        </w:rPr>
        <w:t xml:space="preserve">Dispute </w:t>
      </w:r>
      <w:r w:rsidR="00E172B8">
        <w:rPr>
          <w:szCs w:val="22"/>
        </w:rPr>
        <w:t xml:space="preserve">Referrals and </w:t>
      </w:r>
      <w:r w:rsidRPr="00E172B8" w:rsidR="009B1E98">
        <w:rPr>
          <w:szCs w:val="22"/>
        </w:rPr>
        <w:t>Appeals</w:t>
      </w:r>
      <w:r w:rsidRPr="00E172B8" w:rsidR="00FE65DB">
        <w:rPr>
          <w:szCs w:val="22"/>
        </w:rPr>
        <w:t>.</w:t>
      </w:r>
      <w:r w:rsidRPr="00E172B8" w:rsidR="007058E0">
        <w:rPr>
          <w:szCs w:val="22"/>
        </w:rPr>
        <w:t xml:space="preserve">”  </w:t>
      </w:r>
    </w:p>
    <w:p w:rsidR="00507EC8" w:rsidRPr="00E172B8" w:rsidP="00803F43" w14:paraId="5AA7AD40" w14:textId="6DAE545A">
      <w:pPr>
        <w:ind w:firstLine="720"/>
        <w:rPr>
          <w:szCs w:val="22"/>
        </w:rPr>
      </w:pPr>
    </w:p>
    <w:p w:rsidR="003C2291" w:rsidRPr="000F4725" w:rsidP="000F4725" w14:paraId="14E6CD2F" w14:textId="5027D46A">
      <w:pPr>
        <w:pStyle w:val="Default"/>
        <w:ind w:firstLine="720"/>
      </w:pPr>
      <w:r>
        <w:rPr>
          <w:sz w:val="22"/>
          <w:szCs w:val="22"/>
        </w:rPr>
        <w:t xml:space="preserve">As part of the ongoing transition in the </w:t>
      </w:r>
      <w:r w:rsidR="000F4725">
        <w:rPr>
          <w:sz w:val="22"/>
          <w:szCs w:val="22"/>
        </w:rPr>
        <w:t>3.7-4.2 GHz band (</w:t>
      </w:r>
      <w:r>
        <w:rPr>
          <w:sz w:val="22"/>
          <w:szCs w:val="22"/>
        </w:rPr>
        <w:t>C-band</w:t>
      </w:r>
      <w:r w:rsidR="000F4725">
        <w:rPr>
          <w:sz w:val="22"/>
          <w:szCs w:val="22"/>
        </w:rPr>
        <w:t>)</w:t>
      </w:r>
      <w:r>
        <w:rPr>
          <w:sz w:val="22"/>
          <w:szCs w:val="22"/>
        </w:rPr>
        <w:t>, parties disputing a cost estimate, cost invoice, or payment or cost-sharing obligation must file an objection with the Relocation Payment Clearinghouse (Clearinghouse).</w:t>
      </w:r>
      <w:r>
        <w:rPr>
          <w:rStyle w:val="FootnoteReference"/>
          <w:szCs w:val="22"/>
        </w:rPr>
        <w:footnoteReference w:id="3"/>
      </w:r>
      <w:r>
        <w:rPr>
          <w:sz w:val="22"/>
          <w:szCs w:val="22"/>
        </w:rPr>
        <w:t xml:space="preserve">  </w:t>
      </w:r>
      <w:r w:rsidRPr="000F4725" w:rsidR="00507EC8">
        <w:rPr>
          <w:sz w:val="22"/>
          <w:szCs w:val="22"/>
        </w:rPr>
        <w:t xml:space="preserve">Pursuant to the </w:t>
      </w:r>
      <w:r w:rsidRPr="000F4725" w:rsidR="00507EC8">
        <w:rPr>
          <w:i/>
          <w:iCs/>
          <w:sz w:val="22"/>
          <w:szCs w:val="22"/>
        </w:rPr>
        <w:t>3.7 GHz Report and Order</w:t>
      </w:r>
      <w:r w:rsidRPr="000F4725" w:rsidR="00507EC8">
        <w:rPr>
          <w:sz w:val="22"/>
          <w:szCs w:val="22"/>
        </w:rPr>
        <w:t xml:space="preserve">, </w:t>
      </w:r>
      <w:r w:rsidR="00E172B8">
        <w:rPr>
          <w:sz w:val="22"/>
          <w:szCs w:val="22"/>
        </w:rPr>
        <w:t xml:space="preserve">the Clearinghouse serves “in an administrative role and in a function similar to a special master in a judicial proceeding” and </w:t>
      </w:r>
      <w:r>
        <w:rPr>
          <w:sz w:val="22"/>
          <w:szCs w:val="22"/>
        </w:rPr>
        <w:t>“</w:t>
      </w:r>
      <w:r w:rsidR="00E172B8">
        <w:rPr>
          <w:sz w:val="22"/>
          <w:szCs w:val="22"/>
        </w:rPr>
        <w:t xml:space="preserve">may </w:t>
      </w:r>
      <w:r w:rsidRPr="003C2291">
        <w:rPr>
          <w:sz w:val="22"/>
          <w:szCs w:val="22"/>
        </w:rPr>
        <w:t>mediate any disputes regarding cost estimates or payments that may arise in the course of band reconfiguration; or refer the disputant parties to alternative dispute resolution fora.</w:t>
      </w:r>
      <w:r>
        <w:rPr>
          <w:sz w:val="22"/>
          <w:szCs w:val="22"/>
        </w:rPr>
        <w:t>”</w:t>
      </w:r>
      <w:r>
        <w:rPr>
          <w:rStyle w:val="FootnoteReference"/>
          <w:szCs w:val="22"/>
        </w:rPr>
        <w:footnoteReference w:id="4"/>
      </w:r>
      <w:r>
        <w:rPr>
          <w:sz w:val="22"/>
          <w:szCs w:val="22"/>
        </w:rPr>
        <w:t xml:space="preserve">  Following mediation, parties to the dispute may request expedited non-binding arbitration.</w:t>
      </w:r>
      <w:r>
        <w:rPr>
          <w:rStyle w:val="FootnoteReference"/>
          <w:szCs w:val="22"/>
        </w:rPr>
        <w:footnoteReference w:id="5"/>
      </w:r>
      <w:r>
        <w:rPr>
          <w:sz w:val="22"/>
          <w:szCs w:val="22"/>
        </w:rPr>
        <w:t xml:space="preserve">  Should any issues still remain unresolved, then they may be referred to WTB within ten (10) days of the recommended decision or advice</w:t>
      </w:r>
      <w:r>
        <w:rPr>
          <w:rStyle w:val="FootnoteReference"/>
          <w:szCs w:val="22"/>
        </w:rPr>
        <w:footnoteReference w:id="6"/>
      </w:r>
      <w:r w:rsidR="00E172B8">
        <w:rPr>
          <w:sz w:val="22"/>
          <w:szCs w:val="22"/>
        </w:rPr>
        <w:t xml:space="preserve"> and any decisions of the Clearinghouse may be appealed to the Chief of WTB</w:t>
      </w:r>
      <w:r>
        <w:rPr>
          <w:sz w:val="22"/>
          <w:szCs w:val="22"/>
        </w:rPr>
        <w:t>.</w:t>
      </w:r>
      <w:r>
        <w:rPr>
          <w:rStyle w:val="FootnoteReference"/>
          <w:szCs w:val="22"/>
        </w:rPr>
        <w:footnoteReference w:id="7"/>
      </w:r>
    </w:p>
    <w:p w:rsidR="003C2291" w:rsidP="008C38F9" w14:paraId="3956A650" w14:textId="77777777">
      <w:pPr>
        <w:ind w:firstLine="720"/>
        <w:rPr>
          <w:szCs w:val="22"/>
        </w:rPr>
      </w:pPr>
    </w:p>
    <w:p w:rsidR="00507EC8" w:rsidRPr="003C2291" w:rsidP="005B4769" w14:paraId="53E6F44F" w14:textId="62DBB3E0">
      <w:pPr>
        <w:widowControl/>
        <w:ind w:firstLine="720"/>
        <w:rPr>
          <w:szCs w:val="22"/>
        </w:rPr>
      </w:pPr>
      <w:r>
        <w:rPr>
          <w:szCs w:val="22"/>
        </w:rPr>
        <w:t>Referrals and appeals should be filed</w:t>
      </w:r>
      <w:r w:rsidRPr="003C2291">
        <w:rPr>
          <w:szCs w:val="22"/>
        </w:rPr>
        <w:t xml:space="preserve"> in WT Docket No. 21-</w:t>
      </w:r>
      <w:r w:rsidRPr="00AC5C37" w:rsidR="00AC5C37">
        <w:rPr>
          <w:szCs w:val="22"/>
        </w:rPr>
        <w:t>333</w:t>
      </w:r>
      <w:r w:rsidRPr="003C2291">
        <w:rPr>
          <w:szCs w:val="22"/>
        </w:rPr>
        <w:t>.</w:t>
      </w:r>
      <w:r w:rsidRPr="003C2291" w:rsidR="008C38F9">
        <w:rPr>
          <w:szCs w:val="22"/>
        </w:rPr>
        <w:t xml:space="preserve">  All filings submitted through ECFS are available to the public in their entirety.  If </w:t>
      </w:r>
      <w:r w:rsidRPr="003C2291" w:rsidR="00CB7ED6">
        <w:rPr>
          <w:szCs w:val="22"/>
        </w:rPr>
        <w:t>any</w:t>
      </w:r>
      <w:r w:rsidRPr="003C2291" w:rsidR="008C38F9">
        <w:rPr>
          <w:szCs w:val="22"/>
        </w:rPr>
        <w:t xml:space="preserve"> party seeks confidential treatment for any </w:t>
      </w:r>
      <w:r w:rsidRPr="003C2291" w:rsidR="008C38F9">
        <w:rPr>
          <w:szCs w:val="22"/>
        </w:rPr>
        <w:t>information or materials to be submitted, it may do so pursuant to section 0.459 of the Commission’s rules.</w:t>
      </w:r>
      <w:r>
        <w:rPr>
          <w:rStyle w:val="FootnoteReference"/>
          <w:szCs w:val="22"/>
        </w:rPr>
        <w:footnoteReference w:id="8"/>
      </w:r>
    </w:p>
    <w:p w:rsidR="003D2D7F" w:rsidP="003D2D7F" w14:paraId="572C8FAC" w14:textId="3589B7E3">
      <w:pPr>
        <w:widowControl/>
        <w:rPr>
          <w:i/>
          <w:iCs/>
          <w:szCs w:val="22"/>
        </w:rPr>
      </w:pPr>
    </w:p>
    <w:p w:rsidR="003D2D7F" w:rsidP="003D2D7F" w14:paraId="47CB1D41" w14:textId="77777777">
      <w:pPr>
        <w:widowControl/>
        <w:ind w:firstLine="720"/>
        <w:rPr>
          <w:snapToGrid/>
          <w:kern w:val="0"/>
          <w:sz w:val="24"/>
          <w:szCs w:val="24"/>
        </w:rPr>
      </w:pPr>
      <w:r>
        <w:rPr>
          <w:i/>
          <w:iCs/>
          <w:szCs w:val="22"/>
        </w:rPr>
        <w:t xml:space="preserve">Ex </w:t>
      </w:r>
      <w:r>
        <w:rPr>
          <w:i/>
          <w:iCs/>
          <w:szCs w:val="22"/>
        </w:rPr>
        <w:t>parte</w:t>
      </w:r>
      <w:r>
        <w:rPr>
          <w:i/>
          <w:iCs/>
          <w:szCs w:val="22"/>
        </w:rPr>
        <w:t xml:space="preserve"> rules. </w:t>
      </w:r>
      <w:r>
        <w:rPr>
          <w:szCs w:val="22"/>
        </w:rPr>
        <w:t xml:space="preserve"> Any </w:t>
      </w:r>
      <w:r>
        <w:rPr>
          <w:i/>
          <w:iCs/>
          <w:szCs w:val="22"/>
        </w:rPr>
        <w:t xml:space="preserve">ex </w:t>
      </w:r>
      <w:r>
        <w:rPr>
          <w:i/>
          <w:iCs/>
          <w:szCs w:val="22"/>
        </w:rPr>
        <w:t>parte</w:t>
      </w:r>
      <w:r>
        <w:rPr>
          <w:i/>
          <w:iCs/>
          <w:szCs w:val="22"/>
        </w:rPr>
        <w:t xml:space="preserve"> </w:t>
      </w:r>
      <w:r>
        <w:rPr>
          <w:szCs w:val="22"/>
        </w:rPr>
        <w:t xml:space="preserve">presentations related to matters raised in this docket shall be subject to “permit-but-disclose” </w:t>
      </w:r>
      <w:r>
        <w:rPr>
          <w:i/>
          <w:iCs/>
          <w:szCs w:val="22"/>
        </w:rPr>
        <w:t xml:space="preserve">ex </w:t>
      </w:r>
      <w:r>
        <w:rPr>
          <w:i/>
          <w:iCs/>
          <w:szCs w:val="22"/>
        </w:rPr>
        <w:t>parte</w:t>
      </w:r>
      <w:r>
        <w:rPr>
          <w:szCs w:val="22"/>
        </w:rPr>
        <w:t xml:space="preserve"> rules.</w:t>
      </w:r>
      <w:r>
        <w:rPr>
          <w:rStyle w:val="FootnoteReference"/>
          <w:szCs w:val="22"/>
        </w:rPr>
        <w:footnoteReference w:id="9"/>
      </w:r>
      <w:r>
        <w:rPr>
          <w:szCs w:val="22"/>
        </w:rPr>
        <w:t xml:space="preserve">  Persons making </w:t>
      </w:r>
      <w:r>
        <w:rPr>
          <w:i/>
          <w:iCs/>
          <w:szCs w:val="22"/>
        </w:rPr>
        <w:t xml:space="preserve">ex </w:t>
      </w:r>
      <w:r>
        <w:rPr>
          <w:i/>
          <w:iCs/>
          <w:szCs w:val="22"/>
        </w:rPr>
        <w:t>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Pr>
          <w:i/>
          <w:iCs/>
          <w:szCs w:val="22"/>
        </w:rPr>
        <w:t xml:space="preserve">ex </w:t>
      </w:r>
      <w:r>
        <w:rPr>
          <w:i/>
          <w:iCs/>
          <w:szCs w:val="22"/>
        </w:rPr>
        <w:t>parte</w:t>
      </w:r>
      <w:r>
        <w:rPr>
          <w:szCs w:val="22"/>
        </w:rPr>
        <w:t xml:space="preserve"> rules, including the general prohibition on presentations (written and oral) on matters listed in the Sunshine Agenda, which typically is released a week prior to the Commission’s meeting.</w:t>
      </w:r>
      <w:r>
        <w:rPr>
          <w:rStyle w:val="FootnoteReference"/>
          <w:szCs w:val="22"/>
        </w:rPr>
        <w:footnoteReference w:id="10"/>
      </w:r>
      <w:r>
        <w:rPr>
          <w:szCs w:val="22"/>
        </w:rPr>
        <w:t xml:space="preserve"> </w:t>
      </w:r>
    </w:p>
    <w:p w:rsidR="006973B7" w:rsidRPr="003C2291" w:rsidP="006973B7" w14:paraId="699CE3AF" w14:textId="77777777">
      <w:pPr>
        <w:rPr>
          <w:szCs w:val="22"/>
        </w:rPr>
      </w:pPr>
    </w:p>
    <w:p w:rsidR="006973B7" w:rsidRPr="003C2291" w:rsidP="006973B7" w14:paraId="42D78D30" w14:textId="77777777">
      <w:pPr>
        <w:rPr>
          <w:szCs w:val="22"/>
        </w:rPr>
      </w:pPr>
      <w:r w:rsidRPr="003C2291">
        <w:rPr>
          <w:szCs w:val="22"/>
        </w:rPr>
        <w:tab/>
      </w:r>
      <w:r w:rsidRPr="00E172B8">
        <w:rPr>
          <w:i/>
          <w:iCs/>
          <w:szCs w:val="22"/>
        </w:rPr>
        <w:t>Accessibility Information.</w:t>
      </w:r>
      <w:r w:rsidRPr="00E172B8">
        <w:rPr>
          <w:szCs w:val="22"/>
        </w:rPr>
        <w:t xml:space="preserve"> To request materials in accessible formats for people with disabilities (Braille, large print, electronic files, audio format), send an e-mail to </w:t>
      </w:r>
      <w:hyperlink r:id="rId5" w:history="1">
        <w:r w:rsidRPr="003C2291">
          <w:rPr>
            <w:rStyle w:val="Hyperlink"/>
            <w:szCs w:val="22"/>
          </w:rPr>
          <w:t>fcc504@fcc.gov</w:t>
        </w:r>
      </w:hyperlink>
      <w:r w:rsidRPr="003C2291">
        <w:rPr>
          <w:szCs w:val="22"/>
        </w:rPr>
        <w:t xml:space="preserve"> or call the Consumer and Governmental Affairs Bureau at (202) 418-0530 (voice).</w:t>
      </w:r>
    </w:p>
    <w:p w:rsidR="006973B7" w:rsidRPr="006973B7" w:rsidP="006973B7" w14:paraId="62503165" w14:textId="77777777">
      <w:pPr>
        <w:rPr>
          <w:szCs w:val="22"/>
        </w:rPr>
      </w:pPr>
    </w:p>
    <w:p w:rsidR="00424DDE" w:rsidP="00424DDE" w14:paraId="3983CA0E" w14:textId="77777777">
      <w:pPr>
        <w:ind w:firstLine="720"/>
        <w:jc w:val="both"/>
        <w:rPr>
          <w:szCs w:val="22"/>
        </w:rPr>
      </w:pPr>
      <w:r w:rsidRPr="006973B7">
        <w:rPr>
          <w:szCs w:val="22"/>
        </w:rPr>
        <w:t>Action by Acting Chief, Wireless Telecommunications Bureau.</w:t>
      </w:r>
      <w:r w:rsidRPr="00424DDE">
        <w:rPr>
          <w:szCs w:val="22"/>
        </w:rPr>
        <w:t xml:space="preserve"> </w:t>
      </w:r>
    </w:p>
    <w:p w:rsidR="00424DDE" w:rsidRPr="00371979" w:rsidP="00424DDE" w14:paraId="0FEB572D" w14:textId="77777777"/>
    <w:p w:rsidR="00424DDE" w:rsidRPr="00371979" w:rsidP="00424DDE" w14:paraId="527C15E4" w14:textId="77777777">
      <w:pPr>
        <w:jc w:val="center"/>
        <w:rPr>
          <w:b/>
        </w:rPr>
      </w:pPr>
      <w:r w:rsidRPr="00371979">
        <w:rPr>
          <w:b/>
        </w:rPr>
        <w:t>- FCC -</w:t>
      </w:r>
    </w:p>
    <w:p w:rsidR="006973B7" w:rsidRPr="006973B7" w:rsidP="006973B7" w14:paraId="7D609CAC" w14:textId="77777777">
      <w:pPr>
        <w:rPr>
          <w:szCs w:val="22"/>
        </w:rPr>
      </w:pPr>
    </w:p>
    <w:p w:rsidR="006973B7" w:rsidP="006973B7" w14:paraId="7E67724F" w14:textId="77777777">
      <w:pPr>
        <w:rPr>
          <w:sz w:val="24"/>
        </w:rPr>
      </w:pPr>
    </w:p>
    <w:p w:rsidR="008E519F" w:rsidRPr="008E519F" w:rsidP="006973B7" w14:paraId="61993C67"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D56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AC10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0DDC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E11B1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12D" w14:paraId="0E5BBE28" w14:textId="77777777">
      <w:r>
        <w:separator/>
      </w:r>
    </w:p>
  </w:footnote>
  <w:footnote w:type="continuationSeparator" w:id="1">
    <w:p w:rsidR="00D0412D" w14:paraId="78F40905" w14:textId="77777777">
      <w:pPr>
        <w:rPr>
          <w:sz w:val="20"/>
        </w:rPr>
      </w:pPr>
      <w:r>
        <w:rPr>
          <w:sz w:val="20"/>
        </w:rPr>
        <w:t xml:space="preserve">(Continued from previous page)  </w:t>
      </w:r>
      <w:r>
        <w:rPr>
          <w:sz w:val="20"/>
        </w:rPr>
        <w:separator/>
      </w:r>
    </w:p>
  </w:footnote>
  <w:footnote w:type="continuationNotice" w:id="2">
    <w:p w:rsidR="00D0412D" w:rsidP="00910F12" w14:paraId="4FB30642" w14:textId="77777777">
      <w:pPr>
        <w:jc w:val="right"/>
        <w:rPr>
          <w:sz w:val="20"/>
        </w:rPr>
      </w:pPr>
      <w:r>
        <w:rPr>
          <w:sz w:val="20"/>
        </w:rPr>
        <w:t>(continued….)</w:t>
      </w:r>
    </w:p>
  </w:footnote>
  <w:footnote w:id="3">
    <w:p w:rsidR="00633B06" w:rsidRPr="003F05A8" w14:paraId="01919C99" w14:textId="408545F5">
      <w:pPr>
        <w:pStyle w:val="FootnoteText"/>
        <w:rPr>
          <w:i/>
          <w:iCs/>
        </w:rPr>
      </w:pPr>
      <w:r>
        <w:rPr>
          <w:rStyle w:val="FootnoteReference"/>
        </w:rPr>
        <w:footnoteRef/>
      </w:r>
      <w:r>
        <w:t xml:space="preserve"> </w:t>
      </w:r>
      <w:r w:rsidRPr="00424DDE">
        <w:t>47 CFR § </w:t>
      </w:r>
      <w:r>
        <w:t>27</w:t>
      </w:r>
      <w:r w:rsidRPr="00424DDE">
        <w:t>.</w:t>
      </w:r>
      <w:r>
        <w:t>1421(a</w:t>
      </w:r>
      <w:r w:rsidRPr="000F4725">
        <w:t>).</w:t>
      </w:r>
      <w:r w:rsidRPr="000F4725" w:rsidR="00CB5926">
        <w:t xml:space="preserve">  </w:t>
      </w:r>
      <w:r w:rsidRPr="003F05A8" w:rsidR="00CB5926">
        <w:t xml:space="preserve">We clarify that in the absence of a multi-party dispute, such as where a claimant wishes to appeal a Clearinghouse decision but the 3.7 GHz service licensee(s) responsible for reimbursement of such claims decline to participate, then the claimant can directly appeal the Clearinghouse decision to WTB.  </w:t>
      </w:r>
      <w:r w:rsidRPr="003F05A8" w:rsidR="00F213A9">
        <w:t>M</w:t>
      </w:r>
      <w:r w:rsidRPr="003F05A8" w:rsidR="00CB5926">
        <w:t>ulti</w:t>
      </w:r>
      <w:r w:rsidRPr="003F05A8" w:rsidR="00F213A9">
        <w:t>-</w:t>
      </w:r>
      <w:r w:rsidRPr="003F05A8" w:rsidR="00CB5926">
        <w:t xml:space="preserve">party disputes involving </w:t>
      </w:r>
      <w:r w:rsidRPr="003F05A8" w:rsidR="00F213A9">
        <w:t xml:space="preserve">both </w:t>
      </w:r>
      <w:r w:rsidRPr="003F05A8" w:rsidR="00CB5926">
        <w:t xml:space="preserve">claimants and 3.7 GHz service licensee(s) are subject to </w:t>
      </w:r>
      <w:r w:rsidRPr="003F05A8" w:rsidR="00F213A9">
        <w:t>the mediation and arbitration provisions in section 27.1421(b) of the Commission’s rules.</w:t>
      </w:r>
      <w:r w:rsidR="00F213A9">
        <w:t xml:space="preserve">  </w:t>
      </w:r>
      <w:r w:rsidRPr="000F4725" w:rsidR="00F213A9">
        <w:rPr>
          <w:i/>
          <w:iCs/>
        </w:rPr>
        <w:t>Id</w:t>
      </w:r>
      <w:r w:rsidR="00F213A9">
        <w:t xml:space="preserve">. at </w:t>
      </w:r>
      <w:r w:rsidRPr="00424DDE" w:rsidR="00F213A9">
        <w:t>§ </w:t>
      </w:r>
      <w:r w:rsidR="00F213A9">
        <w:t>27</w:t>
      </w:r>
      <w:r w:rsidRPr="00424DDE" w:rsidR="00F213A9">
        <w:t>.</w:t>
      </w:r>
      <w:r w:rsidR="00F213A9">
        <w:t>1421(b).</w:t>
      </w:r>
      <w:r w:rsidR="00D007A0">
        <w:t xml:space="preserve">  </w:t>
      </w:r>
      <w:r w:rsidR="00D007A0">
        <w:rPr>
          <w:i/>
          <w:iCs/>
        </w:rPr>
        <w:t xml:space="preserve">See </w:t>
      </w:r>
      <w:r w:rsidR="00795D40">
        <w:t xml:space="preserve">47 CFR § 27.1412 (h); </w:t>
      </w:r>
      <w:r w:rsidR="00E631E0">
        <w:rPr>
          <w:i/>
          <w:iCs/>
        </w:rPr>
        <w:t>s</w:t>
      </w:r>
      <w:r w:rsidR="00795D40">
        <w:rPr>
          <w:i/>
          <w:iCs/>
        </w:rPr>
        <w:t xml:space="preserve">ee </w:t>
      </w:r>
      <w:r w:rsidR="00D007A0">
        <w:rPr>
          <w:i/>
          <w:iCs/>
        </w:rPr>
        <w:t xml:space="preserve">also </w:t>
      </w:r>
      <w:r w:rsidRPr="00C1164E" w:rsidR="00D007A0">
        <w:rPr>
          <w:i/>
          <w:iCs/>
        </w:rPr>
        <w:t>Expanding Flexible Use of the 3.7 to 4.2 GHz Band</w:t>
      </w:r>
      <w:r w:rsidRPr="00C1164E" w:rsidR="00D007A0">
        <w:t>, Report and Order and Proposed Modification, 35 FCC Rcd, 2343,</w:t>
      </w:r>
      <w:r w:rsidR="00D007A0">
        <w:t xml:space="preserve"> 244</w:t>
      </w:r>
      <w:r w:rsidR="00795D40">
        <w:t>8</w:t>
      </w:r>
      <w:r w:rsidR="00D007A0">
        <w:t>, para. 26</w:t>
      </w:r>
      <w:r w:rsidR="00795D40">
        <w:t>2</w:t>
      </w:r>
      <w:r w:rsidR="00D007A0">
        <w:t xml:space="preserve"> (2020) (</w:t>
      </w:r>
      <w:r w:rsidR="00D007A0">
        <w:rPr>
          <w:i/>
          <w:iCs/>
        </w:rPr>
        <w:t>3.7 GHz Report and Order</w:t>
      </w:r>
      <w:r w:rsidR="00D007A0">
        <w:t>)</w:t>
      </w:r>
      <w:r w:rsidR="00795D40">
        <w:t xml:space="preserve"> (directing WTB to “make further determinations related to reimbursable costs, as necessary, throughout the transition process”)</w:t>
      </w:r>
      <w:r w:rsidR="00587EEA">
        <w:t>.</w:t>
      </w:r>
    </w:p>
  </w:footnote>
  <w:footnote w:id="4">
    <w:p w:rsidR="003C2291" w14:paraId="337FAC52" w14:textId="77407CCC">
      <w:pPr>
        <w:pStyle w:val="FootnoteText"/>
      </w:pPr>
      <w:r>
        <w:rPr>
          <w:rStyle w:val="FootnoteReference"/>
        </w:rPr>
        <w:footnoteRef/>
      </w:r>
      <w:r>
        <w:t xml:space="preserve"> </w:t>
      </w:r>
      <w:r w:rsidR="00795D40">
        <w:rPr>
          <w:i/>
          <w:iCs/>
        </w:rPr>
        <w:t xml:space="preserve">3.7 GHz Report and </w:t>
      </w:r>
      <w:r w:rsidRPr="00795D40" w:rsidR="00795D40">
        <w:rPr>
          <w:i/>
          <w:iCs/>
        </w:rPr>
        <w:t>Order</w:t>
      </w:r>
      <w:r w:rsidR="00795D40">
        <w:t xml:space="preserve">, </w:t>
      </w:r>
      <w:r w:rsidRPr="00795D40">
        <w:t>35</w:t>
      </w:r>
      <w:r w:rsidRPr="00C1164E">
        <w:t xml:space="preserve"> FCC Rcd,</w:t>
      </w:r>
      <w:r w:rsidR="00795D40">
        <w:t xml:space="preserve"> at</w:t>
      </w:r>
      <w:r w:rsidRPr="00C1164E">
        <w:t xml:space="preserve"> </w:t>
      </w:r>
      <w:r>
        <w:t>2449, para. 26</w:t>
      </w:r>
      <w:r w:rsidR="00E172B8">
        <w:t>8-</w:t>
      </w:r>
      <w:r>
        <w:t>9</w:t>
      </w:r>
      <w:r w:rsidR="00795D40">
        <w:t xml:space="preserve">; </w:t>
      </w:r>
      <w:r w:rsidRPr="00424DDE" w:rsidR="00E172B8">
        <w:t xml:space="preserve">47 CFR </w:t>
      </w:r>
      <w:r w:rsidRPr="00424DDE" w:rsidR="00633B06">
        <w:t>§ </w:t>
      </w:r>
      <w:r w:rsidR="00633B06">
        <w:t>27</w:t>
      </w:r>
      <w:r w:rsidRPr="00424DDE" w:rsidR="00633B06">
        <w:t>.</w:t>
      </w:r>
      <w:r w:rsidR="00633B06">
        <w:t>1421(b)</w:t>
      </w:r>
      <w:r w:rsidR="00E172B8">
        <w:t>.</w:t>
      </w:r>
    </w:p>
  </w:footnote>
  <w:footnote w:id="5">
    <w:p w:rsidR="00E172B8" w14:paraId="5F11E43B" w14:textId="648EC1B9">
      <w:pPr>
        <w:pStyle w:val="FootnoteText"/>
      </w:pPr>
      <w:r>
        <w:rPr>
          <w:rStyle w:val="FootnoteReference"/>
        </w:rPr>
        <w:footnoteRef/>
      </w:r>
      <w:r>
        <w:t xml:space="preserve"> </w:t>
      </w:r>
      <w:r w:rsidRPr="000F4725">
        <w:rPr>
          <w:i/>
          <w:iCs/>
        </w:rPr>
        <w:t>Id</w:t>
      </w:r>
      <w:r>
        <w:t>.</w:t>
      </w:r>
    </w:p>
  </w:footnote>
  <w:footnote w:id="6">
    <w:p w:rsidR="00633B06" w:rsidRPr="000F4725" w:rsidP="000F4725" w14:paraId="036CC2A4" w14:textId="423F7F48">
      <w:pPr>
        <w:pStyle w:val="Default"/>
        <w:spacing w:after="120"/>
      </w:pPr>
      <w:r>
        <w:rPr>
          <w:rStyle w:val="FootnoteReference"/>
        </w:rPr>
        <w:footnoteRef/>
      </w:r>
      <w:r>
        <w:t xml:space="preserve"> </w:t>
      </w:r>
      <w:r w:rsidRPr="000F4725">
        <w:rPr>
          <w:i/>
          <w:iCs/>
          <w:sz w:val="20"/>
          <w:szCs w:val="20"/>
        </w:rPr>
        <w:t>Id</w:t>
      </w:r>
      <w:r w:rsidRPr="000F4725">
        <w:rPr>
          <w:sz w:val="20"/>
          <w:szCs w:val="20"/>
        </w:rPr>
        <w:t>. (“</w:t>
      </w:r>
      <w:r>
        <w:rPr>
          <w:sz w:val="20"/>
          <w:szCs w:val="20"/>
        </w:rPr>
        <w:t>[T]</w:t>
      </w:r>
      <w:r w:rsidRPr="000F4725">
        <w:rPr>
          <w:sz w:val="20"/>
          <w:szCs w:val="20"/>
        </w:rPr>
        <w:t>he Clearinghouse shall forward the entire record on any disputed issues, including such dispositions thereof that the Clearinghouse has considered. Upon receipt of such record and advice, the Bureau will decide the disputed issues based on the record submitted</w:t>
      </w:r>
      <w:r>
        <w:rPr>
          <w:sz w:val="20"/>
          <w:szCs w:val="20"/>
        </w:rPr>
        <w:t>”).</w:t>
      </w:r>
    </w:p>
  </w:footnote>
  <w:footnote w:id="7">
    <w:p w:rsidR="00E172B8" w14:paraId="5B5AD28A" w14:textId="495E5CD9">
      <w:pPr>
        <w:pStyle w:val="FootnoteText"/>
      </w:pPr>
      <w:r>
        <w:rPr>
          <w:rStyle w:val="FootnoteReference"/>
        </w:rPr>
        <w:footnoteRef/>
      </w:r>
      <w:r>
        <w:t xml:space="preserve"> </w:t>
      </w:r>
      <w:r w:rsidR="00CB5926">
        <w:rPr>
          <w:i/>
          <w:iCs/>
        </w:rPr>
        <w:t>3.7 GHz Report and Order</w:t>
      </w:r>
      <w:r w:rsidRPr="00C1164E" w:rsidR="00CB5926">
        <w:t xml:space="preserve">, 35 FCC Rcd, </w:t>
      </w:r>
      <w:r w:rsidR="00CB5926">
        <w:t xml:space="preserve">at 2449, para. 268-9; </w:t>
      </w:r>
      <w:r w:rsidRPr="00424DDE" w:rsidR="00CB5926">
        <w:t>47 CFR § </w:t>
      </w:r>
      <w:r w:rsidR="00CB5926">
        <w:t>27</w:t>
      </w:r>
      <w:r w:rsidRPr="00424DDE" w:rsidR="00CB5926">
        <w:t>.</w:t>
      </w:r>
      <w:r w:rsidR="00CB5926">
        <w:t>1421(c).</w:t>
      </w:r>
    </w:p>
  </w:footnote>
  <w:footnote w:id="8">
    <w:p w:rsidR="008C38F9" w:rsidP="008C38F9" w14:paraId="61F8CACF" w14:textId="5045D39B">
      <w:pPr>
        <w:pStyle w:val="FootnoteText"/>
      </w:pPr>
      <w:r>
        <w:rPr>
          <w:rStyle w:val="FootnoteReference"/>
        </w:rPr>
        <w:footnoteRef/>
      </w:r>
      <w:r>
        <w:t xml:space="preserve"> 47 CFR § 0.459.  Pursuant to earlier instructions regarding the submission of confidential materials during the COVID-19 pandemic, </w:t>
      </w:r>
      <w:r w:rsidR="00E60873">
        <w:t>filers are</w:t>
      </w:r>
      <w:r>
        <w:t xml:space="preserve"> directed to contact FCC staff for instructions on how to upload unredacted confidential submissions via Box.  A redacted version of the confidential submission should be filed through ECFS in the above-referenced docket.  </w:t>
      </w:r>
      <w:r w:rsidRPr="00E32A2B">
        <w:rPr>
          <w:i/>
          <w:iCs/>
        </w:rPr>
        <w:t>See FCC Provides Further Instructions Regarding Submission of Confidential Materials</w:t>
      </w:r>
      <w:r>
        <w:t>, Public Notice, DA 20-361, 35 FCC Rcd 2973 (2020).</w:t>
      </w:r>
    </w:p>
  </w:footnote>
  <w:footnote w:id="9">
    <w:p w:rsidR="003D2D7F" w:rsidP="003D2D7F" w14:paraId="41D69CDE" w14:textId="77777777">
      <w:pPr>
        <w:pStyle w:val="FootnoteText"/>
      </w:pPr>
      <w:r>
        <w:rPr>
          <w:rStyle w:val="FootnoteReference"/>
        </w:rPr>
        <w:footnoteRef/>
      </w:r>
      <w:r>
        <w:t xml:space="preserve"> </w:t>
      </w:r>
      <w:r>
        <w:rPr>
          <w:i/>
          <w:iCs/>
        </w:rPr>
        <w:t>See</w:t>
      </w:r>
      <w:r>
        <w:t xml:space="preserve"> 47 CFR §§ 1.1206, 1.1200(a).</w:t>
      </w:r>
      <w:r>
        <w:rPr>
          <w:sz w:val="22"/>
          <w:szCs w:val="22"/>
        </w:rPr>
        <w:t xml:space="preserve">  </w:t>
      </w:r>
    </w:p>
  </w:footnote>
  <w:footnote w:id="10">
    <w:p w:rsidR="003D2D7F" w:rsidP="003D2D7F" w14:paraId="614CB79B" w14:textId="77777777">
      <w:pPr>
        <w:pStyle w:val="FootnoteText"/>
      </w:pPr>
      <w:r>
        <w:rPr>
          <w:rStyle w:val="FootnoteReference"/>
        </w:rPr>
        <w:footnoteRef/>
      </w:r>
      <w:r>
        <w:t xml:space="preserve"> </w:t>
      </w:r>
      <w:r>
        <w:rPr>
          <w:i/>
          <w:iCs/>
        </w:rPr>
        <w:t>See</w:t>
      </w:r>
      <w:r>
        <w:t xml:space="preserve"> 47 CFR §§ 1.1200(a), 1.1203.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D9EDCD" w14:textId="7448A6AB">
    <w:pPr>
      <w:tabs>
        <w:tab w:val="center" w:pos="4680"/>
        <w:tab w:val="right" w:pos="9360"/>
      </w:tabs>
    </w:pPr>
    <w:r w:rsidRPr="009838BC">
      <w:rPr>
        <w:b/>
      </w:rPr>
      <w:tab/>
      <w:t>Federal Communications Commission</w:t>
    </w:r>
    <w:r w:rsidRPr="009838BC">
      <w:rPr>
        <w:b/>
      </w:rPr>
      <w:tab/>
    </w:r>
    <w:r w:rsidR="00ED6725">
      <w:rPr>
        <w:b/>
      </w:rPr>
      <w:t>DA 2</w:t>
    </w:r>
    <w:r w:rsidR="0075718F">
      <w:rPr>
        <w:b/>
      </w:rPr>
      <w:t>1</w:t>
    </w:r>
    <w:r w:rsidR="00ED6725">
      <w:rPr>
        <w:b/>
      </w:rPr>
      <w:t>-</w:t>
    </w:r>
    <w:r w:rsidR="00820D76">
      <w:rPr>
        <w:b/>
      </w:rPr>
      <w:t>1014</w:t>
    </w:r>
  </w:p>
  <w:p w:rsidR="009838BC" w:rsidRPr="009838BC" w:rsidP="009838BC" w14:paraId="7484AC2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0CC8C5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E8A1A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r w:rsidR="00D678A5">
                            <w:rPr>
                              <w:rFonts w:ascii="Arial" w:hAnsi="Arial"/>
                              <w:b/>
                            </w:rPr>
                            <w:t xml:space="preserve"> </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08A8EBF" w14:textId="77777777">
                    <w:pPr>
                      <w:rPr>
                        <w:rFonts w:ascii="Arial" w:hAnsi="Arial"/>
                        <w:b/>
                      </w:rPr>
                    </w:pPr>
                    <w:r>
                      <w:rPr>
                        <w:rFonts w:ascii="Arial" w:hAnsi="Arial"/>
                        <w:b/>
                      </w:rPr>
                      <w:t>Federal Communications Commission</w:t>
                    </w:r>
                  </w:p>
                  <w:p w:rsidR="009838BC" w:rsidP="009838BC" w14:paraId="4E92F30D" w14:textId="77777777">
                    <w:pPr>
                      <w:rPr>
                        <w:rFonts w:ascii="Arial" w:hAnsi="Arial"/>
                        <w:b/>
                      </w:rPr>
                    </w:pPr>
                    <w:r>
                      <w:rPr>
                        <w:rFonts w:ascii="Arial" w:hAnsi="Arial"/>
                        <w:b/>
                      </w:rPr>
                      <w:t>45 L St. NE</w:t>
                    </w:r>
                    <w:r w:rsidR="00D678A5">
                      <w:rPr>
                        <w:rFonts w:ascii="Arial" w:hAnsi="Arial"/>
                        <w:b/>
                      </w:rPr>
                      <w:t xml:space="preserve"> </w:t>
                    </w:r>
                  </w:p>
                  <w:p w:rsidR="009838BC" w:rsidP="009838BC" w14:paraId="7683265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68EF0E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FAA0B92" w14:textId="77777777">
                    <w:pPr>
                      <w:spacing w:before="40"/>
                      <w:jc w:val="right"/>
                      <w:rPr>
                        <w:rFonts w:ascii="Arial" w:hAnsi="Arial"/>
                        <w:b/>
                        <w:sz w:val="16"/>
                      </w:rPr>
                    </w:pPr>
                    <w:r>
                      <w:rPr>
                        <w:rFonts w:ascii="Arial" w:hAnsi="Arial"/>
                        <w:b/>
                        <w:sz w:val="16"/>
                      </w:rPr>
                      <w:t>News Media Information 202 / 418-0500</w:t>
                    </w:r>
                  </w:p>
                  <w:p w:rsidR="009838BC" w:rsidP="009838BC" w14:paraId="298AA02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62FCAC5" w14:textId="77777777">
                    <w:pPr>
                      <w:jc w:val="right"/>
                    </w:pPr>
                    <w:r>
                      <w:rPr>
                        <w:rFonts w:ascii="Arial" w:hAnsi="Arial"/>
                        <w:b/>
                        <w:sz w:val="16"/>
                      </w:rPr>
                      <w:t>TTY: 1-888-835-5322</w:t>
                    </w:r>
                  </w:p>
                </w:txbxContent>
              </v:textbox>
            </v:shape>
          </w:pict>
        </mc:Fallback>
      </mc:AlternateContent>
    </w:r>
  </w:p>
  <w:p w:rsidR="006F7393" w:rsidRPr="009838BC" w:rsidP="009838BC" w14:paraId="44BC37A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6757"/>
    <w:rsid w:val="000072CE"/>
    <w:rsid w:val="00013A8B"/>
    <w:rsid w:val="00021303"/>
    <w:rsid w:val="00021445"/>
    <w:rsid w:val="000335FB"/>
    <w:rsid w:val="00036039"/>
    <w:rsid w:val="00037F90"/>
    <w:rsid w:val="00042E36"/>
    <w:rsid w:val="00050C43"/>
    <w:rsid w:val="00052141"/>
    <w:rsid w:val="000645AE"/>
    <w:rsid w:val="0007037F"/>
    <w:rsid w:val="00084BE5"/>
    <w:rsid w:val="000875BF"/>
    <w:rsid w:val="00096D8C"/>
    <w:rsid w:val="000A34DA"/>
    <w:rsid w:val="000C0B65"/>
    <w:rsid w:val="000C2ABC"/>
    <w:rsid w:val="000E3D42"/>
    <w:rsid w:val="000E5884"/>
    <w:rsid w:val="000F4725"/>
    <w:rsid w:val="00122BD5"/>
    <w:rsid w:val="001311AB"/>
    <w:rsid w:val="0014668A"/>
    <w:rsid w:val="00160500"/>
    <w:rsid w:val="001632E7"/>
    <w:rsid w:val="00180247"/>
    <w:rsid w:val="0018488A"/>
    <w:rsid w:val="001979D9"/>
    <w:rsid w:val="001B0C37"/>
    <w:rsid w:val="001D6BCF"/>
    <w:rsid w:val="001E01CA"/>
    <w:rsid w:val="002060D9"/>
    <w:rsid w:val="00226822"/>
    <w:rsid w:val="00231D53"/>
    <w:rsid w:val="0024234B"/>
    <w:rsid w:val="00247B44"/>
    <w:rsid w:val="002534F8"/>
    <w:rsid w:val="00260594"/>
    <w:rsid w:val="00285017"/>
    <w:rsid w:val="002916D3"/>
    <w:rsid w:val="002A2D2E"/>
    <w:rsid w:val="002A5CC7"/>
    <w:rsid w:val="002E1558"/>
    <w:rsid w:val="00334804"/>
    <w:rsid w:val="00343749"/>
    <w:rsid w:val="00357D50"/>
    <w:rsid w:val="00371979"/>
    <w:rsid w:val="003925DC"/>
    <w:rsid w:val="003B0550"/>
    <w:rsid w:val="003B694F"/>
    <w:rsid w:val="003C2291"/>
    <w:rsid w:val="003C6259"/>
    <w:rsid w:val="003D2D7F"/>
    <w:rsid w:val="003F05A8"/>
    <w:rsid w:val="003F171C"/>
    <w:rsid w:val="003F746C"/>
    <w:rsid w:val="00412FC5"/>
    <w:rsid w:val="00413AA7"/>
    <w:rsid w:val="00422276"/>
    <w:rsid w:val="004242F1"/>
    <w:rsid w:val="00424DDE"/>
    <w:rsid w:val="0044084D"/>
    <w:rsid w:val="00445A00"/>
    <w:rsid w:val="00451B0F"/>
    <w:rsid w:val="00456DCF"/>
    <w:rsid w:val="004579A9"/>
    <w:rsid w:val="0046125F"/>
    <w:rsid w:val="00461B7A"/>
    <w:rsid w:val="0046417C"/>
    <w:rsid w:val="00487524"/>
    <w:rsid w:val="00496106"/>
    <w:rsid w:val="004C12D0"/>
    <w:rsid w:val="004C2EE3"/>
    <w:rsid w:val="004E4A22"/>
    <w:rsid w:val="004E7D6A"/>
    <w:rsid w:val="00507EC8"/>
    <w:rsid w:val="00511968"/>
    <w:rsid w:val="00526349"/>
    <w:rsid w:val="0055004C"/>
    <w:rsid w:val="0055614C"/>
    <w:rsid w:val="0057249C"/>
    <w:rsid w:val="005876A5"/>
    <w:rsid w:val="00587EEA"/>
    <w:rsid w:val="005B4769"/>
    <w:rsid w:val="005D7B07"/>
    <w:rsid w:val="005E4A82"/>
    <w:rsid w:val="005F3EF6"/>
    <w:rsid w:val="00607BA5"/>
    <w:rsid w:val="00616E05"/>
    <w:rsid w:val="00626EB6"/>
    <w:rsid w:val="00633B06"/>
    <w:rsid w:val="006353A3"/>
    <w:rsid w:val="00642850"/>
    <w:rsid w:val="0064484A"/>
    <w:rsid w:val="00645F48"/>
    <w:rsid w:val="00655D03"/>
    <w:rsid w:val="00674778"/>
    <w:rsid w:val="00683F84"/>
    <w:rsid w:val="00694FC8"/>
    <w:rsid w:val="006973B7"/>
    <w:rsid w:val="00697E1F"/>
    <w:rsid w:val="006A6A81"/>
    <w:rsid w:val="006C5ACF"/>
    <w:rsid w:val="006D4604"/>
    <w:rsid w:val="006E26AF"/>
    <w:rsid w:val="006F6D9D"/>
    <w:rsid w:val="006F7393"/>
    <w:rsid w:val="00700465"/>
    <w:rsid w:val="0070224F"/>
    <w:rsid w:val="007058E0"/>
    <w:rsid w:val="0071055D"/>
    <w:rsid w:val="007115F7"/>
    <w:rsid w:val="00711C9A"/>
    <w:rsid w:val="00734764"/>
    <w:rsid w:val="00737934"/>
    <w:rsid w:val="00744994"/>
    <w:rsid w:val="00747A59"/>
    <w:rsid w:val="0075718F"/>
    <w:rsid w:val="00785689"/>
    <w:rsid w:val="00794483"/>
    <w:rsid w:val="00795D40"/>
    <w:rsid w:val="0079754B"/>
    <w:rsid w:val="007A1E6D"/>
    <w:rsid w:val="007C4953"/>
    <w:rsid w:val="007D1493"/>
    <w:rsid w:val="007D4AC5"/>
    <w:rsid w:val="007D710A"/>
    <w:rsid w:val="007F0180"/>
    <w:rsid w:val="00803F43"/>
    <w:rsid w:val="00807799"/>
    <w:rsid w:val="00820D76"/>
    <w:rsid w:val="00822CE0"/>
    <w:rsid w:val="00837C62"/>
    <w:rsid w:val="00841AB1"/>
    <w:rsid w:val="00851C50"/>
    <w:rsid w:val="008748AA"/>
    <w:rsid w:val="008762F4"/>
    <w:rsid w:val="0089203A"/>
    <w:rsid w:val="00897840"/>
    <w:rsid w:val="008B04F1"/>
    <w:rsid w:val="008C22FD"/>
    <w:rsid w:val="008C38F9"/>
    <w:rsid w:val="008D002F"/>
    <w:rsid w:val="008E519F"/>
    <w:rsid w:val="008E5CFF"/>
    <w:rsid w:val="00910F12"/>
    <w:rsid w:val="00926503"/>
    <w:rsid w:val="00930ECF"/>
    <w:rsid w:val="009463EB"/>
    <w:rsid w:val="009636F7"/>
    <w:rsid w:val="00966BE3"/>
    <w:rsid w:val="009838BC"/>
    <w:rsid w:val="009A6592"/>
    <w:rsid w:val="009B1047"/>
    <w:rsid w:val="009B1E98"/>
    <w:rsid w:val="009C1129"/>
    <w:rsid w:val="009D43DE"/>
    <w:rsid w:val="009E260E"/>
    <w:rsid w:val="009E393F"/>
    <w:rsid w:val="00A07EB1"/>
    <w:rsid w:val="00A1003C"/>
    <w:rsid w:val="00A172FA"/>
    <w:rsid w:val="00A45F4F"/>
    <w:rsid w:val="00A600A9"/>
    <w:rsid w:val="00A866AC"/>
    <w:rsid w:val="00AA55B7"/>
    <w:rsid w:val="00AA5B9E"/>
    <w:rsid w:val="00AB2407"/>
    <w:rsid w:val="00AB53DF"/>
    <w:rsid w:val="00AC5C37"/>
    <w:rsid w:val="00AD3169"/>
    <w:rsid w:val="00B07E5C"/>
    <w:rsid w:val="00B20363"/>
    <w:rsid w:val="00B30510"/>
    <w:rsid w:val="00B326E3"/>
    <w:rsid w:val="00B34645"/>
    <w:rsid w:val="00B441E0"/>
    <w:rsid w:val="00B5174C"/>
    <w:rsid w:val="00B565F6"/>
    <w:rsid w:val="00B62389"/>
    <w:rsid w:val="00B65784"/>
    <w:rsid w:val="00B65A7D"/>
    <w:rsid w:val="00B7367F"/>
    <w:rsid w:val="00B743F0"/>
    <w:rsid w:val="00B811F7"/>
    <w:rsid w:val="00BA5DC6"/>
    <w:rsid w:val="00BA6196"/>
    <w:rsid w:val="00BC6C15"/>
    <w:rsid w:val="00BC6D8C"/>
    <w:rsid w:val="00BD6388"/>
    <w:rsid w:val="00BE3DE8"/>
    <w:rsid w:val="00C00EB0"/>
    <w:rsid w:val="00C1164E"/>
    <w:rsid w:val="00C16AF2"/>
    <w:rsid w:val="00C1703D"/>
    <w:rsid w:val="00C33D89"/>
    <w:rsid w:val="00C34006"/>
    <w:rsid w:val="00C426B1"/>
    <w:rsid w:val="00C82B6B"/>
    <w:rsid w:val="00C90D6A"/>
    <w:rsid w:val="00CB5926"/>
    <w:rsid w:val="00CB7ED6"/>
    <w:rsid w:val="00CC72B6"/>
    <w:rsid w:val="00CE76FD"/>
    <w:rsid w:val="00CF448C"/>
    <w:rsid w:val="00D007A0"/>
    <w:rsid w:val="00D0218D"/>
    <w:rsid w:val="00D0412D"/>
    <w:rsid w:val="00D216CD"/>
    <w:rsid w:val="00D3038F"/>
    <w:rsid w:val="00D320AD"/>
    <w:rsid w:val="00D33283"/>
    <w:rsid w:val="00D4645D"/>
    <w:rsid w:val="00D678A5"/>
    <w:rsid w:val="00D831A6"/>
    <w:rsid w:val="00D85E9D"/>
    <w:rsid w:val="00D93DC6"/>
    <w:rsid w:val="00DA2529"/>
    <w:rsid w:val="00DB130A"/>
    <w:rsid w:val="00DC10A1"/>
    <w:rsid w:val="00DC655F"/>
    <w:rsid w:val="00DD28AD"/>
    <w:rsid w:val="00DD7EBD"/>
    <w:rsid w:val="00DF4D8F"/>
    <w:rsid w:val="00DF62B6"/>
    <w:rsid w:val="00E07225"/>
    <w:rsid w:val="00E155A2"/>
    <w:rsid w:val="00E155B7"/>
    <w:rsid w:val="00E172B8"/>
    <w:rsid w:val="00E32A2B"/>
    <w:rsid w:val="00E44867"/>
    <w:rsid w:val="00E5409F"/>
    <w:rsid w:val="00E60873"/>
    <w:rsid w:val="00E631E0"/>
    <w:rsid w:val="00E851E7"/>
    <w:rsid w:val="00E927E2"/>
    <w:rsid w:val="00EA7A9C"/>
    <w:rsid w:val="00EB7053"/>
    <w:rsid w:val="00EC0185"/>
    <w:rsid w:val="00EC7C26"/>
    <w:rsid w:val="00ED6725"/>
    <w:rsid w:val="00ED6988"/>
    <w:rsid w:val="00F021FA"/>
    <w:rsid w:val="00F213A9"/>
    <w:rsid w:val="00F243FB"/>
    <w:rsid w:val="00F41B37"/>
    <w:rsid w:val="00F448CC"/>
    <w:rsid w:val="00F57ACA"/>
    <w:rsid w:val="00F62E97"/>
    <w:rsid w:val="00F64209"/>
    <w:rsid w:val="00F65D6E"/>
    <w:rsid w:val="00F93BF5"/>
    <w:rsid w:val="00F96F63"/>
    <w:rsid w:val="00FB2F64"/>
    <w:rsid w:val="00FC4F85"/>
    <w:rsid w:val="00FD701F"/>
    <w:rsid w:val="00FE557F"/>
    <w:rsid w:val="00FE65DB"/>
    <w:rsid w:val="00FF5F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35A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84"/>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uiPriority w:val="99"/>
    <w:rsid w:val="00803F43"/>
  </w:style>
  <w:style w:type="character" w:customStyle="1" w:styleId="FootnoteTextChar1">
    <w:name w:val="Footnote Text Char1"/>
    <w:aliases w:val="Footnote Text Char Char,Footnote Text Char Char Char Char1 Char Char,Footnote Text Char1 Char Char Char Char,Footnote Text Char2 Char Char Char Char Char Char"/>
    <w:uiPriority w:val="99"/>
    <w:locked/>
    <w:rsid w:val="008E519F"/>
  </w:style>
  <w:style w:type="paragraph" w:styleId="ListParagraph">
    <w:name w:val="List Paragraph"/>
    <w:basedOn w:val="Normal"/>
    <w:uiPriority w:val="34"/>
    <w:qFormat/>
    <w:rsid w:val="008E519F"/>
    <w:pPr>
      <w:widowControl/>
      <w:spacing w:after="160" w:line="259" w:lineRule="auto"/>
      <w:ind w:left="720"/>
      <w:contextualSpacing/>
    </w:pPr>
    <w:rPr>
      <w:rFonts w:ascii="Calibri" w:eastAsia="Calibri" w:hAnsi="Calibri"/>
      <w:snapToGrid/>
      <w:kern w:val="0"/>
      <w:szCs w:val="22"/>
    </w:rPr>
  </w:style>
  <w:style w:type="character" w:customStyle="1" w:styleId="UnresolvedMention1">
    <w:name w:val="Unresolved Mention1"/>
    <w:basedOn w:val="DefaultParagraphFont"/>
    <w:uiPriority w:val="99"/>
    <w:semiHidden/>
    <w:unhideWhenUsed/>
    <w:rsid w:val="008E519F"/>
    <w:rPr>
      <w:color w:val="605E5C"/>
      <w:shd w:val="clear" w:color="auto" w:fill="E1DFDD"/>
    </w:rPr>
  </w:style>
  <w:style w:type="character" w:styleId="CommentReference">
    <w:name w:val="annotation reference"/>
    <w:basedOn w:val="DefaultParagraphFont"/>
    <w:uiPriority w:val="99"/>
    <w:semiHidden/>
    <w:unhideWhenUsed/>
    <w:rsid w:val="008748AA"/>
    <w:rPr>
      <w:sz w:val="16"/>
      <w:szCs w:val="16"/>
    </w:rPr>
  </w:style>
  <w:style w:type="paragraph" w:styleId="CommentText">
    <w:name w:val="annotation text"/>
    <w:basedOn w:val="Normal"/>
    <w:link w:val="CommentTextChar"/>
    <w:uiPriority w:val="99"/>
    <w:semiHidden/>
    <w:unhideWhenUsed/>
    <w:rsid w:val="008748AA"/>
    <w:rPr>
      <w:sz w:val="20"/>
    </w:rPr>
  </w:style>
  <w:style w:type="character" w:customStyle="1" w:styleId="CommentTextChar">
    <w:name w:val="Comment Text Char"/>
    <w:basedOn w:val="DefaultParagraphFont"/>
    <w:link w:val="CommentText"/>
    <w:uiPriority w:val="99"/>
    <w:semiHidden/>
    <w:rsid w:val="008748AA"/>
    <w:rPr>
      <w:snapToGrid w:val="0"/>
      <w:kern w:val="28"/>
    </w:rPr>
  </w:style>
  <w:style w:type="paragraph" w:styleId="CommentSubject">
    <w:name w:val="annotation subject"/>
    <w:basedOn w:val="CommentText"/>
    <w:next w:val="CommentText"/>
    <w:link w:val="CommentSubjectChar"/>
    <w:uiPriority w:val="99"/>
    <w:semiHidden/>
    <w:unhideWhenUsed/>
    <w:rsid w:val="008748AA"/>
    <w:rPr>
      <w:b/>
      <w:bCs/>
    </w:rPr>
  </w:style>
  <w:style w:type="character" w:customStyle="1" w:styleId="CommentSubjectChar">
    <w:name w:val="Comment Subject Char"/>
    <w:basedOn w:val="CommentTextChar"/>
    <w:link w:val="CommentSubject"/>
    <w:uiPriority w:val="99"/>
    <w:semiHidden/>
    <w:rsid w:val="008748AA"/>
    <w:rPr>
      <w:b/>
      <w:bCs/>
      <w:snapToGrid w:val="0"/>
      <w:kern w:val="28"/>
    </w:rPr>
  </w:style>
  <w:style w:type="character" w:customStyle="1" w:styleId="UnresolvedMention2">
    <w:name w:val="Unresolved Mention2"/>
    <w:basedOn w:val="DefaultParagraphFont"/>
    <w:uiPriority w:val="99"/>
    <w:rsid w:val="000C2ABC"/>
    <w:rPr>
      <w:color w:val="605E5C"/>
      <w:shd w:val="clear" w:color="auto" w:fill="E1DFDD"/>
    </w:rPr>
  </w:style>
  <w:style w:type="character" w:customStyle="1" w:styleId="ng-binding">
    <w:name w:val="ng-binding"/>
    <w:basedOn w:val="DefaultParagraphFont"/>
    <w:rsid w:val="000C2ABC"/>
  </w:style>
  <w:style w:type="paragraph" w:customStyle="1" w:styleId="Default">
    <w:name w:val="Default"/>
    <w:rsid w:val="003C22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