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410B8" w:rsidP="00C410B8" w14:paraId="547B9B3D" w14:textId="77777777">
      <w:pPr>
        <w:pStyle w:val="Title"/>
        <w:rPr>
          <w:szCs w:val="22"/>
        </w:rPr>
      </w:pPr>
      <w:r>
        <w:rPr>
          <w:szCs w:val="22"/>
        </w:rPr>
        <w:t>Before the</w:t>
      </w:r>
    </w:p>
    <w:p w:rsidR="00C410B8" w:rsidP="00C410B8" w14:paraId="24FF5000" w14:textId="77777777">
      <w:pPr>
        <w:pStyle w:val="Subtitle"/>
        <w:ind w:firstLine="0"/>
        <w:rPr>
          <w:szCs w:val="22"/>
        </w:rPr>
      </w:pPr>
      <w:r>
        <w:rPr>
          <w:szCs w:val="22"/>
        </w:rPr>
        <w:t>Federal Communications Commission</w:t>
      </w:r>
    </w:p>
    <w:p w:rsidR="00C410B8" w:rsidP="00C410B8" w14:paraId="71ACC57F" w14:textId="77777777">
      <w:pPr>
        <w:jc w:val="center"/>
        <w:rPr>
          <w:b/>
          <w:szCs w:val="22"/>
        </w:rPr>
      </w:pPr>
      <w:r>
        <w:rPr>
          <w:b/>
          <w:szCs w:val="22"/>
        </w:rPr>
        <w:t>Washington, D.C. 20554</w:t>
      </w:r>
    </w:p>
    <w:p w:rsidR="00C410B8" w:rsidP="00C410B8" w14:paraId="0C218D81" w14:textId="77777777">
      <w:pPr>
        <w:tabs>
          <w:tab w:val="left" w:pos="-720"/>
        </w:tabs>
        <w:suppressAutoHyphens/>
        <w:spacing w:line="227" w:lineRule="auto"/>
        <w:rPr>
          <w:spacing w:val="-2"/>
          <w:szCs w:val="22"/>
        </w:rPr>
      </w:pPr>
    </w:p>
    <w:p w:rsidR="00C410B8" w:rsidP="00C410B8" w14:paraId="7E3E44C8" w14:textId="77777777">
      <w:pPr>
        <w:tabs>
          <w:tab w:val="left" w:pos="-720"/>
        </w:tabs>
        <w:suppressAutoHyphens/>
        <w:spacing w:line="227" w:lineRule="auto"/>
        <w:rPr>
          <w:spacing w:val="-2"/>
          <w:szCs w:val="22"/>
        </w:rPr>
      </w:pPr>
    </w:p>
    <w:tbl>
      <w:tblPr>
        <w:tblW w:w="9845" w:type="dxa"/>
        <w:tblLayout w:type="fixed"/>
        <w:tblLook w:val="0000"/>
      </w:tblPr>
      <w:tblGrid>
        <w:gridCol w:w="4590"/>
        <w:gridCol w:w="630"/>
        <w:gridCol w:w="4625"/>
      </w:tblGrid>
      <w:tr w14:paraId="5755A57F" w14:textId="77777777" w:rsidTr="0090386E">
        <w:tblPrEx>
          <w:tblW w:w="9845" w:type="dxa"/>
          <w:tblLayout w:type="fixed"/>
          <w:tblLook w:val="0000"/>
        </w:tblPrEx>
        <w:trPr>
          <w:trHeight w:val="2367"/>
        </w:trPr>
        <w:tc>
          <w:tcPr>
            <w:tcW w:w="4590" w:type="dxa"/>
          </w:tcPr>
          <w:p w:rsidR="00C410B8" w:rsidP="002B27D8" w14:paraId="35E1B254" w14:textId="77777777">
            <w:pPr>
              <w:pStyle w:val="TOAHeading"/>
              <w:tabs>
                <w:tab w:val="center" w:pos="4680"/>
                <w:tab w:val="clear" w:pos="9360"/>
              </w:tabs>
              <w:rPr>
                <w:spacing w:val="-2"/>
                <w:szCs w:val="22"/>
              </w:rPr>
            </w:pPr>
            <w:r>
              <w:rPr>
                <w:spacing w:val="-2"/>
                <w:szCs w:val="22"/>
              </w:rPr>
              <w:t>In the Matter of</w:t>
            </w:r>
          </w:p>
          <w:p w:rsidR="00C410B8" w:rsidP="002B27D8" w14:paraId="2E831C28" w14:textId="77777777">
            <w:pPr>
              <w:pStyle w:val="TOAHeading"/>
              <w:tabs>
                <w:tab w:val="center" w:pos="4680"/>
                <w:tab w:val="clear" w:pos="9360"/>
              </w:tabs>
              <w:rPr>
                <w:spacing w:val="-2"/>
                <w:szCs w:val="22"/>
              </w:rPr>
            </w:pPr>
          </w:p>
          <w:p w:rsidR="00C410B8" w:rsidP="002B27D8" w14:paraId="76DBE3A0" w14:textId="77777777">
            <w:pPr>
              <w:pStyle w:val="TOAHeading"/>
              <w:tabs>
                <w:tab w:val="center" w:pos="4680"/>
                <w:tab w:val="clear" w:pos="9360"/>
              </w:tabs>
              <w:rPr>
                <w:szCs w:val="22"/>
              </w:rPr>
            </w:pPr>
            <w:r>
              <w:rPr>
                <w:spacing w:val="-2"/>
                <w:szCs w:val="22"/>
              </w:rPr>
              <w:t>Telplex</w:t>
            </w:r>
            <w:r w:rsidR="00CA26D2">
              <w:rPr>
                <w:spacing w:val="-2"/>
                <w:szCs w:val="22"/>
              </w:rPr>
              <w:t xml:space="preserve"> Communications</w:t>
            </w:r>
          </w:p>
          <w:p w:rsidR="00C410B8" w:rsidP="002B27D8" w14:paraId="6CB85AB2" w14:textId="77777777">
            <w:pPr>
              <w:tabs>
                <w:tab w:val="center" w:pos="4680"/>
              </w:tabs>
              <w:suppressAutoHyphens/>
              <w:ind w:firstLine="720"/>
              <w:rPr>
                <w:szCs w:val="22"/>
              </w:rPr>
            </w:pPr>
          </w:p>
          <w:p w:rsidR="00C410B8" w:rsidP="002B27D8" w14:paraId="777C5C51" w14:textId="77777777">
            <w:pPr>
              <w:pStyle w:val="TOAHeading"/>
              <w:tabs>
                <w:tab w:val="center" w:pos="4680"/>
                <w:tab w:val="clear" w:pos="9360"/>
              </w:tabs>
              <w:rPr>
                <w:szCs w:val="22"/>
              </w:rPr>
            </w:pPr>
            <w:r>
              <w:rPr>
                <w:szCs w:val="22"/>
              </w:rPr>
              <w:t xml:space="preserve">Complaint Regarding </w:t>
            </w:r>
          </w:p>
          <w:p w:rsidR="00C410B8" w:rsidP="002B27D8" w14:paraId="78EE80CA" w14:textId="77777777">
            <w:pPr>
              <w:pStyle w:val="TOAHeading"/>
              <w:tabs>
                <w:tab w:val="center" w:pos="4680"/>
                <w:tab w:val="clear" w:pos="9360"/>
              </w:tabs>
              <w:rPr>
                <w:szCs w:val="22"/>
              </w:rPr>
            </w:pPr>
            <w:r>
              <w:rPr>
                <w:szCs w:val="22"/>
              </w:rPr>
              <w:t>Unauthorized Change of</w:t>
            </w:r>
          </w:p>
          <w:p w:rsidR="00C410B8" w:rsidP="002B27D8" w14:paraId="70CFBED7" w14:textId="77777777">
            <w:pPr>
              <w:pStyle w:val="TOAHeading"/>
              <w:tabs>
                <w:tab w:val="center" w:pos="4680"/>
                <w:tab w:val="clear" w:pos="9360"/>
              </w:tabs>
              <w:rPr>
                <w:szCs w:val="22"/>
              </w:rPr>
            </w:pPr>
            <w:r>
              <w:rPr>
                <w:szCs w:val="22"/>
              </w:rPr>
              <w:t>Subscriber’s Telecommunications Carrier</w:t>
            </w:r>
          </w:p>
        </w:tc>
        <w:tc>
          <w:tcPr>
            <w:tcW w:w="630" w:type="dxa"/>
          </w:tcPr>
          <w:p w:rsidR="00C410B8" w:rsidP="002B27D8" w14:paraId="6CD928E0" w14:textId="77777777">
            <w:pPr>
              <w:tabs>
                <w:tab w:val="center" w:pos="4680"/>
              </w:tabs>
              <w:suppressAutoHyphens/>
              <w:rPr>
                <w:b/>
                <w:spacing w:val="-2"/>
                <w:szCs w:val="22"/>
              </w:rPr>
            </w:pPr>
            <w:r>
              <w:rPr>
                <w:b/>
                <w:spacing w:val="-2"/>
                <w:szCs w:val="22"/>
              </w:rPr>
              <w:t>)</w:t>
            </w:r>
          </w:p>
          <w:p w:rsidR="00C410B8" w:rsidP="002B27D8" w14:paraId="6202136E" w14:textId="77777777">
            <w:pPr>
              <w:tabs>
                <w:tab w:val="center" w:pos="4680"/>
              </w:tabs>
              <w:suppressAutoHyphens/>
              <w:rPr>
                <w:b/>
                <w:spacing w:val="-2"/>
                <w:szCs w:val="22"/>
              </w:rPr>
            </w:pPr>
            <w:r>
              <w:rPr>
                <w:b/>
                <w:spacing w:val="-2"/>
                <w:szCs w:val="22"/>
              </w:rPr>
              <w:t>)</w:t>
            </w:r>
          </w:p>
          <w:p w:rsidR="00C410B8" w:rsidP="002B27D8" w14:paraId="04B05F1F" w14:textId="77777777">
            <w:pPr>
              <w:tabs>
                <w:tab w:val="center" w:pos="4680"/>
              </w:tabs>
              <w:suppressAutoHyphens/>
              <w:rPr>
                <w:b/>
                <w:spacing w:val="-2"/>
                <w:szCs w:val="22"/>
              </w:rPr>
            </w:pPr>
            <w:r>
              <w:rPr>
                <w:b/>
                <w:spacing w:val="-2"/>
                <w:szCs w:val="22"/>
              </w:rPr>
              <w:t>)</w:t>
            </w:r>
          </w:p>
          <w:p w:rsidR="00C410B8" w:rsidP="002B27D8" w14:paraId="7D3DDAE9" w14:textId="77777777">
            <w:pPr>
              <w:tabs>
                <w:tab w:val="center" w:pos="4680"/>
              </w:tabs>
              <w:suppressAutoHyphens/>
              <w:rPr>
                <w:b/>
                <w:spacing w:val="-2"/>
                <w:szCs w:val="22"/>
              </w:rPr>
            </w:pPr>
            <w:r>
              <w:rPr>
                <w:b/>
                <w:spacing w:val="-2"/>
                <w:szCs w:val="22"/>
              </w:rPr>
              <w:t>)</w:t>
            </w:r>
          </w:p>
          <w:p w:rsidR="00C410B8" w:rsidP="002B27D8" w14:paraId="490414C1" w14:textId="77777777">
            <w:pPr>
              <w:tabs>
                <w:tab w:val="center" w:pos="4680"/>
              </w:tabs>
              <w:suppressAutoHyphens/>
              <w:rPr>
                <w:b/>
                <w:spacing w:val="-2"/>
                <w:szCs w:val="22"/>
              </w:rPr>
            </w:pPr>
            <w:r>
              <w:rPr>
                <w:b/>
                <w:spacing w:val="-2"/>
                <w:szCs w:val="22"/>
              </w:rPr>
              <w:t>)</w:t>
            </w:r>
          </w:p>
          <w:p w:rsidR="00C410B8" w:rsidP="002B27D8" w14:paraId="3C9D108C" w14:textId="77777777">
            <w:pPr>
              <w:tabs>
                <w:tab w:val="center" w:pos="4680"/>
              </w:tabs>
              <w:suppressAutoHyphens/>
              <w:rPr>
                <w:b/>
                <w:spacing w:val="-2"/>
                <w:szCs w:val="22"/>
              </w:rPr>
            </w:pPr>
            <w:r>
              <w:rPr>
                <w:b/>
                <w:spacing w:val="-2"/>
                <w:szCs w:val="22"/>
              </w:rPr>
              <w:t xml:space="preserve">)                              </w:t>
            </w:r>
          </w:p>
          <w:p w:rsidR="00C410B8" w:rsidRPr="00CA26D2" w:rsidP="002B27D8" w14:paraId="70909BEE" w14:textId="77777777">
            <w:pPr>
              <w:tabs>
                <w:tab w:val="center" w:pos="4680"/>
              </w:tabs>
              <w:suppressAutoHyphens/>
              <w:rPr>
                <w:b/>
                <w:spacing w:val="-2"/>
                <w:szCs w:val="22"/>
              </w:rPr>
            </w:pPr>
            <w:r>
              <w:rPr>
                <w:b/>
                <w:spacing w:val="-2"/>
                <w:szCs w:val="22"/>
              </w:rPr>
              <w:t>)</w:t>
            </w:r>
          </w:p>
        </w:tc>
        <w:tc>
          <w:tcPr>
            <w:tcW w:w="4625" w:type="dxa"/>
          </w:tcPr>
          <w:p w:rsidR="00C410B8" w:rsidP="002B27D8" w14:paraId="76BAE7D4" w14:textId="77777777">
            <w:pPr>
              <w:tabs>
                <w:tab w:val="center" w:pos="4680"/>
              </w:tabs>
              <w:suppressAutoHyphens/>
              <w:rPr>
                <w:spacing w:val="-2"/>
                <w:szCs w:val="22"/>
              </w:rPr>
            </w:pPr>
          </w:p>
          <w:p w:rsidR="00C410B8" w:rsidP="002B27D8" w14:paraId="7B5C9F48" w14:textId="77777777">
            <w:pPr>
              <w:pStyle w:val="TOAHeading"/>
              <w:tabs>
                <w:tab w:val="center" w:pos="4680"/>
                <w:tab w:val="clear" w:pos="9360"/>
              </w:tabs>
              <w:rPr>
                <w:spacing w:val="-2"/>
                <w:szCs w:val="22"/>
              </w:rPr>
            </w:pPr>
          </w:p>
          <w:p w:rsidR="00CA26D2" w:rsidRPr="004F4375" w:rsidP="004F4375" w14:paraId="2B578352" w14:textId="77777777">
            <w:pPr>
              <w:pStyle w:val="TOAHeading"/>
              <w:tabs>
                <w:tab w:val="center" w:pos="4680"/>
                <w:tab w:val="clear" w:pos="9360"/>
              </w:tabs>
              <w:rPr>
                <w:spacing w:val="-2"/>
                <w:szCs w:val="22"/>
              </w:rPr>
            </w:pPr>
            <w:r>
              <w:rPr>
                <w:spacing w:val="-2"/>
                <w:szCs w:val="22"/>
              </w:rPr>
              <w:t xml:space="preserve">Complaint No. </w:t>
            </w:r>
            <w:r w:rsidR="004F4375">
              <w:rPr>
                <w:spacing w:val="-2"/>
                <w:szCs w:val="22"/>
              </w:rPr>
              <w:t>2830631</w:t>
            </w:r>
          </w:p>
        </w:tc>
      </w:tr>
    </w:tbl>
    <w:p w:rsidR="00C410B8" w:rsidP="00EE3A26" w14:paraId="0BBAE8A2" w14:textId="7D10B286">
      <w:pPr>
        <w:jc w:val="center"/>
        <w:rPr>
          <w:b/>
          <w:szCs w:val="22"/>
        </w:rPr>
      </w:pPr>
      <w:r>
        <w:rPr>
          <w:b/>
          <w:szCs w:val="22"/>
        </w:rPr>
        <w:t>ORDER</w:t>
      </w:r>
    </w:p>
    <w:p w:rsidR="00C410B8" w:rsidP="00C410B8" w14:paraId="1C7B4D1F" w14:textId="77777777">
      <w:pPr>
        <w:tabs>
          <w:tab w:val="left" w:pos="432"/>
        </w:tabs>
        <w:ind w:firstLine="72"/>
        <w:rPr>
          <w:szCs w:val="22"/>
        </w:rPr>
      </w:pPr>
    </w:p>
    <w:p w:rsidR="00C410B8" w:rsidP="00031A2B" w14:paraId="414A4F91" w14:textId="2CD77F85">
      <w:pPr>
        <w:tabs>
          <w:tab w:val="left" w:pos="0"/>
          <w:tab w:val="left" w:pos="6840"/>
        </w:tabs>
        <w:suppressAutoHyphens/>
        <w:spacing w:line="227" w:lineRule="auto"/>
        <w:rPr>
          <w:spacing w:val="-2"/>
          <w:szCs w:val="22"/>
        </w:rPr>
      </w:pPr>
      <w:r>
        <w:rPr>
          <w:b/>
          <w:spacing w:val="-2"/>
          <w:szCs w:val="22"/>
        </w:rPr>
        <w:t xml:space="preserve">Adopted:  </w:t>
      </w:r>
      <w:r w:rsidR="00031A2B">
        <w:rPr>
          <w:b/>
          <w:spacing w:val="-2"/>
          <w:szCs w:val="22"/>
        </w:rPr>
        <w:t>August 18</w:t>
      </w:r>
      <w:r>
        <w:rPr>
          <w:b/>
          <w:spacing w:val="-2"/>
          <w:szCs w:val="22"/>
        </w:rPr>
        <w:t>, 20</w:t>
      </w:r>
      <w:r w:rsidR="00EA05E8">
        <w:rPr>
          <w:b/>
          <w:spacing w:val="-2"/>
          <w:szCs w:val="22"/>
        </w:rPr>
        <w:t>2</w:t>
      </w:r>
      <w:r w:rsidR="000A481B">
        <w:rPr>
          <w:b/>
          <w:spacing w:val="-2"/>
          <w:szCs w:val="22"/>
        </w:rPr>
        <w:t>1</w:t>
      </w:r>
      <w:r>
        <w:rPr>
          <w:b/>
          <w:spacing w:val="-2"/>
          <w:szCs w:val="22"/>
        </w:rPr>
        <w:tab/>
        <w:t xml:space="preserve">Released: </w:t>
      </w:r>
      <w:r w:rsidR="00031A2B">
        <w:rPr>
          <w:b/>
          <w:spacing w:val="-2"/>
          <w:szCs w:val="22"/>
        </w:rPr>
        <w:t xml:space="preserve">August </w:t>
      </w:r>
      <w:r w:rsidR="00132489">
        <w:rPr>
          <w:b/>
          <w:spacing w:val="-2"/>
          <w:szCs w:val="22"/>
        </w:rPr>
        <w:t>19</w:t>
      </w:r>
      <w:r>
        <w:rPr>
          <w:b/>
          <w:spacing w:val="-2"/>
          <w:szCs w:val="22"/>
        </w:rPr>
        <w:t>, 20</w:t>
      </w:r>
      <w:r w:rsidR="00EA05E8">
        <w:rPr>
          <w:b/>
          <w:spacing w:val="-2"/>
          <w:szCs w:val="22"/>
        </w:rPr>
        <w:t>2</w:t>
      </w:r>
      <w:r w:rsidR="000A481B">
        <w:rPr>
          <w:b/>
          <w:spacing w:val="-2"/>
          <w:szCs w:val="22"/>
        </w:rPr>
        <w:t>1</w:t>
      </w:r>
    </w:p>
    <w:p w:rsidR="00C410B8" w:rsidP="00C410B8" w14:paraId="5ADB3515" w14:textId="77777777">
      <w:pPr>
        <w:rPr>
          <w:szCs w:val="22"/>
        </w:rPr>
      </w:pPr>
    </w:p>
    <w:p w:rsidR="00C410B8" w:rsidP="00CA26D2" w14:paraId="26904471" w14:textId="77777777">
      <w:pPr>
        <w:spacing w:after="120"/>
        <w:rPr>
          <w:szCs w:val="22"/>
        </w:rPr>
      </w:pPr>
      <w:r>
        <w:rPr>
          <w:szCs w:val="22"/>
        </w:rPr>
        <w:t>By the Deputy Chief, Consumer and Governmental Affairs Bureau:</w:t>
      </w:r>
    </w:p>
    <w:p w:rsidR="00C410B8" w:rsidRPr="00CA26D2" w:rsidP="000A481B" w14:paraId="079E666A" w14:textId="77777777">
      <w:pPr>
        <w:numPr>
          <w:ilvl w:val="0"/>
          <w:numId w:val="9"/>
        </w:numPr>
        <w:tabs>
          <w:tab w:val="num" w:pos="720"/>
          <w:tab w:val="clear" w:pos="1080"/>
        </w:tabs>
        <w:spacing w:after="120"/>
        <w:ind w:left="720"/>
        <w:jc w:val="both"/>
        <w:rPr>
          <w:b/>
          <w:szCs w:val="22"/>
        </w:rPr>
      </w:pPr>
      <w:r>
        <w:rPr>
          <w:b/>
          <w:szCs w:val="22"/>
        </w:rPr>
        <w:t>INTRODUCTION</w:t>
      </w:r>
    </w:p>
    <w:p w:rsidR="000A481B" w:rsidRPr="00761ABF" w:rsidP="000A481B" w14:paraId="62CBAF4C" w14:textId="7DB39604">
      <w:pPr>
        <w:numPr>
          <w:ilvl w:val="0"/>
          <w:numId w:val="7"/>
        </w:numPr>
        <w:spacing w:after="120"/>
        <w:ind w:left="0" w:firstLine="720"/>
        <w:rPr>
          <w:szCs w:val="22"/>
        </w:rPr>
      </w:pPr>
      <w:r w:rsidRPr="00142D97">
        <w:t>Section 258 of the Communications Act of 1934, as amended</w:t>
      </w:r>
      <w:r>
        <w:t xml:space="preserve"> (the Act),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3"/>
      </w:r>
      <w:r w:rsidRPr="00142D97">
        <w:t xml:space="preserve">  The </w:t>
      </w:r>
      <w:r>
        <w:t xml:space="preserve">Commission’s implementing </w:t>
      </w:r>
      <w:r w:rsidRPr="00142D97">
        <w:t xml:space="preserve">rules require, among other things, that a carrier </w:t>
      </w:r>
      <w:r>
        <w:t>obtain</w:t>
      </w:r>
      <w:r w:rsidRPr="00142D97">
        <w:t xml:space="preserve"> subscriber </w:t>
      </w:r>
      <w:r>
        <w:t>authorization and follow specific verification procedures</w:t>
      </w:r>
      <w:r w:rsidRPr="00142D97">
        <w:t xml:space="preserve"> before a carrier change may occur.</w:t>
      </w:r>
      <w:r>
        <w:rPr>
          <w:rStyle w:val="FootnoteReference"/>
        </w:rPr>
        <w:footnoteReference w:id="4"/>
      </w:r>
      <w:r w:rsidRPr="00142D97">
        <w:t xml:space="preserve">  </w:t>
      </w:r>
      <w:r w:rsidR="000B7DF6">
        <w:rPr>
          <w:szCs w:val="22"/>
        </w:rPr>
        <w:t>In response to a consumer’s slamming complaint, t</w:t>
      </w:r>
      <w:r w:rsidR="008E64E4">
        <w:rPr>
          <w:szCs w:val="22"/>
        </w:rPr>
        <w:t xml:space="preserve">he carrier must submit proof of authorization </w:t>
      </w:r>
      <w:r w:rsidR="000C7E97">
        <w:rPr>
          <w:szCs w:val="22"/>
        </w:rPr>
        <w:t>for</w:t>
      </w:r>
      <w:r w:rsidR="000B7DF6">
        <w:rPr>
          <w:szCs w:val="22"/>
        </w:rPr>
        <w:t xml:space="preserve"> the carrier change </w:t>
      </w:r>
      <w:r w:rsidR="00071DFE">
        <w:rPr>
          <w:szCs w:val="22"/>
        </w:rPr>
        <w:t xml:space="preserve">to the Commission </w:t>
      </w:r>
      <w:r w:rsidR="008E64E4">
        <w:rPr>
          <w:szCs w:val="22"/>
        </w:rPr>
        <w:t>within 30 days.</w:t>
      </w:r>
      <w:r>
        <w:rPr>
          <w:rStyle w:val="FootnoteReference"/>
          <w:szCs w:val="22"/>
        </w:rPr>
        <w:footnoteReference w:id="5"/>
      </w:r>
    </w:p>
    <w:p w:rsidR="00CA26D2" w:rsidRPr="00CA26D2" w:rsidP="00CA26D2" w14:paraId="3B10D8B1" w14:textId="7FF11DFB">
      <w:pPr>
        <w:widowControl/>
        <w:numPr>
          <w:ilvl w:val="0"/>
          <w:numId w:val="7"/>
        </w:numPr>
        <w:tabs>
          <w:tab w:val="num" w:pos="0"/>
          <w:tab w:val="left" w:pos="1440"/>
        </w:tabs>
        <w:spacing w:after="120"/>
        <w:ind w:left="0" w:firstLine="720"/>
        <w:rPr>
          <w:szCs w:val="22"/>
        </w:rPr>
      </w:pPr>
      <w:r>
        <w:rPr>
          <w:szCs w:val="22"/>
        </w:rPr>
        <w:t>Telplex</w:t>
      </w:r>
      <w:r>
        <w:rPr>
          <w:szCs w:val="22"/>
        </w:rPr>
        <w:t xml:space="preserve"> Communications</w:t>
      </w:r>
      <w:r w:rsidR="00C410B8">
        <w:rPr>
          <w:szCs w:val="22"/>
        </w:rPr>
        <w:t xml:space="preserve"> (</w:t>
      </w:r>
      <w:r>
        <w:rPr>
          <w:szCs w:val="22"/>
        </w:rPr>
        <w:t>Telplex</w:t>
      </w:r>
      <w:r w:rsidR="00C410B8">
        <w:rPr>
          <w:szCs w:val="22"/>
        </w:rPr>
        <w:t>)</w:t>
      </w:r>
      <w:r w:rsidR="00761ABF">
        <w:rPr>
          <w:szCs w:val="22"/>
        </w:rPr>
        <w:t xml:space="preserve">, a long distance </w:t>
      </w:r>
      <w:r w:rsidR="007378B3">
        <w:rPr>
          <w:szCs w:val="22"/>
        </w:rPr>
        <w:t>carrier</w:t>
      </w:r>
      <w:r w:rsidR="00761ABF">
        <w:rPr>
          <w:szCs w:val="22"/>
        </w:rPr>
        <w:t>, filed a petition for reconsideration</w:t>
      </w:r>
      <w:r w:rsidR="00C410B8">
        <w:rPr>
          <w:szCs w:val="22"/>
        </w:rPr>
        <w:t xml:space="preserve"> asking us to reconsider </w:t>
      </w:r>
      <w:r w:rsidR="00573B04">
        <w:rPr>
          <w:szCs w:val="22"/>
        </w:rPr>
        <w:t xml:space="preserve">a </w:t>
      </w:r>
      <w:r w:rsidR="00C410B8">
        <w:rPr>
          <w:szCs w:val="22"/>
        </w:rPr>
        <w:t>Consumer Policy Division (</w:t>
      </w:r>
      <w:r w:rsidRPr="00D10985" w:rsidR="00C410B8">
        <w:rPr>
          <w:szCs w:val="22"/>
        </w:rPr>
        <w:t>Division</w:t>
      </w:r>
      <w:r w:rsidRPr="00063E91" w:rsidR="00C410B8">
        <w:rPr>
          <w:szCs w:val="22"/>
        </w:rPr>
        <w:t>) order finding</w:t>
      </w:r>
      <w:r w:rsidR="00C410B8">
        <w:rPr>
          <w:szCs w:val="22"/>
        </w:rPr>
        <w:t xml:space="preserve"> that </w:t>
      </w:r>
      <w:r>
        <w:rPr>
          <w:szCs w:val="22"/>
        </w:rPr>
        <w:t>Telplex</w:t>
      </w:r>
      <w:r w:rsidR="00C410B8">
        <w:rPr>
          <w:szCs w:val="22"/>
        </w:rPr>
        <w:t xml:space="preserve"> changed </w:t>
      </w:r>
      <w:r w:rsidR="00761ABF">
        <w:rPr>
          <w:szCs w:val="22"/>
        </w:rPr>
        <w:t>a consumer’s</w:t>
      </w:r>
      <w:r w:rsidR="00C410B8">
        <w:rPr>
          <w:szCs w:val="22"/>
        </w:rPr>
        <w:t xml:space="preserve"> </w:t>
      </w:r>
      <w:r w:rsidR="009A05C9">
        <w:rPr>
          <w:szCs w:val="22"/>
        </w:rPr>
        <w:t>carrier</w:t>
      </w:r>
      <w:r w:rsidR="00C410B8">
        <w:rPr>
          <w:szCs w:val="22"/>
        </w:rPr>
        <w:t xml:space="preserve"> without </w:t>
      </w:r>
      <w:r w:rsidR="00761ABF">
        <w:rPr>
          <w:szCs w:val="22"/>
        </w:rPr>
        <w:t>proper</w:t>
      </w:r>
      <w:r w:rsidR="00634D78">
        <w:rPr>
          <w:szCs w:val="22"/>
        </w:rPr>
        <w:t xml:space="preserve"> </w:t>
      </w:r>
      <w:r w:rsidR="00C410B8">
        <w:rPr>
          <w:szCs w:val="22"/>
        </w:rPr>
        <w:t xml:space="preserve">authorization </w:t>
      </w:r>
      <w:r w:rsidR="00761ABF">
        <w:rPr>
          <w:szCs w:val="22"/>
        </w:rPr>
        <w:t xml:space="preserve">verified in accordance with </w:t>
      </w:r>
      <w:r w:rsidR="00C410B8">
        <w:rPr>
          <w:szCs w:val="22"/>
        </w:rPr>
        <w:t>the Commission’s</w:t>
      </w:r>
      <w:r w:rsidR="007E0B29">
        <w:rPr>
          <w:szCs w:val="22"/>
        </w:rPr>
        <w:t xml:space="preserve"> </w:t>
      </w:r>
      <w:r w:rsidR="00761ABF">
        <w:rPr>
          <w:szCs w:val="22"/>
        </w:rPr>
        <w:t xml:space="preserve">slamming </w:t>
      </w:r>
      <w:r w:rsidR="00C410B8">
        <w:rPr>
          <w:szCs w:val="22"/>
        </w:rPr>
        <w:t>rules.</w:t>
      </w:r>
      <w:r>
        <w:rPr>
          <w:rStyle w:val="FootnoteReference"/>
          <w:szCs w:val="22"/>
        </w:rPr>
        <w:footnoteReference w:id="6"/>
      </w:r>
      <w:r w:rsidR="00050B25">
        <w:rPr>
          <w:szCs w:val="22"/>
        </w:rPr>
        <w:t xml:space="preserve">  </w:t>
      </w:r>
      <w:r w:rsidR="00786D12">
        <w:rPr>
          <w:szCs w:val="22"/>
        </w:rPr>
        <w:t>Under the spec</w:t>
      </w:r>
      <w:r w:rsidR="003C4BEA">
        <w:rPr>
          <w:szCs w:val="22"/>
        </w:rPr>
        <w:t>ial</w:t>
      </w:r>
      <w:r w:rsidR="00786D12">
        <w:rPr>
          <w:szCs w:val="22"/>
        </w:rPr>
        <w:t xml:space="preserve"> circumstances </w:t>
      </w:r>
      <w:r w:rsidR="00240EFA">
        <w:rPr>
          <w:szCs w:val="22"/>
        </w:rPr>
        <w:t xml:space="preserve">of this case </w:t>
      </w:r>
      <w:r w:rsidR="00A97D58">
        <w:rPr>
          <w:szCs w:val="22"/>
        </w:rPr>
        <w:t xml:space="preserve">and </w:t>
      </w:r>
      <w:r w:rsidR="00240EFA">
        <w:rPr>
          <w:szCs w:val="22"/>
        </w:rPr>
        <w:t xml:space="preserve">for the reasons </w:t>
      </w:r>
      <w:r w:rsidR="008B5C1B">
        <w:rPr>
          <w:szCs w:val="22"/>
        </w:rPr>
        <w:t>set forth be</w:t>
      </w:r>
      <w:r w:rsidR="00786D12">
        <w:rPr>
          <w:szCs w:val="22"/>
        </w:rPr>
        <w:t>low</w:t>
      </w:r>
      <w:r w:rsidR="008B5C1B">
        <w:rPr>
          <w:szCs w:val="22"/>
        </w:rPr>
        <w:t xml:space="preserve">, </w:t>
      </w:r>
      <w:r w:rsidR="00C410B8">
        <w:rPr>
          <w:szCs w:val="22"/>
        </w:rPr>
        <w:t xml:space="preserve">we </w:t>
      </w:r>
      <w:r w:rsidR="009727C0">
        <w:rPr>
          <w:szCs w:val="22"/>
        </w:rPr>
        <w:t>waive</w:t>
      </w:r>
      <w:r w:rsidR="008B5C1B">
        <w:rPr>
          <w:szCs w:val="22"/>
        </w:rPr>
        <w:t xml:space="preserve"> on our own motion</w:t>
      </w:r>
      <w:r w:rsidR="009727C0">
        <w:rPr>
          <w:szCs w:val="22"/>
        </w:rPr>
        <w:t xml:space="preserve"> </w:t>
      </w:r>
      <w:r w:rsidR="003324D0">
        <w:rPr>
          <w:szCs w:val="22"/>
        </w:rPr>
        <w:t>section 64.1150</w:t>
      </w:r>
      <w:r w:rsidR="00166F9A">
        <w:rPr>
          <w:szCs w:val="22"/>
        </w:rPr>
        <w:t>(d)</w:t>
      </w:r>
      <w:r w:rsidR="003324D0">
        <w:rPr>
          <w:szCs w:val="22"/>
        </w:rPr>
        <w:t xml:space="preserve"> of the Commission’s rules, under which </w:t>
      </w:r>
      <w:r w:rsidR="008E64E4">
        <w:rPr>
          <w:szCs w:val="22"/>
        </w:rPr>
        <w:t>Telplex</w:t>
      </w:r>
      <w:r w:rsidR="008E64E4">
        <w:rPr>
          <w:szCs w:val="22"/>
        </w:rPr>
        <w:t xml:space="preserve"> was</w:t>
      </w:r>
      <w:r w:rsidR="004D1A7B">
        <w:rPr>
          <w:szCs w:val="22"/>
        </w:rPr>
        <w:t xml:space="preserve"> required to </w:t>
      </w:r>
      <w:r w:rsidR="00BE1431">
        <w:rPr>
          <w:szCs w:val="22"/>
        </w:rPr>
        <w:t>provide evidence of an authorized carrier change</w:t>
      </w:r>
      <w:r w:rsidR="003324D0">
        <w:rPr>
          <w:szCs w:val="22"/>
        </w:rPr>
        <w:t xml:space="preserve"> within 30 days of receiving notification of a consumer complaint</w:t>
      </w:r>
      <w:r w:rsidR="008B5C1B">
        <w:rPr>
          <w:szCs w:val="22"/>
        </w:rPr>
        <w:t>.</w:t>
      </w:r>
      <w:r>
        <w:rPr>
          <w:rStyle w:val="FootnoteReference"/>
          <w:szCs w:val="22"/>
        </w:rPr>
        <w:footnoteReference w:id="7"/>
      </w:r>
      <w:r w:rsidR="008B5C1B">
        <w:rPr>
          <w:szCs w:val="22"/>
        </w:rPr>
        <w:t xml:space="preserve">  </w:t>
      </w:r>
      <w:r w:rsidR="00791AF7">
        <w:rPr>
          <w:szCs w:val="22"/>
        </w:rPr>
        <w:t xml:space="preserve">We </w:t>
      </w:r>
      <w:r w:rsidR="00240EFA">
        <w:rPr>
          <w:szCs w:val="22"/>
        </w:rPr>
        <w:t xml:space="preserve">further </w:t>
      </w:r>
      <w:r w:rsidR="00791AF7">
        <w:rPr>
          <w:szCs w:val="22"/>
        </w:rPr>
        <w:t xml:space="preserve">find </w:t>
      </w:r>
      <w:r w:rsidR="00A97D58">
        <w:rPr>
          <w:szCs w:val="22"/>
        </w:rPr>
        <w:t>that,</w:t>
      </w:r>
      <w:r w:rsidR="005A2EE9">
        <w:rPr>
          <w:szCs w:val="22"/>
        </w:rPr>
        <w:t xml:space="preserve"> </w:t>
      </w:r>
      <w:r w:rsidR="00791AF7">
        <w:rPr>
          <w:szCs w:val="22"/>
        </w:rPr>
        <w:t>based on</w:t>
      </w:r>
      <w:r w:rsidR="008B5C1B">
        <w:rPr>
          <w:szCs w:val="22"/>
        </w:rPr>
        <w:t xml:space="preserve"> </w:t>
      </w:r>
      <w:r w:rsidR="00240EFA">
        <w:rPr>
          <w:szCs w:val="22"/>
        </w:rPr>
        <w:t xml:space="preserve">the evidence </w:t>
      </w:r>
      <w:r w:rsidR="00240EFA">
        <w:rPr>
          <w:szCs w:val="22"/>
        </w:rPr>
        <w:t>Telplex</w:t>
      </w:r>
      <w:r w:rsidR="00240EFA">
        <w:rPr>
          <w:szCs w:val="22"/>
        </w:rPr>
        <w:t xml:space="preserve"> produced</w:t>
      </w:r>
      <w:r w:rsidR="008C621A">
        <w:rPr>
          <w:szCs w:val="22"/>
        </w:rPr>
        <w:t xml:space="preserve"> after the </w:t>
      </w:r>
      <w:r w:rsidR="00CB5482">
        <w:rPr>
          <w:szCs w:val="22"/>
        </w:rPr>
        <w:t xml:space="preserve">30-day </w:t>
      </w:r>
      <w:r w:rsidR="008C621A">
        <w:rPr>
          <w:szCs w:val="22"/>
        </w:rPr>
        <w:t>deadline</w:t>
      </w:r>
      <w:r w:rsidR="00A0393C">
        <w:rPr>
          <w:szCs w:val="22"/>
        </w:rPr>
        <w:t>,</w:t>
      </w:r>
      <w:r w:rsidR="00E86684">
        <w:rPr>
          <w:szCs w:val="22"/>
        </w:rPr>
        <w:t xml:space="preserve"> </w:t>
      </w:r>
      <w:r w:rsidR="008F0C22">
        <w:rPr>
          <w:szCs w:val="22"/>
        </w:rPr>
        <w:t>Telplex</w:t>
      </w:r>
      <w:r w:rsidR="00AC038E">
        <w:rPr>
          <w:szCs w:val="22"/>
        </w:rPr>
        <w:t>’s</w:t>
      </w:r>
      <w:r w:rsidR="00AC038E">
        <w:rPr>
          <w:szCs w:val="22"/>
        </w:rPr>
        <w:t xml:space="preserve"> actions did not result in an unauthorized </w:t>
      </w:r>
      <w:r w:rsidR="002B476D">
        <w:rPr>
          <w:szCs w:val="22"/>
        </w:rPr>
        <w:t xml:space="preserve">carrier </w:t>
      </w:r>
      <w:r w:rsidR="00AC038E">
        <w:rPr>
          <w:szCs w:val="22"/>
        </w:rPr>
        <w:t>change</w:t>
      </w:r>
      <w:r w:rsidR="00154C1A">
        <w:rPr>
          <w:szCs w:val="22"/>
        </w:rPr>
        <w:t xml:space="preserve">, </w:t>
      </w:r>
      <w:r w:rsidR="00AC4C31">
        <w:rPr>
          <w:szCs w:val="22"/>
        </w:rPr>
        <w:t xml:space="preserve">and therefore </w:t>
      </w:r>
      <w:r w:rsidR="00C519F2">
        <w:rPr>
          <w:szCs w:val="22"/>
        </w:rPr>
        <w:t>vacate</w:t>
      </w:r>
      <w:r w:rsidR="00E86684">
        <w:rPr>
          <w:szCs w:val="22"/>
        </w:rPr>
        <w:t xml:space="preserve"> the </w:t>
      </w:r>
      <w:r w:rsidRPr="00E86684" w:rsidR="00E86684">
        <w:rPr>
          <w:i/>
          <w:iCs/>
          <w:szCs w:val="22"/>
        </w:rPr>
        <w:t>Division Order</w:t>
      </w:r>
      <w:r w:rsidR="00154C1A">
        <w:rPr>
          <w:szCs w:val="22"/>
        </w:rPr>
        <w:t xml:space="preserve"> and dismiss </w:t>
      </w:r>
      <w:r w:rsidR="00154C1A">
        <w:rPr>
          <w:szCs w:val="22"/>
        </w:rPr>
        <w:t>Telplex’s</w:t>
      </w:r>
      <w:r w:rsidR="00154C1A">
        <w:rPr>
          <w:szCs w:val="22"/>
        </w:rPr>
        <w:t xml:space="preserve"> Petition as moot. </w:t>
      </w:r>
      <w:r w:rsidR="003649A6">
        <w:rPr>
          <w:szCs w:val="22"/>
        </w:rPr>
        <w:t xml:space="preserve"> </w:t>
      </w:r>
    </w:p>
    <w:p w:rsidR="00C410B8" w:rsidRPr="00CA26D2" w:rsidP="000A481B" w14:paraId="1055CF3A" w14:textId="77777777">
      <w:pPr>
        <w:numPr>
          <w:ilvl w:val="0"/>
          <w:numId w:val="9"/>
        </w:numPr>
        <w:tabs>
          <w:tab w:val="num" w:pos="720"/>
          <w:tab w:val="clear" w:pos="1080"/>
        </w:tabs>
        <w:spacing w:after="120"/>
        <w:ind w:left="720"/>
        <w:jc w:val="both"/>
        <w:rPr>
          <w:b/>
          <w:szCs w:val="22"/>
        </w:rPr>
      </w:pPr>
      <w:r>
        <w:rPr>
          <w:b/>
          <w:szCs w:val="22"/>
        </w:rPr>
        <w:t>BACKGROUND</w:t>
      </w:r>
    </w:p>
    <w:p w:rsidR="004A041E" w:rsidRPr="00CC3CCC" w:rsidP="004A041E" w14:paraId="46FB9E24" w14:textId="77777777">
      <w:pPr>
        <w:widowControl/>
        <w:numPr>
          <w:ilvl w:val="0"/>
          <w:numId w:val="7"/>
        </w:numPr>
        <w:tabs>
          <w:tab w:val="num" w:pos="0"/>
          <w:tab w:val="left" w:pos="1440"/>
        </w:tabs>
        <w:spacing w:after="120"/>
        <w:ind w:left="0" w:firstLine="720"/>
        <w:rPr>
          <w:szCs w:val="22"/>
        </w:rPr>
      </w:pPr>
      <w:r w:rsidRPr="00142D97">
        <w:t xml:space="preserve">The </w:t>
      </w:r>
      <w:r w:rsidRPr="004A041E">
        <w:rPr>
          <w:szCs w:val="22"/>
        </w:rPr>
        <w:t>Commission’s</w:t>
      </w:r>
      <w:r>
        <w:t xml:space="preserve"> rules implementing section 258 </w:t>
      </w:r>
      <w:r w:rsidRPr="00142D97">
        <w:t>require</w:t>
      </w:r>
      <w:r>
        <w:t xml:space="preserve"> that a </w:t>
      </w:r>
      <w:r w:rsidRPr="00142D97">
        <w:t>carrier: (1) obtain the subscriber</w:t>
      </w:r>
      <w:r>
        <w:t>’</w:t>
      </w:r>
      <w:r w:rsidRPr="00142D97">
        <w:t xml:space="preserve">s written or electronically signed authorization in a format that </w:t>
      </w:r>
      <w:r>
        <w:t>satisfies our rules; (2) obtain</w:t>
      </w:r>
      <w:r w:rsidRPr="00142D97">
        <w:t xml:space="preserve"> confirmation from the subscriber via a toll-free number provided exclusively </w:t>
      </w:r>
      <w:r>
        <w:t>to</w:t>
      </w:r>
      <w:r w:rsidRPr="00142D97">
        <w:t xml:space="preserve"> confirm orders </w:t>
      </w:r>
      <w:r w:rsidRPr="00142D97">
        <w:t xml:space="preserve">electronically; or (3) </w:t>
      </w:r>
      <w:r>
        <w:t>use</w:t>
      </w:r>
      <w:r w:rsidRPr="00142D97">
        <w:t xml:space="preserve"> an </w:t>
      </w:r>
      <w:r>
        <w:t xml:space="preserve">appropriately qualified </w:t>
      </w:r>
      <w:r w:rsidRPr="00142D97">
        <w:t>independent third party to verify the order.</w:t>
      </w:r>
      <w:r>
        <w:rPr>
          <w:rStyle w:val="FootnoteReference"/>
        </w:rPr>
        <w:footnoteReference w:id="8"/>
      </w:r>
      <w:r w:rsidRPr="00142D97">
        <w:t xml:space="preserve"> </w:t>
      </w:r>
      <w:r>
        <w:t xml:space="preserve"> </w:t>
      </w:r>
      <w:r>
        <w:rPr>
          <w:szCs w:val="22"/>
        </w:rPr>
        <w:t>If the carrier uses an independent third party to verify subscriber authorization, the rules require, among other things, that the verifier elicit confirmation that “the person on the [verification] call is authorized to make the carrier change.”</w:t>
      </w:r>
      <w:r>
        <w:rPr>
          <w:rStyle w:val="FootnoteReference"/>
          <w:szCs w:val="22"/>
        </w:rPr>
        <w:footnoteReference w:id="9"/>
      </w:r>
      <w:r>
        <w:rPr>
          <w:szCs w:val="22"/>
        </w:rPr>
        <w:t xml:space="preserve">  </w:t>
      </w:r>
    </w:p>
    <w:p w:rsidR="004A041E" w:rsidRPr="00CA26D2" w:rsidP="004A041E" w14:paraId="3DEE9C27" w14:textId="6B10248F">
      <w:pPr>
        <w:widowControl/>
        <w:numPr>
          <w:ilvl w:val="0"/>
          <w:numId w:val="7"/>
        </w:numPr>
        <w:tabs>
          <w:tab w:val="num" w:pos="0"/>
          <w:tab w:val="left" w:pos="1440"/>
        </w:tabs>
        <w:spacing w:after="120"/>
        <w:ind w:left="0" w:firstLine="720"/>
        <w:rPr>
          <w:szCs w:val="22"/>
        </w:rPr>
      </w:pPr>
      <w:r>
        <w:rPr>
          <w:szCs w:val="22"/>
        </w:rPr>
        <w:t>Commission rules require carriers, within 30 days of being notified of a slamming complaint, to provide proof of verification of the carrier change.</w:t>
      </w:r>
      <w:r>
        <w:rPr>
          <w:rStyle w:val="FootnoteReference"/>
          <w:szCs w:val="22"/>
        </w:rPr>
        <w:footnoteReference w:id="10"/>
      </w:r>
      <w:r>
        <w:rPr>
          <w:szCs w:val="22"/>
        </w:rPr>
        <w:t xml:space="preserve">  Proof of verification must contain clear and convincing evidence that the carrier change was authorized.</w:t>
      </w:r>
      <w:r>
        <w:rPr>
          <w:rStyle w:val="FootnoteReference"/>
          <w:szCs w:val="22"/>
        </w:rPr>
        <w:footnoteReference w:id="11"/>
      </w:r>
      <w:r>
        <w:rPr>
          <w:szCs w:val="22"/>
        </w:rPr>
        <w:t xml:space="preserve"> </w:t>
      </w:r>
      <w:r w:rsidR="007B2CF6">
        <w:rPr>
          <w:szCs w:val="22"/>
        </w:rPr>
        <w:t xml:space="preserve"> </w:t>
      </w:r>
      <w:r w:rsidR="00F83CFC">
        <w:rPr>
          <w:szCs w:val="22"/>
        </w:rPr>
        <w:t>The Division uses such proof and any evidence supplied by the Complainant to determine whether a slam occurred.</w:t>
      </w:r>
      <w:r>
        <w:rPr>
          <w:rStyle w:val="FootnoteReference"/>
          <w:szCs w:val="22"/>
        </w:rPr>
        <w:footnoteReference w:id="12"/>
      </w:r>
      <w:r w:rsidR="00F83CFC">
        <w:rPr>
          <w:szCs w:val="22"/>
        </w:rPr>
        <w:t xml:space="preserve">  </w:t>
      </w:r>
      <w:r>
        <w:rPr>
          <w:szCs w:val="22"/>
        </w:rPr>
        <w:t>Failure to respond or provide proof of verification is clear and convincing evidence of a violation.</w:t>
      </w:r>
      <w:r>
        <w:rPr>
          <w:rStyle w:val="FootnoteReference"/>
          <w:szCs w:val="22"/>
        </w:rPr>
        <w:footnoteReference w:id="13"/>
      </w:r>
      <w:r>
        <w:rPr>
          <w:szCs w:val="22"/>
        </w:rPr>
        <w:t xml:space="preserve">  </w:t>
      </w:r>
    </w:p>
    <w:p w:rsidR="00C606E4" w:rsidP="004A041E" w14:paraId="1EC04E67" w14:textId="054AC2E7">
      <w:pPr>
        <w:widowControl/>
        <w:numPr>
          <w:ilvl w:val="0"/>
          <w:numId w:val="7"/>
        </w:numPr>
        <w:tabs>
          <w:tab w:val="num" w:pos="0"/>
          <w:tab w:val="left" w:pos="1440"/>
        </w:tabs>
        <w:spacing w:after="120"/>
        <w:ind w:left="0" w:firstLine="720"/>
        <w:rPr>
          <w:szCs w:val="22"/>
        </w:rPr>
      </w:pPr>
      <w:r>
        <w:rPr>
          <w:szCs w:val="22"/>
        </w:rPr>
        <w:t xml:space="preserve">Complainant alleged that his </w:t>
      </w:r>
      <w:r w:rsidR="00576C76">
        <w:rPr>
          <w:szCs w:val="22"/>
        </w:rPr>
        <w:t>company’s</w:t>
      </w:r>
      <w:r>
        <w:rPr>
          <w:szCs w:val="22"/>
        </w:rPr>
        <w:t xml:space="preserve"> carrier had been changed to </w:t>
      </w:r>
      <w:r>
        <w:rPr>
          <w:szCs w:val="22"/>
        </w:rPr>
        <w:t>Telplex</w:t>
      </w:r>
      <w:r>
        <w:rPr>
          <w:szCs w:val="22"/>
        </w:rPr>
        <w:t xml:space="preserve"> without authorization.</w:t>
      </w:r>
      <w:r>
        <w:rPr>
          <w:rStyle w:val="FootnoteReference"/>
          <w:szCs w:val="22"/>
        </w:rPr>
        <w:footnoteReference w:id="14"/>
      </w:r>
      <w:r>
        <w:rPr>
          <w:szCs w:val="22"/>
        </w:rPr>
        <w:t xml:space="preserve">  Pursuant to our rules, the Division notified </w:t>
      </w:r>
      <w:r>
        <w:rPr>
          <w:szCs w:val="22"/>
        </w:rPr>
        <w:t>Telplex</w:t>
      </w:r>
      <w:r>
        <w:rPr>
          <w:szCs w:val="22"/>
        </w:rPr>
        <w:t xml:space="preserve"> of the slamming complaint through the Commission’s Consumer Complaint Center (CCC), and directed </w:t>
      </w:r>
      <w:r>
        <w:rPr>
          <w:szCs w:val="22"/>
        </w:rPr>
        <w:t>Telplex</w:t>
      </w:r>
      <w:r>
        <w:rPr>
          <w:szCs w:val="22"/>
        </w:rPr>
        <w:t xml:space="preserve"> to respond to the complaint no later than 30 days from the date of the notice.</w:t>
      </w:r>
      <w:r>
        <w:rPr>
          <w:rStyle w:val="FootnoteReference"/>
          <w:szCs w:val="22"/>
        </w:rPr>
        <w:footnoteReference w:id="15"/>
      </w:r>
      <w:r>
        <w:rPr>
          <w:szCs w:val="22"/>
        </w:rPr>
        <w:t xml:space="preserve">  </w:t>
      </w:r>
      <w:r w:rsidR="00F14D50">
        <w:rPr>
          <w:szCs w:val="22"/>
        </w:rPr>
        <w:t>Telplex</w:t>
      </w:r>
      <w:r w:rsidR="00F14D50">
        <w:rPr>
          <w:szCs w:val="22"/>
        </w:rPr>
        <w:t xml:space="preserve"> </w:t>
      </w:r>
      <w:r w:rsidR="00A5741C">
        <w:rPr>
          <w:szCs w:val="22"/>
        </w:rPr>
        <w:t xml:space="preserve">responded before that deadline with </w:t>
      </w:r>
      <w:r>
        <w:rPr>
          <w:szCs w:val="22"/>
        </w:rPr>
        <w:t xml:space="preserve">an e-mail to CCC Carrier Support, </w:t>
      </w:r>
      <w:r w:rsidR="004C770F">
        <w:rPr>
          <w:szCs w:val="22"/>
        </w:rPr>
        <w:t xml:space="preserve">inquiring why it was categorized as a slamming complaint </w:t>
      </w:r>
      <w:r w:rsidR="00A5741C">
        <w:rPr>
          <w:szCs w:val="22"/>
        </w:rPr>
        <w:t xml:space="preserve">and </w:t>
      </w:r>
      <w:r w:rsidR="007E509F">
        <w:rPr>
          <w:szCs w:val="22"/>
        </w:rPr>
        <w:t>asking staff to re-categorize</w:t>
      </w:r>
      <w:r>
        <w:rPr>
          <w:szCs w:val="22"/>
        </w:rPr>
        <w:t xml:space="preserve"> </w:t>
      </w:r>
      <w:r w:rsidR="004C770F">
        <w:rPr>
          <w:szCs w:val="22"/>
        </w:rPr>
        <w:t>it</w:t>
      </w:r>
      <w:r>
        <w:rPr>
          <w:szCs w:val="22"/>
        </w:rPr>
        <w:t xml:space="preserve"> </w:t>
      </w:r>
      <w:r w:rsidR="007E509F">
        <w:rPr>
          <w:szCs w:val="22"/>
        </w:rPr>
        <w:t xml:space="preserve">as </w:t>
      </w:r>
      <w:r w:rsidR="004C770F">
        <w:rPr>
          <w:szCs w:val="22"/>
        </w:rPr>
        <w:t>a billing complaint</w:t>
      </w:r>
      <w:r w:rsidR="007E509F">
        <w:rPr>
          <w:szCs w:val="22"/>
        </w:rPr>
        <w:t>.</w:t>
      </w:r>
      <w:r>
        <w:rPr>
          <w:rStyle w:val="FootnoteReference"/>
          <w:szCs w:val="22"/>
        </w:rPr>
        <w:footnoteReference w:id="16"/>
      </w:r>
      <w:r w:rsidR="00786D12">
        <w:rPr>
          <w:szCs w:val="22"/>
        </w:rPr>
        <w:t xml:space="preserve"> </w:t>
      </w:r>
      <w:r>
        <w:rPr>
          <w:szCs w:val="22"/>
        </w:rPr>
        <w:t xml:space="preserve"> </w:t>
      </w:r>
    </w:p>
    <w:p w:rsidR="003F3929" w:rsidP="00344153" w14:paraId="05E94C2E" w14:textId="7EAE35E1">
      <w:pPr>
        <w:widowControl/>
        <w:numPr>
          <w:ilvl w:val="0"/>
          <w:numId w:val="7"/>
        </w:numPr>
        <w:tabs>
          <w:tab w:val="num" w:pos="0"/>
          <w:tab w:val="left" w:pos="1440"/>
        </w:tabs>
        <w:spacing w:after="120"/>
        <w:ind w:left="0" w:firstLine="720"/>
        <w:rPr>
          <w:szCs w:val="22"/>
        </w:rPr>
      </w:pPr>
      <w:r w:rsidRPr="00642571">
        <w:rPr>
          <w:szCs w:val="22"/>
        </w:rPr>
        <w:t>Telplex’s</w:t>
      </w:r>
      <w:r w:rsidRPr="00642571">
        <w:rPr>
          <w:szCs w:val="22"/>
        </w:rPr>
        <w:t xml:space="preserve"> e-mail also contained a detailed response to the Complainant’s allegations that his company’s carrier was switched without permission.</w:t>
      </w:r>
      <w:r>
        <w:rPr>
          <w:rStyle w:val="FootnoteReference"/>
          <w:szCs w:val="22"/>
        </w:rPr>
        <w:footnoteReference w:id="17"/>
      </w:r>
      <w:r w:rsidRPr="00145CBE">
        <w:rPr>
          <w:szCs w:val="22"/>
        </w:rPr>
        <w:t xml:space="preserve">  Specifically,</w:t>
      </w:r>
      <w:r w:rsidR="004A041E">
        <w:rPr>
          <w:szCs w:val="22"/>
        </w:rPr>
        <w:t xml:space="preserve"> </w:t>
      </w:r>
      <w:r w:rsidRPr="00642571" w:rsidR="002B0455">
        <w:rPr>
          <w:szCs w:val="22"/>
        </w:rPr>
        <w:t>Telplex</w:t>
      </w:r>
      <w:r w:rsidR="002A69D6">
        <w:rPr>
          <w:szCs w:val="22"/>
        </w:rPr>
        <w:t xml:space="preserve"> </w:t>
      </w:r>
      <w:r w:rsidRPr="00145CBE">
        <w:rPr>
          <w:szCs w:val="22"/>
        </w:rPr>
        <w:t xml:space="preserve">disputed Complainant’s allegation that he had been slammed; </w:t>
      </w:r>
      <w:r w:rsidRPr="00145CBE" w:rsidR="002B0455">
        <w:rPr>
          <w:szCs w:val="22"/>
        </w:rPr>
        <w:t>stated that the carrier switch was authorized</w:t>
      </w:r>
      <w:r w:rsidRPr="00642571">
        <w:rPr>
          <w:szCs w:val="22"/>
        </w:rPr>
        <w:t>; and asserted</w:t>
      </w:r>
      <w:r>
        <w:rPr>
          <w:szCs w:val="22"/>
        </w:rPr>
        <w:t xml:space="preserve"> that it </w:t>
      </w:r>
      <w:r w:rsidR="00183BA3">
        <w:rPr>
          <w:szCs w:val="22"/>
        </w:rPr>
        <w:t xml:space="preserve">had </w:t>
      </w:r>
      <w:r>
        <w:rPr>
          <w:szCs w:val="22"/>
        </w:rPr>
        <w:t>received and</w:t>
      </w:r>
      <w:r w:rsidR="00A5741C">
        <w:rPr>
          <w:szCs w:val="22"/>
        </w:rPr>
        <w:t xml:space="preserve"> </w:t>
      </w:r>
      <w:r w:rsidR="004A041E">
        <w:rPr>
          <w:szCs w:val="22"/>
        </w:rPr>
        <w:t>confirmed</w:t>
      </w:r>
      <w:r>
        <w:rPr>
          <w:szCs w:val="22"/>
        </w:rPr>
        <w:t xml:space="preserve"> Complainant’s authorization</w:t>
      </w:r>
      <w:r w:rsidR="004A041E">
        <w:rPr>
          <w:szCs w:val="22"/>
        </w:rPr>
        <w:t xml:space="preserve"> through a third-party verification recording</w:t>
      </w:r>
      <w:r w:rsidR="00F14D50">
        <w:rPr>
          <w:szCs w:val="22"/>
        </w:rPr>
        <w:t>.</w:t>
      </w:r>
      <w:r>
        <w:rPr>
          <w:rStyle w:val="FootnoteReference"/>
          <w:szCs w:val="22"/>
        </w:rPr>
        <w:footnoteReference w:id="18"/>
      </w:r>
      <w:r w:rsidR="00786D12">
        <w:rPr>
          <w:szCs w:val="22"/>
        </w:rPr>
        <w:t xml:space="preserve"> </w:t>
      </w:r>
      <w:r w:rsidR="00F14D50">
        <w:rPr>
          <w:szCs w:val="22"/>
        </w:rPr>
        <w:t xml:space="preserve"> I</w:t>
      </w:r>
      <w:r w:rsidR="00BE6709">
        <w:rPr>
          <w:szCs w:val="22"/>
        </w:rPr>
        <w:t>t</w:t>
      </w:r>
      <w:r w:rsidR="00A74A72">
        <w:rPr>
          <w:szCs w:val="22"/>
        </w:rPr>
        <w:t xml:space="preserve"> did not</w:t>
      </w:r>
      <w:r w:rsidR="00F14D50">
        <w:rPr>
          <w:szCs w:val="22"/>
        </w:rPr>
        <w:t>, however,</w:t>
      </w:r>
      <w:r w:rsidR="00A74A72">
        <w:rPr>
          <w:szCs w:val="22"/>
        </w:rPr>
        <w:t xml:space="preserve"> provide the recording</w:t>
      </w:r>
      <w:r w:rsidR="00F14D50">
        <w:rPr>
          <w:szCs w:val="22"/>
        </w:rPr>
        <w:t xml:space="preserve"> </w:t>
      </w:r>
      <w:r w:rsidR="00CA37C6">
        <w:rPr>
          <w:szCs w:val="22"/>
        </w:rPr>
        <w:t>or any other proof of authorization</w:t>
      </w:r>
      <w:r w:rsidR="00DE1C9B">
        <w:rPr>
          <w:szCs w:val="22"/>
        </w:rPr>
        <w:t xml:space="preserve"> with its e-mail</w:t>
      </w:r>
      <w:r w:rsidR="005A51B0">
        <w:rPr>
          <w:szCs w:val="22"/>
        </w:rPr>
        <w:t xml:space="preserve">. </w:t>
      </w:r>
      <w:r w:rsidR="00B601E6">
        <w:rPr>
          <w:szCs w:val="22"/>
        </w:rPr>
        <w:t xml:space="preserve"> </w:t>
      </w:r>
      <w:r w:rsidR="00344153">
        <w:rPr>
          <w:szCs w:val="22"/>
        </w:rPr>
        <w:t xml:space="preserve">In response to </w:t>
      </w:r>
      <w:r w:rsidR="00344153">
        <w:rPr>
          <w:szCs w:val="22"/>
        </w:rPr>
        <w:t>Telplex’s</w:t>
      </w:r>
      <w:r w:rsidR="00344153">
        <w:rPr>
          <w:szCs w:val="22"/>
        </w:rPr>
        <w:t xml:space="preserve"> e-mail, </w:t>
      </w:r>
      <w:r w:rsidR="00C21C3D">
        <w:rPr>
          <w:szCs w:val="22"/>
        </w:rPr>
        <w:t>C</w:t>
      </w:r>
      <w:r w:rsidR="00AD7929">
        <w:rPr>
          <w:szCs w:val="22"/>
        </w:rPr>
        <w:t>ommission staff</w:t>
      </w:r>
      <w:r w:rsidR="00C21C3D">
        <w:rPr>
          <w:szCs w:val="22"/>
        </w:rPr>
        <w:t xml:space="preserve"> </w:t>
      </w:r>
      <w:r w:rsidR="00344153">
        <w:rPr>
          <w:szCs w:val="22"/>
        </w:rPr>
        <w:t xml:space="preserve">sent an </w:t>
      </w:r>
      <w:r w:rsidR="00C21C3D">
        <w:rPr>
          <w:szCs w:val="22"/>
        </w:rPr>
        <w:t xml:space="preserve">e-mail saying that </w:t>
      </w:r>
      <w:r w:rsidR="00344153">
        <w:rPr>
          <w:szCs w:val="22"/>
        </w:rPr>
        <w:t xml:space="preserve">the matter </w:t>
      </w:r>
      <w:r w:rsidR="00C21C3D">
        <w:rPr>
          <w:szCs w:val="22"/>
        </w:rPr>
        <w:t>had been forwarded to the “correct office for responding.”</w:t>
      </w:r>
      <w:r>
        <w:rPr>
          <w:rStyle w:val="FootnoteReference"/>
          <w:szCs w:val="22"/>
        </w:rPr>
        <w:footnoteReference w:id="19"/>
      </w:r>
      <w:r w:rsidR="00C21C3D">
        <w:rPr>
          <w:szCs w:val="22"/>
        </w:rPr>
        <w:t xml:space="preserve">  </w:t>
      </w:r>
      <w:r w:rsidRPr="000E5676" w:rsidR="000E5676">
        <w:rPr>
          <w:szCs w:val="22"/>
        </w:rPr>
        <w:t>Telplex’s</w:t>
      </w:r>
      <w:r w:rsidRPr="000E5676" w:rsidR="000E5676">
        <w:rPr>
          <w:szCs w:val="22"/>
        </w:rPr>
        <w:t xml:space="preserve"> e</w:t>
      </w:r>
      <w:r w:rsidR="000A265A">
        <w:rPr>
          <w:szCs w:val="22"/>
        </w:rPr>
        <w:t>-</w:t>
      </w:r>
      <w:r w:rsidRPr="000E5676" w:rsidR="000E5676">
        <w:rPr>
          <w:szCs w:val="22"/>
        </w:rPr>
        <w:t xml:space="preserve">mail was </w:t>
      </w:r>
      <w:r w:rsidR="00C21C3D">
        <w:rPr>
          <w:szCs w:val="22"/>
        </w:rPr>
        <w:t xml:space="preserve">then </w:t>
      </w:r>
      <w:r w:rsidRPr="000E5676" w:rsidR="000E5676">
        <w:rPr>
          <w:szCs w:val="22"/>
        </w:rPr>
        <w:t>entered into the CCC, which effectively reassigned the complaint to Division staff for review</w:t>
      </w:r>
      <w:r w:rsidR="00C85C46">
        <w:rPr>
          <w:szCs w:val="22"/>
        </w:rPr>
        <w:t>,</w:t>
      </w:r>
      <w:r w:rsidR="005D6AF1">
        <w:rPr>
          <w:szCs w:val="22"/>
        </w:rPr>
        <w:t xml:space="preserve"> and the complaint no longer appeared on </w:t>
      </w:r>
      <w:r w:rsidR="005D6AF1">
        <w:rPr>
          <w:szCs w:val="22"/>
        </w:rPr>
        <w:t>Telplex’s</w:t>
      </w:r>
      <w:r w:rsidR="005D6AF1">
        <w:rPr>
          <w:szCs w:val="22"/>
        </w:rPr>
        <w:t xml:space="preserve"> CCC page</w:t>
      </w:r>
      <w:r w:rsidRPr="000E5676" w:rsidR="000E5676">
        <w:rPr>
          <w:szCs w:val="22"/>
        </w:rPr>
        <w:t>.</w:t>
      </w:r>
      <w:r w:rsidR="00AF54D2">
        <w:rPr>
          <w:szCs w:val="22"/>
        </w:rPr>
        <w:t xml:space="preserve"> </w:t>
      </w:r>
    </w:p>
    <w:p w:rsidR="00E020E3" w:rsidP="0080684C" w14:paraId="64B97041" w14:textId="7EE94CB5">
      <w:pPr>
        <w:widowControl/>
        <w:numPr>
          <w:ilvl w:val="0"/>
          <w:numId w:val="7"/>
        </w:numPr>
        <w:tabs>
          <w:tab w:val="num" w:pos="0"/>
          <w:tab w:val="left" w:pos="1440"/>
        </w:tabs>
        <w:spacing w:after="120"/>
        <w:ind w:left="0" w:firstLine="720"/>
        <w:rPr>
          <w:szCs w:val="22"/>
        </w:rPr>
      </w:pPr>
      <w:r w:rsidRPr="0080684C">
        <w:rPr>
          <w:szCs w:val="22"/>
        </w:rPr>
        <w:t>T</w:t>
      </w:r>
      <w:r w:rsidRPr="0080684C" w:rsidR="004A041E">
        <w:rPr>
          <w:szCs w:val="22"/>
        </w:rPr>
        <w:t xml:space="preserve">he Division </w:t>
      </w:r>
      <w:r w:rsidRPr="00E020E3" w:rsidR="00C85C46">
        <w:rPr>
          <w:szCs w:val="22"/>
        </w:rPr>
        <w:t>considered</w:t>
      </w:r>
      <w:r w:rsidRPr="00E020E3" w:rsidR="004A041E">
        <w:rPr>
          <w:szCs w:val="22"/>
        </w:rPr>
        <w:t xml:space="preserve"> the record evidence and found that </w:t>
      </w:r>
      <w:r w:rsidRPr="00E020E3" w:rsidR="004A041E">
        <w:rPr>
          <w:szCs w:val="22"/>
        </w:rPr>
        <w:t>Telplex</w:t>
      </w:r>
      <w:r w:rsidRPr="00E020E3" w:rsidR="004A041E">
        <w:rPr>
          <w:szCs w:val="22"/>
        </w:rPr>
        <w:t xml:space="preserve"> </w:t>
      </w:r>
      <w:r w:rsidRPr="00E020E3" w:rsidR="002749AD">
        <w:rPr>
          <w:szCs w:val="22"/>
        </w:rPr>
        <w:t xml:space="preserve">had </w:t>
      </w:r>
      <w:r w:rsidRPr="00E020E3" w:rsidR="004A041E">
        <w:rPr>
          <w:szCs w:val="22"/>
        </w:rPr>
        <w:t xml:space="preserve">failed to provide </w:t>
      </w:r>
      <w:r w:rsidRPr="00E020E3" w:rsidR="00B0385F">
        <w:rPr>
          <w:szCs w:val="22"/>
        </w:rPr>
        <w:t xml:space="preserve">timely </w:t>
      </w:r>
      <w:r w:rsidRPr="00E020E3" w:rsidR="004A041E">
        <w:rPr>
          <w:szCs w:val="22"/>
        </w:rPr>
        <w:t>proof of verifi</w:t>
      </w:r>
      <w:r w:rsidRPr="0080684C" w:rsidR="00CA37C6">
        <w:rPr>
          <w:szCs w:val="22"/>
        </w:rPr>
        <w:t>ed authorization</w:t>
      </w:r>
      <w:r w:rsidRPr="0080684C" w:rsidR="00344153">
        <w:rPr>
          <w:szCs w:val="22"/>
        </w:rPr>
        <w:t xml:space="preserve">, and </w:t>
      </w:r>
      <w:r w:rsidR="000C608C">
        <w:rPr>
          <w:szCs w:val="22"/>
        </w:rPr>
        <w:t xml:space="preserve">that </w:t>
      </w:r>
      <w:r w:rsidRPr="0080684C" w:rsidR="00AF54D2">
        <w:rPr>
          <w:szCs w:val="22"/>
        </w:rPr>
        <w:t>this failure</w:t>
      </w:r>
      <w:r w:rsidRPr="0080684C" w:rsidR="002749AD">
        <w:rPr>
          <w:szCs w:val="22"/>
        </w:rPr>
        <w:t xml:space="preserve"> to refute the Complainant’s allegation</w:t>
      </w:r>
      <w:r w:rsidR="000C608C">
        <w:rPr>
          <w:szCs w:val="22"/>
        </w:rPr>
        <w:t>s</w:t>
      </w:r>
      <w:r w:rsidRPr="0080684C" w:rsidR="002749AD">
        <w:rPr>
          <w:szCs w:val="22"/>
        </w:rPr>
        <w:t xml:space="preserve"> </w:t>
      </w:r>
      <w:r w:rsidRPr="0080684C" w:rsidR="00AF54D2">
        <w:rPr>
          <w:szCs w:val="22"/>
        </w:rPr>
        <w:t xml:space="preserve">amounted to clear and convincing evidence </w:t>
      </w:r>
      <w:r w:rsidRPr="0080684C" w:rsidR="002749AD">
        <w:rPr>
          <w:szCs w:val="22"/>
        </w:rPr>
        <w:t xml:space="preserve">that </w:t>
      </w:r>
      <w:r w:rsidRPr="0080684C" w:rsidR="00AF54D2">
        <w:rPr>
          <w:szCs w:val="22"/>
        </w:rPr>
        <w:t>Telplex</w:t>
      </w:r>
      <w:r w:rsidRPr="0080684C" w:rsidR="002749AD">
        <w:rPr>
          <w:szCs w:val="22"/>
        </w:rPr>
        <w:t xml:space="preserve"> </w:t>
      </w:r>
      <w:r w:rsidRPr="0080684C" w:rsidR="00344153">
        <w:rPr>
          <w:szCs w:val="22"/>
        </w:rPr>
        <w:t>violated</w:t>
      </w:r>
      <w:r w:rsidRPr="00E020E3" w:rsidR="004A041E">
        <w:rPr>
          <w:szCs w:val="22"/>
        </w:rPr>
        <w:t xml:space="preserve"> the Commission’s slamming rules.</w:t>
      </w:r>
      <w:r>
        <w:rPr>
          <w:rStyle w:val="FootnoteReference"/>
          <w:szCs w:val="22"/>
        </w:rPr>
        <w:footnoteReference w:id="20"/>
      </w:r>
      <w:r w:rsidRPr="0080684C" w:rsidR="004A041E">
        <w:rPr>
          <w:szCs w:val="22"/>
        </w:rPr>
        <w:t xml:space="preserve">  </w:t>
      </w:r>
    </w:p>
    <w:p w:rsidR="004A041E" w:rsidRPr="0080684C" w:rsidP="0080684C" w14:paraId="6C7E6477" w14:textId="3F1A0833">
      <w:pPr>
        <w:widowControl/>
        <w:numPr>
          <w:ilvl w:val="0"/>
          <w:numId w:val="7"/>
        </w:numPr>
        <w:tabs>
          <w:tab w:val="num" w:pos="0"/>
          <w:tab w:val="left" w:pos="1440"/>
        </w:tabs>
        <w:spacing w:after="120"/>
        <w:ind w:left="0" w:firstLine="720"/>
        <w:rPr>
          <w:szCs w:val="22"/>
        </w:rPr>
      </w:pPr>
      <w:r w:rsidRPr="00E020E3">
        <w:rPr>
          <w:szCs w:val="22"/>
        </w:rPr>
        <w:t>Telplex</w:t>
      </w:r>
      <w:r w:rsidRPr="00E020E3">
        <w:rPr>
          <w:szCs w:val="22"/>
        </w:rPr>
        <w:t xml:space="preserve"> </w:t>
      </w:r>
      <w:r w:rsidRPr="00E020E3">
        <w:rPr>
          <w:szCs w:val="22"/>
        </w:rPr>
        <w:t xml:space="preserve">seeks reconsideration of the </w:t>
      </w:r>
      <w:r w:rsidRPr="00E020E3">
        <w:rPr>
          <w:i/>
          <w:szCs w:val="22"/>
        </w:rPr>
        <w:t>Division Order</w:t>
      </w:r>
      <w:r w:rsidRPr="00E020E3" w:rsidR="00A52E27">
        <w:rPr>
          <w:iCs/>
          <w:szCs w:val="22"/>
        </w:rPr>
        <w:t xml:space="preserve">, arguing that because </w:t>
      </w:r>
      <w:r w:rsidRPr="00E020E3" w:rsidR="00D67C7D">
        <w:rPr>
          <w:iCs/>
          <w:szCs w:val="22"/>
        </w:rPr>
        <w:t xml:space="preserve">it </w:t>
      </w:r>
      <w:r w:rsidRPr="00E020E3" w:rsidR="009011F2">
        <w:rPr>
          <w:iCs/>
          <w:szCs w:val="22"/>
        </w:rPr>
        <w:t>appeared that</w:t>
      </w:r>
      <w:r w:rsidRPr="00E020E3" w:rsidR="00D67C7D">
        <w:rPr>
          <w:iCs/>
          <w:szCs w:val="22"/>
        </w:rPr>
        <w:t xml:space="preserve"> the</w:t>
      </w:r>
      <w:r w:rsidRPr="0080684C" w:rsidR="00A52E27">
        <w:rPr>
          <w:iCs/>
          <w:szCs w:val="22"/>
        </w:rPr>
        <w:t xml:space="preserve"> complaint had been closed in the CCC, </w:t>
      </w:r>
      <w:r w:rsidRPr="0080684C" w:rsidR="00A52E27">
        <w:rPr>
          <w:iCs/>
          <w:szCs w:val="22"/>
        </w:rPr>
        <w:t>Telplex</w:t>
      </w:r>
      <w:r w:rsidRPr="0080684C" w:rsidR="00A52E27">
        <w:rPr>
          <w:iCs/>
          <w:szCs w:val="22"/>
        </w:rPr>
        <w:t xml:space="preserve"> was </w:t>
      </w:r>
      <w:r w:rsidRPr="0080684C" w:rsidR="00524336">
        <w:rPr>
          <w:iCs/>
          <w:szCs w:val="22"/>
        </w:rPr>
        <w:t xml:space="preserve">denied </w:t>
      </w:r>
      <w:r w:rsidRPr="0080684C" w:rsidR="00A52E27">
        <w:rPr>
          <w:iCs/>
          <w:szCs w:val="22"/>
        </w:rPr>
        <w:t>a fair opportunity to respond to the informal complaint</w:t>
      </w:r>
      <w:r w:rsidRPr="0080684C" w:rsidR="00155C04">
        <w:rPr>
          <w:iCs/>
          <w:szCs w:val="22"/>
        </w:rPr>
        <w:t>.</w:t>
      </w:r>
      <w:r w:rsidRPr="0080684C" w:rsidR="0080684C">
        <w:rPr>
          <w:iCs/>
          <w:szCs w:val="22"/>
        </w:rPr>
        <w:t xml:space="preserve"> </w:t>
      </w:r>
      <w:r w:rsidRPr="0080684C" w:rsidR="0080684C">
        <w:rPr>
          <w:szCs w:val="22"/>
        </w:rPr>
        <w:t xml:space="preserve"> </w:t>
      </w:r>
      <w:r w:rsidRPr="00E020E3" w:rsidR="0080684C">
        <w:rPr>
          <w:szCs w:val="22"/>
        </w:rPr>
        <w:t>Telplex</w:t>
      </w:r>
      <w:r w:rsidRPr="00E020E3" w:rsidR="0080684C">
        <w:rPr>
          <w:szCs w:val="22"/>
        </w:rPr>
        <w:t xml:space="preserve"> does not deny that it failed to provide proof of authorization within 30 days.  Rather, it argues that the e-mail it sent to CCC Carrier Support after being served with the complaint was not a “substantive response” to the complaint, but an inquiry “seeking clarification about the categorization of the underlying complaint.”</w:t>
      </w:r>
      <w:r>
        <w:rPr>
          <w:rStyle w:val="FootnoteReference"/>
          <w:szCs w:val="22"/>
        </w:rPr>
        <w:footnoteReference w:id="21"/>
      </w:r>
      <w:r w:rsidRPr="0080684C" w:rsidR="0080684C">
        <w:rPr>
          <w:szCs w:val="22"/>
        </w:rPr>
        <w:t xml:space="preserve">  </w:t>
      </w:r>
      <w:r w:rsidRPr="00E020E3" w:rsidR="0080684C">
        <w:rPr>
          <w:szCs w:val="22"/>
        </w:rPr>
        <w:t xml:space="preserve">In addition, </w:t>
      </w:r>
      <w:r w:rsidRPr="00E020E3" w:rsidR="0080684C">
        <w:rPr>
          <w:szCs w:val="22"/>
        </w:rPr>
        <w:t>Telplex</w:t>
      </w:r>
      <w:r w:rsidRPr="00E020E3" w:rsidR="0080684C">
        <w:rPr>
          <w:szCs w:val="22"/>
        </w:rPr>
        <w:t xml:space="preserve"> asserts that following its e-mail request, it appeared that the complaint ticket had been </w:t>
      </w:r>
      <w:r w:rsidRPr="0080684C" w:rsidR="0080684C">
        <w:rPr>
          <w:szCs w:val="22"/>
        </w:rPr>
        <w:t xml:space="preserve">closed in the CCC, “making it impossible” for </w:t>
      </w:r>
      <w:r w:rsidRPr="0080684C" w:rsidR="0080684C">
        <w:rPr>
          <w:szCs w:val="22"/>
        </w:rPr>
        <w:t>Telplex</w:t>
      </w:r>
      <w:r w:rsidRPr="0080684C" w:rsidR="0080684C">
        <w:rPr>
          <w:szCs w:val="22"/>
        </w:rPr>
        <w:t xml:space="preserve"> to respond to the complaint and provide proof of authorization through the CCC.  It also states that the last communication it received from the Commission was the e-mail saying its request had been forwarded to the appropriate party to respond to it.</w:t>
      </w:r>
      <w:r>
        <w:rPr>
          <w:rStyle w:val="FootnoteReference"/>
          <w:szCs w:val="22"/>
        </w:rPr>
        <w:footnoteReference w:id="22"/>
      </w:r>
      <w:r w:rsidRPr="0080684C" w:rsidR="00155C04">
        <w:rPr>
          <w:iCs/>
          <w:szCs w:val="22"/>
        </w:rPr>
        <w:t xml:space="preserve">  </w:t>
      </w:r>
      <w:r w:rsidRPr="0080684C" w:rsidR="00155C04">
        <w:rPr>
          <w:iCs/>
          <w:szCs w:val="22"/>
        </w:rPr>
        <w:t>Telplex</w:t>
      </w:r>
      <w:r w:rsidRPr="0080684C" w:rsidR="00155C04">
        <w:rPr>
          <w:iCs/>
          <w:szCs w:val="22"/>
        </w:rPr>
        <w:t xml:space="preserve"> asks</w:t>
      </w:r>
      <w:r w:rsidRPr="0080684C" w:rsidR="00A52E27">
        <w:rPr>
          <w:iCs/>
          <w:szCs w:val="22"/>
        </w:rPr>
        <w:t xml:space="preserve"> that the Commission </w:t>
      </w:r>
      <w:r w:rsidRPr="0080684C" w:rsidR="00033853">
        <w:rPr>
          <w:iCs/>
          <w:szCs w:val="22"/>
        </w:rPr>
        <w:t xml:space="preserve">now </w:t>
      </w:r>
      <w:r w:rsidRPr="00E020E3" w:rsidR="00A52E27">
        <w:rPr>
          <w:iCs/>
          <w:szCs w:val="22"/>
        </w:rPr>
        <w:t>review the third-party verification associated with the underlying carrier change</w:t>
      </w:r>
      <w:r w:rsidRPr="00E020E3" w:rsidR="00155C04">
        <w:rPr>
          <w:iCs/>
          <w:szCs w:val="22"/>
        </w:rPr>
        <w:t xml:space="preserve">, and it submitted a transcript of that third-party verification recording </w:t>
      </w:r>
      <w:r w:rsidRPr="00E020E3" w:rsidR="001D06EA">
        <w:rPr>
          <w:iCs/>
          <w:szCs w:val="22"/>
        </w:rPr>
        <w:t>with</w:t>
      </w:r>
      <w:r w:rsidRPr="00E020E3" w:rsidR="00155C04">
        <w:rPr>
          <w:iCs/>
          <w:szCs w:val="22"/>
        </w:rPr>
        <w:t xml:space="preserve"> its petition</w:t>
      </w:r>
      <w:r w:rsidRPr="00E020E3">
        <w:rPr>
          <w:szCs w:val="22"/>
        </w:rPr>
        <w:t>.</w:t>
      </w:r>
      <w:r>
        <w:rPr>
          <w:rStyle w:val="FootnoteReference"/>
          <w:szCs w:val="22"/>
        </w:rPr>
        <w:footnoteReference w:id="23"/>
      </w:r>
    </w:p>
    <w:p w:rsidR="00C410B8" w:rsidRPr="00CA26D2" w:rsidP="00C167FA" w14:paraId="47E11161" w14:textId="77777777">
      <w:pPr>
        <w:numPr>
          <w:ilvl w:val="0"/>
          <w:numId w:val="9"/>
        </w:numPr>
        <w:tabs>
          <w:tab w:val="num" w:pos="720"/>
          <w:tab w:val="clear" w:pos="1080"/>
        </w:tabs>
        <w:spacing w:after="120"/>
        <w:ind w:left="720"/>
        <w:jc w:val="both"/>
        <w:rPr>
          <w:b/>
          <w:szCs w:val="22"/>
        </w:rPr>
      </w:pPr>
      <w:r>
        <w:rPr>
          <w:b/>
          <w:szCs w:val="22"/>
        </w:rPr>
        <w:t>DISCUSSION</w:t>
      </w:r>
    </w:p>
    <w:p w:rsidR="005A16A6" w:rsidP="00FD7CD4" w14:paraId="6E1C19DD" w14:textId="680D9780">
      <w:pPr>
        <w:widowControl/>
        <w:numPr>
          <w:ilvl w:val="0"/>
          <w:numId w:val="7"/>
        </w:numPr>
        <w:spacing w:after="120"/>
        <w:ind w:left="0" w:firstLine="720"/>
        <w:rPr>
          <w:szCs w:val="22"/>
        </w:rPr>
      </w:pPr>
      <w:r>
        <w:rPr>
          <w:szCs w:val="22"/>
        </w:rPr>
        <w:t xml:space="preserve">Based on </w:t>
      </w:r>
      <w:r w:rsidR="00C735D2">
        <w:rPr>
          <w:szCs w:val="22"/>
        </w:rPr>
        <w:t>the unique circumstances here</w:t>
      </w:r>
      <w:r>
        <w:rPr>
          <w:szCs w:val="22"/>
        </w:rPr>
        <w:t xml:space="preserve">, we find good cause to waive, on our own motion, the 30-day deadline </w:t>
      </w:r>
      <w:r w:rsidR="00435BA0">
        <w:rPr>
          <w:szCs w:val="22"/>
        </w:rPr>
        <w:t xml:space="preserve">for </w:t>
      </w:r>
      <w:r w:rsidR="008F2539">
        <w:rPr>
          <w:szCs w:val="22"/>
        </w:rPr>
        <w:t>Telplex</w:t>
      </w:r>
      <w:r w:rsidR="008F2539">
        <w:rPr>
          <w:szCs w:val="22"/>
        </w:rPr>
        <w:t xml:space="preserve"> to file </w:t>
      </w:r>
      <w:r w:rsidR="00D543D1">
        <w:rPr>
          <w:szCs w:val="22"/>
        </w:rPr>
        <w:t>its</w:t>
      </w:r>
      <w:r w:rsidR="008F2539">
        <w:rPr>
          <w:szCs w:val="22"/>
        </w:rPr>
        <w:t xml:space="preserve"> response to the slamming complaint</w:t>
      </w:r>
      <w:r w:rsidR="00435BA0">
        <w:rPr>
          <w:szCs w:val="22"/>
        </w:rPr>
        <w:t xml:space="preserve">.  </w:t>
      </w:r>
      <w:r w:rsidR="00A5741C">
        <w:rPr>
          <w:szCs w:val="22"/>
        </w:rPr>
        <w:t xml:space="preserve">We may waive a </w:t>
      </w:r>
      <w:r w:rsidR="00D937CB">
        <w:t xml:space="preserve">rule </w:t>
      </w:r>
      <w:r w:rsidR="006F5D35">
        <w:t xml:space="preserve">for </w:t>
      </w:r>
      <w:r w:rsidR="00D937CB">
        <w:t>good cause shown</w:t>
      </w:r>
      <w:r w:rsidR="00014056">
        <w:t>,</w:t>
      </w:r>
      <w:r>
        <w:rPr>
          <w:rStyle w:val="FootnoteReference"/>
        </w:rPr>
        <w:footnoteReference w:id="24"/>
      </w:r>
      <w:r w:rsidR="00014056">
        <w:t xml:space="preserve"> and </w:t>
      </w:r>
      <w:r w:rsidR="00296BEB">
        <w:t>waiver is appropriate where the particular facts make strict compliance inconsistent with the public interest.</w:t>
      </w:r>
      <w:r>
        <w:rPr>
          <w:rStyle w:val="FootnoteReference"/>
        </w:rPr>
        <w:footnoteReference w:id="25"/>
      </w:r>
      <w:r w:rsidR="00296BEB">
        <w:t xml:space="preserve"> </w:t>
      </w:r>
      <w:r w:rsidR="00046B2C">
        <w:t xml:space="preserve"> </w:t>
      </w:r>
      <w:r w:rsidR="00E45B46">
        <w:t>W</w:t>
      </w:r>
      <w:r w:rsidR="00296BEB">
        <w:t>e may take into account considerations of hardship, equity, or more effective implementation of overall policy on an individual basis.</w:t>
      </w:r>
      <w:r>
        <w:rPr>
          <w:rStyle w:val="FootnoteReference"/>
        </w:rPr>
        <w:footnoteReference w:id="26"/>
      </w:r>
      <w:r w:rsidR="00296BEB">
        <w:t xml:space="preserve">  </w:t>
      </w:r>
      <w:r w:rsidR="005207CF">
        <w:rPr>
          <w:szCs w:val="22"/>
        </w:rPr>
        <w:t>In this case</w:t>
      </w:r>
      <w:r w:rsidR="003508F8">
        <w:rPr>
          <w:szCs w:val="22"/>
        </w:rPr>
        <w:t xml:space="preserve">, we </w:t>
      </w:r>
      <w:r w:rsidR="00D937CB">
        <w:rPr>
          <w:szCs w:val="22"/>
        </w:rPr>
        <w:t>find good cause t</w:t>
      </w:r>
      <w:r w:rsidR="004E2557">
        <w:rPr>
          <w:szCs w:val="22"/>
        </w:rPr>
        <w:t>o waive</w:t>
      </w:r>
      <w:r w:rsidR="00296BEB">
        <w:rPr>
          <w:szCs w:val="22"/>
        </w:rPr>
        <w:t xml:space="preserve"> </w:t>
      </w:r>
      <w:r w:rsidR="003508F8">
        <w:rPr>
          <w:szCs w:val="22"/>
        </w:rPr>
        <w:t xml:space="preserve">the </w:t>
      </w:r>
      <w:r w:rsidR="00D937CB">
        <w:rPr>
          <w:szCs w:val="22"/>
        </w:rPr>
        <w:t xml:space="preserve">30-day </w:t>
      </w:r>
      <w:r w:rsidR="003508F8">
        <w:rPr>
          <w:szCs w:val="22"/>
        </w:rPr>
        <w:t>filing deadline</w:t>
      </w:r>
      <w:r w:rsidR="003324D0">
        <w:rPr>
          <w:szCs w:val="22"/>
        </w:rPr>
        <w:t xml:space="preserve"> in section 64.1150(d) of the Commission’s rules</w:t>
      </w:r>
      <w:r w:rsidR="00BD059B">
        <w:rPr>
          <w:szCs w:val="22"/>
        </w:rPr>
        <w:t>.</w:t>
      </w:r>
      <w:r>
        <w:rPr>
          <w:rStyle w:val="FootnoteReference"/>
          <w:szCs w:val="22"/>
        </w:rPr>
        <w:footnoteReference w:id="27"/>
      </w:r>
      <w:r w:rsidR="00235A56">
        <w:rPr>
          <w:szCs w:val="22"/>
        </w:rPr>
        <w:t xml:space="preserve"> </w:t>
      </w:r>
      <w:r w:rsidR="00435BA0">
        <w:rPr>
          <w:szCs w:val="22"/>
        </w:rPr>
        <w:t xml:space="preserve"> </w:t>
      </w:r>
      <w:r w:rsidR="00D4641F">
        <w:rPr>
          <w:szCs w:val="22"/>
        </w:rPr>
        <w:t xml:space="preserve">We further find that </w:t>
      </w:r>
      <w:r w:rsidR="00D4641F">
        <w:rPr>
          <w:szCs w:val="22"/>
        </w:rPr>
        <w:t>Telplex’s</w:t>
      </w:r>
      <w:r w:rsidR="00D4641F">
        <w:rPr>
          <w:szCs w:val="22"/>
        </w:rPr>
        <w:t xml:space="preserve"> </w:t>
      </w:r>
      <w:r w:rsidR="00B0385F">
        <w:rPr>
          <w:szCs w:val="22"/>
        </w:rPr>
        <w:t xml:space="preserve">late-filed </w:t>
      </w:r>
      <w:r w:rsidR="00D4641F">
        <w:rPr>
          <w:szCs w:val="22"/>
        </w:rPr>
        <w:t xml:space="preserve">third-party verification recording complied with the Commission’s verification requirements and thus </w:t>
      </w:r>
      <w:r w:rsidR="00046B2C">
        <w:rPr>
          <w:szCs w:val="22"/>
        </w:rPr>
        <w:t>vacate</w:t>
      </w:r>
      <w:r w:rsidR="00D4641F">
        <w:rPr>
          <w:szCs w:val="22"/>
        </w:rPr>
        <w:t xml:space="preserve"> the </w:t>
      </w:r>
      <w:r w:rsidRPr="00D4641F" w:rsidR="00D4641F">
        <w:rPr>
          <w:i/>
          <w:iCs/>
          <w:szCs w:val="22"/>
        </w:rPr>
        <w:t>Division Order</w:t>
      </w:r>
      <w:r w:rsidR="00F2314F">
        <w:rPr>
          <w:i/>
          <w:iCs/>
          <w:szCs w:val="22"/>
        </w:rPr>
        <w:t xml:space="preserve">.  </w:t>
      </w:r>
      <w:r w:rsidRPr="00C4421F" w:rsidR="00D374ED">
        <w:rPr>
          <w:color w:val="000000"/>
          <w:szCs w:val="22"/>
          <w:bdr w:val="none" w:sz="0" w:space="0" w:color="auto" w:frame="1"/>
        </w:rPr>
        <w:t xml:space="preserve"> </w:t>
      </w:r>
    </w:p>
    <w:p w:rsidR="00E35C5E" w:rsidP="00BD059B" w14:paraId="09CB4108" w14:textId="4553B0A3">
      <w:pPr>
        <w:widowControl/>
        <w:numPr>
          <w:ilvl w:val="0"/>
          <w:numId w:val="7"/>
        </w:numPr>
        <w:tabs>
          <w:tab w:val="num" w:pos="0"/>
          <w:tab w:val="left" w:pos="1440"/>
        </w:tabs>
        <w:spacing w:after="120"/>
        <w:ind w:left="0" w:firstLine="720"/>
        <w:rPr>
          <w:szCs w:val="22"/>
        </w:rPr>
      </w:pPr>
      <w:r>
        <w:rPr>
          <w:szCs w:val="22"/>
        </w:rPr>
        <w:t xml:space="preserve">As an initial matter, we disagree with </w:t>
      </w:r>
      <w:r w:rsidRPr="005A16A6" w:rsidR="002656E1">
        <w:rPr>
          <w:szCs w:val="22"/>
        </w:rPr>
        <w:t>Telplex</w:t>
      </w:r>
      <w:r w:rsidRPr="005A16A6" w:rsidR="002656E1">
        <w:rPr>
          <w:szCs w:val="22"/>
        </w:rPr>
        <w:t xml:space="preserve"> </w:t>
      </w:r>
      <w:r w:rsidRPr="005A16A6" w:rsidR="00196B0C">
        <w:rPr>
          <w:szCs w:val="22"/>
        </w:rPr>
        <w:t xml:space="preserve">that </w:t>
      </w:r>
      <w:r>
        <w:rPr>
          <w:szCs w:val="22"/>
        </w:rPr>
        <w:t xml:space="preserve">there was any basis to “re-categorize” </w:t>
      </w:r>
      <w:r w:rsidRPr="005A16A6" w:rsidR="00196B0C">
        <w:rPr>
          <w:szCs w:val="22"/>
        </w:rPr>
        <w:t>the complaint as a billing complaint</w:t>
      </w:r>
      <w:r w:rsidRPr="00235A56">
        <w:rPr>
          <w:szCs w:val="22"/>
        </w:rPr>
        <w:t xml:space="preserve">.  The Complainant clearly identified the issue involved </w:t>
      </w:r>
      <w:r w:rsidR="005A16A6">
        <w:rPr>
          <w:szCs w:val="22"/>
        </w:rPr>
        <w:t xml:space="preserve">in </w:t>
      </w:r>
      <w:r w:rsidRPr="00235A56">
        <w:rPr>
          <w:szCs w:val="22"/>
        </w:rPr>
        <w:t>his</w:t>
      </w:r>
      <w:r w:rsidR="00FA7977">
        <w:rPr>
          <w:szCs w:val="22"/>
        </w:rPr>
        <w:t xml:space="preserve"> complaint</w:t>
      </w:r>
      <w:r w:rsidR="005A16A6">
        <w:rPr>
          <w:szCs w:val="22"/>
        </w:rPr>
        <w:t xml:space="preserve"> </w:t>
      </w:r>
      <w:r w:rsidRPr="00235A56">
        <w:rPr>
          <w:szCs w:val="22"/>
        </w:rPr>
        <w:t>as “Slamming (change of your carrier without permission)” and specified</w:t>
      </w:r>
      <w:r w:rsidRPr="005A16A6" w:rsidR="00AB444A">
        <w:rPr>
          <w:szCs w:val="22"/>
        </w:rPr>
        <w:t xml:space="preserve"> in </w:t>
      </w:r>
      <w:r w:rsidRPr="00235A56">
        <w:rPr>
          <w:szCs w:val="22"/>
        </w:rPr>
        <w:t>his statement of facts that he “never had [the] intent[ion] to switch companies.”</w:t>
      </w:r>
      <w:r>
        <w:rPr>
          <w:rStyle w:val="FootnoteReference"/>
          <w:szCs w:val="22"/>
        </w:rPr>
        <w:footnoteReference w:id="28"/>
      </w:r>
      <w:r w:rsidRPr="005A16A6" w:rsidR="00E867B8">
        <w:rPr>
          <w:szCs w:val="22"/>
        </w:rPr>
        <w:t xml:space="preserve">  </w:t>
      </w:r>
      <w:r w:rsidRPr="005401BB" w:rsidR="00837F98">
        <w:rPr>
          <w:szCs w:val="22"/>
        </w:rPr>
        <w:t xml:space="preserve">Given </w:t>
      </w:r>
      <w:r>
        <w:rPr>
          <w:szCs w:val="22"/>
        </w:rPr>
        <w:t>the Complainant’s allegation that his carrier was switched without permission, we find that the</w:t>
      </w:r>
      <w:r w:rsidRPr="005401BB" w:rsidR="00837F98">
        <w:rPr>
          <w:szCs w:val="22"/>
        </w:rPr>
        <w:t xml:space="preserve"> </w:t>
      </w:r>
      <w:r w:rsidR="00837F98">
        <w:rPr>
          <w:szCs w:val="22"/>
        </w:rPr>
        <w:t xml:space="preserve">Division </w:t>
      </w:r>
      <w:r>
        <w:rPr>
          <w:szCs w:val="22"/>
        </w:rPr>
        <w:t>correctly served</w:t>
      </w:r>
      <w:r w:rsidR="00837F98">
        <w:rPr>
          <w:szCs w:val="22"/>
        </w:rPr>
        <w:t xml:space="preserve"> the </w:t>
      </w:r>
      <w:r>
        <w:rPr>
          <w:szCs w:val="22"/>
        </w:rPr>
        <w:t>complaint as a</w:t>
      </w:r>
      <w:r w:rsidRPr="005A16A6" w:rsidR="00911E26">
        <w:rPr>
          <w:szCs w:val="22"/>
        </w:rPr>
        <w:t xml:space="preserve"> slamming complaint </w:t>
      </w:r>
      <w:r>
        <w:rPr>
          <w:szCs w:val="22"/>
        </w:rPr>
        <w:t xml:space="preserve">on </w:t>
      </w:r>
      <w:r w:rsidRPr="005A16A6" w:rsidR="00911E26">
        <w:rPr>
          <w:szCs w:val="22"/>
        </w:rPr>
        <w:t>Telplex</w:t>
      </w:r>
      <w:r>
        <w:rPr>
          <w:szCs w:val="22"/>
        </w:rPr>
        <w:t xml:space="preserve">, and that </w:t>
      </w:r>
      <w:r>
        <w:rPr>
          <w:szCs w:val="22"/>
        </w:rPr>
        <w:t>Telplex</w:t>
      </w:r>
      <w:r>
        <w:rPr>
          <w:szCs w:val="22"/>
        </w:rPr>
        <w:t xml:space="preserve"> had sufficient information about the nature of the complaint in orde</w:t>
      </w:r>
      <w:r w:rsidR="001B248C">
        <w:rPr>
          <w:szCs w:val="22"/>
        </w:rPr>
        <w:t xml:space="preserve">r to respond as </w:t>
      </w:r>
      <w:r w:rsidR="0068191A">
        <w:rPr>
          <w:szCs w:val="22"/>
        </w:rPr>
        <w:t>instructed</w:t>
      </w:r>
      <w:r>
        <w:rPr>
          <w:szCs w:val="22"/>
        </w:rPr>
        <w:t>.</w:t>
      </w:r>
      <w:r>
        <w:rPr>
          <w:rStyle w:val="FootnoteReference"/>
          <w:szCs w:val="22"/>
        </w:rPr>
        <w:footnoteReference w:id="29"/>
      </w:r>
      <w:r>
        <w:rPr>
          <w:szCs w:val="22"/>
        </w:rPr>
        <w:t xml:space="preserve">  </w:t>
      </w:r>
    </w:p>
    <w:p w:rsidR="00E020E3" w:rsidRPr="00E020E3" w:rsidP="00E020E3" w14:paraId="72672593" w14:textId="16247387">
      <w:pPr>
        <w:widowControl/>
        <w:numPr>
          <w:ilvl w:val="0"/>
          <w:numId w:val="7"/>
        </w:numPr>
        <w:tabs>
          <w:tab w:val="num" w:pos="0"/>
          <w:tab w:val="left" w:pos="1440"/>
        </w:tabs>
        <w:spacing w:after="120"/>
        <w:ind w:left="0" w:firstLine="720"/>
        <w:rPr>
          <w:szCs w:val="22"/>
        </w:rPr>
      </w:pPr>
      <w:r>
        <w:rPr>
          <w:szCs w:val="22"/>
        </w:rPr>
        <w:t>Further</w:t>
      </w:r>
      <w:r w:rsidR="00E35C5E">
        <w:rPr>
          <w:szCs w:val="22"/>
        </w:rPr>
        <w:t xml:space="preserve">, the slamming rules require carriers to respond to slamming complaints within 30 days and to provide proof </w:t>
      </w:r>
      <w:r w:rsidR="002538B5">
        <w:rPr>
          <w:szCs w:val="22"/>
        </w:rPr>
        <w:t xml:space="preserve">within that timeframe </w:t>
      </w:r>
      <w:r w:rsidR="00E35C5E">
        <w:rPr>
          <w:szCs w:val="22"/>
        </w:rPr>
        <w:t xml:space="preserve">that </w:t>
      </w:r>
      <w:r w:rsidR="00815ECB">
        <w:rPr>
          <w:szCs w:val="22"/>
        </w:rPr>
        <w:t xml:space="preserve">they </w:t>
      </w:r>
      <w:r w:rsidR="00E35C5E">
        <w:rPr>
          <w:szCs w:val="22"/>
        </w:rPr>
        <w:t xml:space="preserve">followed the Commission’s verification </w:t>
      </w:r>
      <w:r w:rsidR="00E35C5E">
        <w:rPr>
          <w:szCs w:val="22"/>
        </w:rPr>
        <w:t>procedures.</w:t>
      </w:r>
      <w:r>
        <w:rPr>
          <w:rStyle w:val="FootnoteReference"/>
          <w:szCs w:val="22"/>
        </w:rPr>
        <w:footnoteReference w:id="30"/>
      </w:r>
      <w:r w:rsidR="00E35C5E">
        <w:rPr>
          <w:szCs w:val="22"/>
        </w:rPr>
        <w:t xml:space="preserve"> </w:t>
      </w:r>
      <w:r>
        <w:rPr>
          <w:szCs w:val="22"/>
        </w:rPr>
        <w:t xml:space="preserve"> </w:t>
      </w:r>
      <w:r w:rsidRPr="00E020E3">
        <w:rPr>
          <w:szCs w:val="22"/>
        </w:rPr>
        <w:t xml:space="preserve">The Commission’s rules do not specify </w:t>
      </w:r>
      <w:r w:rsidRPr="00E020E3">
        <w:rPr>
          <w:i/>
          <w:iCs/>
          <w:szCs w:val="22"/>
        </w:rPr>
        <w:t>how</w:t>
      </w:r>
      <w:r w:rsidRPr="00E020E3">
        <w:rPr>
          <w:szCs w:val="22"/>
        </w:rPr>
        <w:t xml:space="preserve"> carriers must submit the third-party verification recording or other proof that the carrier switch was duly authorized.  While the CCC portal is the typical (and preferred) means for submitting the necessary evidence, the rules do not require carriers to use it.</w:t>
      </w:r>
      <w:r>
        <w:rPr>
          <w:rStyle w:val="FootnoteReference"/>
          <w:szCs w:val="22"/>
        </w:rPr>
        <w:footnoteReference w:id="31"/>
      </w:r>
      <w:r w:rsidR="002D1BE0">
        <w:rPr>
          <w:szCs w:val="22"/>
        </w:rPr>
        <w:t xml:space="preserve">  </w:t>
      </w:r>
      <w:r w:rsidRPr="00E020E3" w:rsidR="00815ECB">
        <w:rPr>
          <w:szCs w:val="22"/>
        </w:rPr>
        <w:t xml:space="preserve">The CCC is designed so that, </w:t>
      </w:r>
      <w:r w:rsidR="00362259">
        <w:t xml:space="preserve">once a carrier responds to a slamming complaint, the complaint ticket in the CCC is reassigned to Commission staff for review and no longer appears as </w:t>
      </w:r>
      <w:r w:rsidR="00D543D1">
        <w:t xml:space="preserve">pending a </w:t>
      </w:r>
      <w:r w:rsidR="00A90FD1">
        <w:t xml:space="preserve">carrier </w:t>
      </w:r>
      <w:r w:rsidR="00D543D1">
        <w:t>response</w:t>
      </w:r>
      <w:r w:rsidR="00815ECB">
        <w:t>.  At that point</w:t>
      </w:r>
      <w:r w:rsidR="00692BB9">
        <w:t>,</w:t>
      </w:r>
      <w:r w:rsidR="00A90FD1">
        <w:t xml:space="preserve"> </w:t>
      </w:r>
      <w:r w:rsidR="00362259">
        <w:t xml:space="preserve">the CCC </w:t>
      </w:r>
      <w:r w:rsidR="00A90FD1">
        <w:t>does</w:t>
      </w:r>
      <w:r w:rsidRPr="00E020E3" w:rsidR="008E107E">
        <w:rPr>
          <w:szCs w:val="22"/>
        </w:rPr>
        <w:t xml:space="preserve"> not </w:t>
      </w:r>
      <w:r w:rsidR="00692BB9">
        <w:t xml:space="preserve">allow </w:t>
      </w:r>
      <w:r w:rsidRPr="00E020E3" w:rsidR="008E107E">
        <w:rPr>
          <w:szCs w:val="22"/>
        </w:rPr>
        <w:t xml:space="preserve">a </w:t>
      </w:r>
      <w:r w:rsidR="00A90FD1">
        <w:t>carrier</w:t>
      </w:r>
      <w:r w:rsidRPr="00E020E3" w:rsidR="0024655B">
        <w:rPr>
          <w:szCs w:val="22"/>
        </w:rPr>
        <w:t xml:space="preserve"> </w:t>
      </w:r>
      <w:r w:rsidRPr="00E020E3" w:rsidR="00FC416F">
        <w:rPr>
          <w:szCs w:val="22"/>
        </w:rPr>
        <w:t>to</w:t>
      </w:r>
      <w:r w:rsidRPr="00E020E3" w:rsidR="0024655B">
        <w:rPr>
          <w:szCs w:val="22"/>
        </w:rPr>
        <w:t xml:space="preserve"> </w:t>
      </w:r>
      <w:r w:rsidR="00A90FD1">
        <w:t>submit</w:t>
      </w:r>
      <w:r w:rsidRPr="00E020E3" w:rsidR="005401BB">
        <w:rPr>
          <w:szCs w:val="22"/>
        </w:rPr>
        <w:t xml:space="preserve"> any additional information</w:t>
      </w:r>
      <w:r w:rsidRPr="00E020E3" w:rsidR="00B276A2">
        <w:rPr>
          <w:szCs w:val="22"/>
        </w:rPr>
        <w:t xml:space="preserve"> </w:t>
      </w:r>
      <w:r w:rsidR="00A90FD1">
        <w:t xml:space="preserve">through </w:t>
      </w:r>
      <w:r w:rsidR="00692BB9">
        <w:t>the CCC</w:t>
      </w:r>
      <w:r w:rsidR="00A90FD1">
        <w:t xml:space="preserve"> portal</w:t>
      </w:r>
      <w:r w:rsidR="00362259">
        <w:t xml:space="preserve">. </w:t>
      </w:r>
    </w:p>
    <w:p w:rsidR="008E107E" w:rsidRPr="00E020E3" w:rsidP="00E020E3" w14:paraId="2C2F7BB7" w14:textId="66D2C5C2">
      <w:pPr>
        <w:widowControl/>
        <w:numPr>
          <w:ilvl w:val="0"/>
          <w:numId w:val="7"/>
        </w:numPr>
        <w:tabs>
          <w:tab w:val="num" w:pos="0"/>
          <w:tab w:val="left" w:pos="1440"/>
        </w:tabs>
        <w:spacing w:after="120"/>
        <w:ind w:left="0" w:firstLine="720"/>
        <w:rPr>
          <w:szCs w:val="22"/>
        </w:rPr>
      </w:pPr>
      <w:r w:rsidRPr="00E020E3">
        <w:rPr>
          <w:szCs w:val="22"/>
        </w:rPr>
        <w:t xml:space="preserve"> </w:t>
      </w:r>
      <w:r w:rsidRPr="00E020E3" w:rsidR="00C606E4">
        <w:rPr>
          <w:szCs w:val="22"/>
        </w:rPr>
        <w:t xml:space="preserve">In this case, because </w:t>
      </w:r>
      <w:r w:rsidRPr="00E020E3" w:rsidR="00C606E4">
        <w:rPr>
          <w:szCs w:val="22"/>
        </w:rPr>
        <w:t>Telplex’s</w:t>
      </w:r>
      <w:r w:rsidRPr="00E020E3" w:rsidR="00C606E4">
        <w:rPr>
          <w:szCs w:val="22"/>
        </w:rPr>
        <w:t xml:space="preserve"> e-mail to CCC Carrier Support addressed the substance of the slamming complaint, Division staff added it to the CCC complaint ticket</w:t>
      </w:r>
      <w:r w:rsidRPr="00E020E3" w:rsidR="00155C04">
        <w:rPr>
          <w:szCs w:val="22"/>
        </w:rPr>
        <w:t>,</w:t>
      </w:r>
      <w:r w:rsidRPr="00E020E3" w:rsidR="00C606E4">
        <w:rPr>
          <w:szCs w:val="22"/>
        </w:rPr>
        <w:t xml:space="preserve"> </w:t>
      </w:r>
      <w:r w:rsidRPr="00E020E3" w:rsidR="00750675">
        <w:rPr>
          <w:szCs w:val="22"/>
        </w:rPr>
        <w:t>which resulted in</w:t>
      </w:r>
      <w:r w:rsidRPr="00E020E3" w:rsidR="00C606E4">
        <w:rPr>
          <w:szCs w:val="22"/>
        </w:rPr>
        <w:t xml:space="preserve"> it no longer appear</w:t>
      </w:r>
      <w:r w:rsidRPr="00E020E3" w:rsidR="00750675">
        <w:rPr>
          <w:szCs w:val="22"/>
        </w:rPr>
        <w:t>ing</w:t>
      </w:r>
      <w:r w:rsidRPr="00E020E3" w:rsidR="00C606E4">
        <w:rPr>
          <w:szCs w:val="22"/>
        </w:rPr>
        <w:t xml:space="preserve"> as “pending a response” on </w:t>
      </w:r>
      <w:r w:rsidRPr="00E020E3" w:rsidR="00C606E4">
        <w:rPr>
          <w:szCs w:val="22"/>
        </w:rPr>
        <w:t>Telplex’s</w:t>
      </w:r>
      <w:r w:rsidRPr="00E020E3" w:rsidR="00C606E4">
        <w:rPr>
          <w:szCs w:val="22"/>
        </w:rPr>
        <w:t xml:space="preserve"> CCC page. </w:t>
      </w:r>
      <w:r w:rsidRPr="00E020E3">
        <w:rPr>
          <w:szCs w:val="22"/>
        </w:rPr>
        <w:t xml:space="preserve"> </w:t>
      </w:r>
      <w:r w:rsidRPr="00E020E3" w:rsidR="00420A2A">
        <w:rPr>
          <w:szCs w:val="22"/>
        </w:rPr>
        <w:t>T</w:t>
      </w:r>
      <w:r w:rsidRPr="00E020E3" w:rsidR="003562BF">
        <w:rPr>
          <w:szCs w:val="22"/>
        </w:rPr>
        <w:t>his anomaly</w:t>
      </w:r>
      <w:r w:rsidR="0058114B">
        <w:rPr>
          <w:szCs w:val="22"/>
        </w:rPr>
        <w:t xml:space="preserve"> also</w:t>
      </w:r>
      <w:r w:rsidRPr="00E020E3" w:rsidR="008F1D26">
        <w:rPr>
          <w:szCs w:val="22"/>
        </w:rPr>
        <w:t xml:space="preserve"> </w:t>
      </w:r>
      <w:r w:rsidR="0058114B">
        <w:rPr>
          <w:szCs w:val="22"/>
        </w:rPr>
        <w:t xml:space="preserve">prevented </w:t>
      </w:r>
      <w:r w:rsidRPr="00E020E3" w:rsidR="007D09A6">
        <w:rPr>
          <w:szCs w:val="22"/>
        </w:rPr>
        <w:t>Telplex</w:t>
      </w:r>
      <w:r w:rsidRPr="00E020E3" w:rsidR="007D09A6">
        <w:rPr>
          <w:szCs w:val="22"/>
        </w:rPr>
        <w:t xml:space="preserve"> </w:t>
      </w:r>
      <w:r w:rsidR="0058114B">
        <w:rPr>
          <w:szCs w:val="22"/>
        </w:rPr>
        <w:t xml:space="preserve">from </w:t>
      </w:r>
      <w:r w:rsidRPr="00E020E3" w:rsidR="00815ECB">
        <w:rPr>
          <w:szCs w:val="22"/>
        </w:rPr>
        <w:t>us</w:t>
      </w:r>
      <w:r w:rsidR="0058114B">
        <w:rPr>
          <w:szCs w:val="22"/>
        </w:rPr>
        <w:t>ing</w:t>
      </w:r>
      <w:r w:rsidRPr="00E020E3" w:rsidR="00815ECB">
        <w:rPr>
          <w:szCs w:val="22"/>
        </w:rPr>
        <w:t xml:space="preserve"> the CCC portal to </w:t>
      </w:r>
      <w:r w:rsidRPr="00E020E3" w:rsidR="007D09A6">
        <w:rPr>
          <w:szCs w:val="22"/>
        </w:rPr>
        <w:t>provide proof of authorization within the required 30 days</w:t>
      </w:r>
      <w:r w:rsidRPr="00E020E3" w:rsidR="00096B78">
        <w:rPr>
          <w:szCs w:val="22"/>
        </w:rPr>
        <w:t>,</w:t>
      </w:r>
      <w:r w:rsidRPr="00E020E3" w:rsidR="00815ECB">
        <w:rPr>
          <w:szCs w:val="22"/>
        </w:rPr>
        <w:t xml:space="preserve"> and </w:t>
      </w:r>
      <w:r w:rsidR="00815ECB">
        <w:t xml:space="preserve">the portal did not </w:t>
      </w:r>
      <w:r w:rsidR="006C2080">
        <w:t xml:space="preserve">provide information about </w:t>
      </w:r>
      <w:r w:rsidR="007C5242">
        <w:t xml:space="preserve">any </w:t>
      </w:r>
      <w:r w:rsidR="00815ECB">
        <w:t xml:space="preserve">other means </w:t>
      </w:r>
      <w:r w:rsidR="00815ECB">
        <w:t>Telplex</w:t>
      </w:r>
      <w:r w:rsidR="00815ECB">
        <w:t xml:space="preserve"> could use to submit this evidence.</w:t>
      </w:r>
      <w:r w:rsidR="009C5134">
        <w:t xml:space="preserve"> </w:t>
      </w:r>
      <w:r w:rsidR="00C2309F">
        <w:t xml:space="preserve"> </w:t>
      </w:r>
      <w:r w:rsidR="00FB4858">
        <w:t xml:space="preserve">This, along with Division </w:t>
      </w:r>
      <w:r w:rsidR="004757EC">
        <w:t>s</w:t>
      </w:r>
      <w:r w:rsidR="00FB4858">
        <w:t>taff’s statement that its inquiry was forwarded “to the correct office for responding” may have</w:t>
      </w:r>
      <w:r w:rsidR="00E509BC">
        <w:t xml:space="preserve"> given</w:t>
      </w:r>
      <w:r w:rsidR="006A77DB">
        <w:t xml:space="preserve"> </w:t>
      </w:r>
      <w:r w:rsidR="006A77DB">
        <w:t>Telplex</w:t>
      </w:r>
      <w:r w:rsidR="00E509BC">
        <w:t xml:space="preserve"> the impression that </w:t>
      </w:r>
      <w:r w:rsidR="006A77DB">
        <w:t>it</w:t>
      </w:r>
      <w:r w:rsidR="00E509BC">
        <w:t xml:space="preserve"> would have an opportunity to submit proof of authorization following a response to that inquiry, even after the 30-day deadline had passed. </w:t>
      </w:r>
      <w:r w:rsidR="00C2309F">
        <w:t xml:space="preserve"> </w:t>
      </w:r>
      <w:r w:rsidR="00B17E1C">
        <w:t xml:space="preserve">Accordingly, due to the unique circumstances in this matter, we waive section 64.1150(d) of the rules and consider the third-party verification attached to </w:t>
      </w:r>
      <w:r w:rsidR="00B17E1C">
        <w:t>Telplex’s</w:t>
      </w:r>
      <w:r w:rsidR="00B17E1C">
        <w:t xml:space="preserve"> Petition as if it were timely submitted.    </w:t>
      </w:r>
      <w:r w:rsidR="001567CD">
        <w:t xml:space="preserve"> </w:t>
      </w:r>
    </w:p>
    <w:p w:rsidR="005B7DA9" w:rsidRPr="00B276A2" w:rsidP="00614687" w14:paraId="73556913" w14:textId="2019752A">
      <w:pPr>
        <w:widowControl/>
        <w:numPr>
          <w:ilvl w:val="0"/>
          <w:numId w:val="7"/>
        </w:numPr>
        <w:tabs>
          <w:tab w:val="num" w:pos="0"/>
          <w:tab w:val="left" w:pos="1440"/>
        </w:tabs>
        <w:spacing w:after="120"/>
        <w:ind w:left="0" w:firstLine="720"/>
      </w:pPr>
      <w:r>
        <w:t xml:space="preserve">  </w:t>
      </w:r>
      <w:r w:rsidR="00DE62F0">
        <w:t xml:space="preserve">We have reviewed </w:t>
      </w:r>
      <w:r w:rsidR="00DE62F0">
        <w:t>Telplex’s</w:t>
      </w:r>
      <w:r w:rsidR="00DE62F0">
        <w:t xml:space="preserve"> third-party verification recording</w:t>
      </w:r>
      <w:r w:rsidR="00FF2236">
        <w:t xml:space="preserve">, which was not available to the Division at the time it issued the </w:t>
      </w:r>
      <w:r w:rsidRPr="00FF2236" w:rsidR="00FF2236">
        <w:rPr>
          <w:i/>
          <w:iCs/>
        </w:rPr>
        <w:t>Division Order</w:t>
      </w:r>
      <w:r w:rsidR="00FF2236">
        <w:t>,</w:t>
      </w:r>
      <w:r w:rsidR="00DE62F0">
        <w:t xml:space="preserve"> and find that it complies with the verification requirements in the slamming rules.</w:t>
      </w:r>
      <w:r>
        <w:rPr>
          <w:rStyle w:val="FootnoteReference"/>
        </w:rPr>
        <w:footnoteReference w:id="32"/>
      </w:r>
      <w:r w:rsidR="00DE62F0">
        <w:t xml:space="preserve">  </w:t>
      </w:r>
      <w:r w:rsidR="009C5134">
        <w:t xml:space="preserve">We therefore vacate the </w:t>
      </w:r>
      <w:r w:rsidR="009C5134">
        <w:rPr>
          <w:i/>
          <w:iCs/>
        </w:rPr>
        <w:t>Division Order</w:t>
      </w:r>
      <w:r w:rsidR="009C5134">
        <w:t>.</w:t>
      </w:r>
      <w:r w:rsidR="009C5134">
        <w:rPr>
          <w:i/>
          <w:iCs/>
        </w:rPr>
        <w:t xml:space="preserve"> </w:t>
      </w:r>
      <w:r w:rsidR="00952A6B">
        <w:rPr>
          <w:i/>
          <w:iCs/>
        </w:rPr>
        <w:t xml:space="preserve"> </w:t>
      </w:r>
      <w:r w:rsidRPr="00750675" w:rsidR="00362259">
        <w:rPr>
          <w:szCs w:val="22"/>
        </w:rPr>
        <w:t xml:space="preserve">We also note that </w:t>
      </w:r>
      <w:r w:rsidRPr="00750675" w:rsidR="00B276A2">
        <w:rPr>
          <w:szCs w:val="22"/>
        </w:rPr>
        <w:t>Telplex</w:t>
      </w:r>
      <w:r w:rsidRPr="00750675" w:rsidR="00B276A2">
        <w:rPr>
          <w:szCs w:val="22"/>
        </w:rPr>
        <w:t xml:space="preserve"> </w:t>
      </w:r>
      <w:r w:rsidR="001C40E1">
        <w:t>represents that it</w:t>
      </w:r>
      <w:r w:rsidR="00B276A2">
        <w:t xml:space="preserve"> absolved Complainant of all charges </w:t>
      </w:r>
      <w:r w:rsidR="00B13837">
        <w:t xml:space="preserve">it assessed Complainant </w:t>
      </w:r>
      <w:r w:rsidR="00B276A2">
        <w:t>in a manner consistent with the Commission’s liability rules.</w:t>
      </w:r>
      <w:r>
        <w:rPr>
          <w:rStyle w:val="FootnoteReference"/>
        </w:rPr>
        <w:footnoteReference w:id="33"/>
      </w:r>
      <w:r w:rsidRPr="00B276A2">
        <w:rPr>
          <w:szCs w:val="22"/>
        </w:rPr>
        <w:t xml:space="preserve"> </w:t>
      </w:r>
      <w:r w:rsidR="0083417E">
        <w:rPr>
          <w:szCs w:val="22"/>
        </w:rPr>
        <w:t xml:space="preserve"> </w:t>
      </w:r>
      <w:r w:rsidR="00362259">
        <w:rPr>
          <w:szCs w:val="22"/>
        </w:rPr>
        <w:t xml:space="preserve">Because we waive the </w:t>
      </w:r>
      <w:r w:rsidR="00BE7499">
        <w:rPr>
          <w:szCs w:val="22"/>
        </w:rPr>
        <w:t xml:space="preserve">filing </w:t>
      </w:r>
      <w:r w:rsidR="00362259">
        <w:rPr>
          <w:szCs w:val="22"/>
        </w:rPr>
        <w:t xml:space="preserve">deadline and </w:t>
      </w:r>
      <w:r w:rsidR="005C58B9">
        <w:rPr>
          <w:szCs w:val="22"/>
        </w:rPr>
        <w:t>vacate</w:t>
      </w:r>
      <w:r w:rsidR="00362259">
        <w:rPr>
          <w:szCs w:val="22"/>
        </w:rPr>
        <w:t xml:space="preserve"> the </w:t>
      </w:r>
      <w:r w:rsidRPr="00DB1F1A" w:rsidR="00362259">
        <w:rPr>
          <w:i/>
          <w:iCs/>
          <w:szCs w:val="22"/>
        </w:rPr>
        <w:t>D</w:t>
      </w:r>
      <w:r w:rsidRPr="00DB1F1A" w:rsidR="008B5C06">
        <w:rPr>
          <w:i/>
          <w:iCs/>
          <w:szCs w:val="22"/>
        </w:rPr>
        <w:t>i</w:t>
      </w:r>
      <w:r w:rsidRPr="00DB1F1A" w:rsidR="00362259">
        <w:rPr>
          <w:i/>
          <w:iCs/>
          <w:szCs w:val="22"/>
        </w:rPr>
        <w:t xml:space="preserve">vision </w:t>
      </w:r>
      <w:r w:rsidRPr="00A44157" w:rsidR="00CE4B59">
        <w:rPr>
          <w:i/>
          <w:iCs/>
          <w:szCs w:val="22"/>
        </w:rPr>
        <w:t>O</w:t>
      </w:r>
      <w:r w:rsidRPr="00A44157" w:rsidR="00362259">
        <w:rPr>
          <w:i/>
          <w:iCs/>
          <w:szCs w:val="22"/>
        </w:rPr>
        <w:t>rder</w:t>
      </w:r>
      <w:r w:rsidR="00CE4B59">
        <w:rPr>
          <w:szCs w:val="22"/>
        </w:rPr>
        <w:t>,</w:t>
      </w:r>
      <w:r w:rsidR="00952A6B">
        <w:rPr>
          <w:szCs w:val="22"/>
        </w:rPr>
        <w:t xml:space="preserve"> and because Complainant has been absolved of all charges,</w:t>
      </w:r>
      <w:r w:rsidR="00CE4B59">
        <w:rPr>
          <w:szCs w:val="22"/>
        </w:rPr>
        <w:t xml:space="preserve"> we</w:t>
      </w:r>
      <w:r w:rsidRPr="00CE4B59" w:rsidR="00362259">
        <w:rPr>
          <w:szCs w:val="22"/>
        </w:rPr>
        <w:t xml:space="preserve"> </w:t>
      </w:r>
      <w:r w:rsidRPr="008E4842" w:rsidR="0083417E">
        <w:rPr>
          <w:szCs w:val="22"/>
        </w:rPr>
        <w:t xml:space="preserve">dismiss </w:t>
      </w:r>
      <w:r w:rsidRPr="008E4842" w:rsidR="0083417E">
        <w:rPr>
          <w:szCs w:val="22"/>
        </w:rPr>
        <w:t>Telplex’s</w:t>
      </w:r>
      <w:r w:rsidRPr="008E4842" w:rsidR="0083417E">
        <w:rPr>
          <w:szCs w:val="22"/>
        </w:rPr>
        <w:t xml:space="preserve"> Petition as moot.  </w:t>
      </w:r>
    </w:p>
    <w:p w:rsidR="0045579C" w:rsidRPr="00931FD8" w:rsidP="00614687" w14:paraId="2EACFFFB" w14:textId="4DF87761">
      <w:pPr>
        <w:widowControl/>
        <w:numPr>
          <w:ilvl w:val="0"/>
          <w:numId w:val="7"/>
        </w:numPr>
        <w:tabs>
          <w:tab w:val="num" w:pos="0"/>
          <w:tab w:val="left" w:pos="1440"/>
        </w:tabs>
        <w:spacing w:after="120"/>
        <w:ind w:left="0" w:firstLine="720"/>
        <w:rPr>
          <w:szCs w:val="22"/>
        </w:rPr>
      </w:pPr>
      <w:r>
        <w:rPr>
          <w:szCs w:val="22"/>
        </w:rPr>
        <w:t xml:space="preserve">Although we waive our 30-day filing rule in this case, </w:t>
      </w:r>
      <w:r w:rsidR="00CE39C4">
        <w:rPr>
          <w:color w:val="000000"/>
        </w:rPr>
        <w:t>w</w:t>
      </w:r>
      <w:r w:rsidR="00910200">
        <w:rPr>
          <w:color w:val="000000"/>
        </w:rPr>
        <w:t>e</w:t>
      </w:r>
      <w:r w:rsidR="008C09B4">
        <w:rPr>
          <w:color w:val="000000"/>
        </w:rPr>
        <w:t xml:space="preserve"> caution carriers</w:t>
      </w:r>
      <w:r w:rsidRPr="00931FD8" w:rsidR="00910200">
        <w:rPr>
          <w:color w:val="000000"/>
        </w:rPr>
        <w:t xml:space="preserve"> that the circumstances </w:t>
      </w:r>
      <w:r w:rsidR="00910200">
        <w:rPr>
          <w:color w:val="000000"/>
        </w:rPr>
        <w:t>here</w:t>
      </w:r>
      <w:r w:rsidRPr="00931FD8" w:rsidR="00910200">
        <w:rPr>
          <w:color w:val="000000"/>
        </w:rPr>
        <w:t xml:space="preserve"> will </w:t>
      </w:r>
      <w:r w:rsidR="008C09B4">
        <w:rPr>
          <w:color w:val="000000"/>
        </w:rPr>
        <w:t xml:space="preserve">not </w:t>
      </w:r>
      <w:r w:rsidRPr="00931FD8" w:rsidR="00910200">
        <w:rPr>
          <w:color w:val="000000"/>
        </w:rPr>
        <w:t xml:space="preserve">excuse </w:t>
      </w:r>
      <w:r w:rsidR="00910200">
        <w:rPr>
          <w:color w:val="000000"/>
        </w:rPr>
        <w:t xml:space="preserve">any other </w:t>
      </w:r>
      <w:r w:rsidRPr="00931FD8" w:rsidR="00910200">
        <w:rPr>
          <w:color w:val="000000"/>
        </w:rPr>
        <w:t>carrier’s failure</w:t>
      </w:r>
      <w:r w:rsidR="00014056">
        <w:rPr>
          <w:color w:val="000000"/>
        </w:rPr>
        <w:t xml:space="preserve"> to </w:t>
      </w:r>
      <w:r w:rsidR="00CE39C4">
        <w:rPr>
          <w:color w:val="000000"/>
        </w:rPr>
        <w:t xml:space="preserve">respond to </w:t>
      </w:r>
      <w:r w:rsidR="00C736F2">
        <w:rPr>
          <w:color w:val="000000"/>
        </w:rPr>
        <w:t xml:space="preserve">a </w:t>
      </w:r>
      <w:r w:rsidR="00CE39C4">
        <w:rPr>
          <w:color w:val="000000"/>
        </w:rPr>
        <w:t xml:space="preserve">slamming complaint and </w:t>
      </w:r>
      <w:r w:rsidRPr="00931FD8" w:rsidR="00910200">
        <w:rPr>
          <w:color w:val="000000"/>
        </w:rPr>
        <w:t xml:space="preserve">provide </w:t>
      </w:r>
      <w:r w:rsidR="00CE39C4">
        <w:rPr>
          <w:color w:val="000000"/>
        </w:rPr>
        <w:t>any</w:t>
      </w:r>
      <w:r w:rsidRPr="00931FD8" w:rsidR="00910200">
        <w:rPr>
          <w:color w:val="000000"/>
        </w:rPr>
        <w:t xml:space="preserve"> proof of authorization </w:t>
      </w:r>
      <w:r w:rsidR="00A87E16">
        <w:rPr>
          <w:color w:val="000000"/>
        </w:rPr>
        <w:t>for a carrier switch</w:t>
      </w:r>
      <w:r w:rsidRPr="00931FD8" w:rsidR="00910200">
        <w:rPr>
          <w:color w:val="000000"/>
        </w:rPr>
        <w:t xml:space="preserve"> within</w:t>
      </w:r>
      <w:r w:rsidR="00014056">
        <w:rPr>
          <w:color w:val="000000"/>
        </w:rPr>
        <w:t xml:space="preserve"> the required </w:t>
      </w:r>
      <w:r w:rsidRPr="00931FD8" w:rsidR="00910200">
        <w:rPr>
          <w:color w:val="000000"/>
        </w:rPr>
        <w:t xml:space="preserve">30-day </w:t>
      </w:r>
      <w:r w:rsidR="00CE39C4">
        <w:rPr>
          <w:color w:val="000000"/>
        </w:rPr>
        <w:t>filing deadline</w:t>
      </w:r>
      <w:r w:rsidRPr="00931FD8" w:rsidR="00910200">
        <w:rPr>
          <w:color w:val="000000"/>
        </w:rPr>
        <w:t>.</w:t>
      </w:r>
      <w:r>
        <w:rPr>
          <w:rStyle w:val="FootnoteReference"/>
        </w:rPr>
        <w:footnoteReference w:id="34"/>
      </w:r>
      <w:r w:rsidRPr="00B276A2" w:rsidR="00910200">
        <w:rPr>
          <w:szCs w:val="22"/>
        </w:rPr>
        <w:t xml:space="preserve"> </w:t>
      </w:r>
      <w:r w:rsidRPr="00931FD8" w:rsidR="00910200">
        <w:rPr>
          <w:color w:val="000000"/>
        </w:rPr>
        <w:t xml:space="preserve"> </w:t>
      </w:r>
      <w:r w:rsidR="00014056">
        <w:rPr>
          <w:color w:val="000000"/>
        </w:rPr>
        <w:t xml:space="preserve"> </w:t>
      </w:r>
      <w:r w:rsidRPr="00B276A2" w:rsidR="00C4421F">
        <w:rPr>
          <w:szCs w:val="22"/>
        </w:rPr>
        <w:t xml:space="preserve"> </w:t>
      </w:r>
      <w:r w:rsidRPr="00931FD8">
        <w:rPr>
          <w:color w:val="000000"/>
        </w:rPr>
        <w:t xml:space="preserve"> </w:t>
      </w:r>
    </w:p>
    <w:p w:rsidR="00C410B8" w:rsidRPr="00CA26D2" w:rsidP="00840DBB" w14:paraId="3DE5003F" w14:textId="77777777">
      <w:pPr>
        <w:numPr>
          <w:ilvl w:val="0"/>
          <w:numId w:val="9"/>
        </w:numPr>
        <w:tabs>
          <w:tab w:val="num" w:pos="720"/>
          <w:tab w:val="clear" w:pos="1080"/>
        </w:tabs>
        <w:spacing w:after="120"/>
        <w:ind w:left="720"/>
        <w:jc w:val="both"/>
        <w:rPr>
          <w:b/>
          <w:szCs w:val="22"/>
        </w:rPr>
      </w:pPr>
      <w:r>
        <w:rPr>
          <w:b/>
          <w:szCs w:val="22"/>
        </w:rPr>
        <w:t>ORDERING CLAUSES</w:t>
      </w:r>
    </w:p>
    <w:p w:rsidR="002D3EC8" w:rsidRPr="002D3EC8" w:rsidP="002D3EC8" w14:paraId="15475658" w14:textId="1E987CC4">
      <w:pPr>
        <w:widowControl/>
        <w:numPr>
          <w:ilvl w:val="0"/>
          <w:numId w:val="7"/>
        </w:numPr>
        <w:tabs>
          <w:tab w:val="num" w:pos="0"/>
          <w:tab w:val="left" w:pos="1440"/>
        </w:tabs>
        <w:spacing w:after="120"/>
        <w:ind w:left="0" w:firstLine="720"/>
      </w:pPr>
      <w:r>
        <w:t>Accordingly, I</w:t>
      </w:r>
      <w:r w:rsidRPr="0004500B">
        <w:t>T IS ORDERED that, pursuant to the authority contained in section</w:t>
      </w:r>
      <w:r w:rsidR="00C83B0C">
        <w:t>s</w:t>
      </w:r>
      <w:r>
        <w:t xml:space="preserve"> </w:t>
      </w:r>
      <w:r w:rsidR="00C83B0C">
        <w:t xml:space="preserve">0.141, 0.361, </w:t>
      </w:r>
      <w:r w:rsidR="00997355">
        <w:t xml:space="preserve">and </w:t>
      </w:r>
      <w:r w:rsidRPr="0004500B">
        <w:t>1.3 of the Commission’s rules, 47 CFR §</w:t>
      </w:r>
      <w:r w:rsidR="00C83B0C">
        <w:t>§</w:t>
      </w:r>
      <w:r>
        <w:t xml:space="preserve"> </w:t>
      </w:r>
      <w:r w:rsidR="00C83B0C">
        <w:t xml:space="preserve">0.141, 0.361, </w:t>
      </w:r>
      <w:r w:rsidRPr="0004500B">
        <w:t>1.3,</w:t>
      </w:r>
      <w:r>
        <w:t xml:space="preserve"> </w:t>
      </w:r>
      <w:r w:rsidRPr="0004500B">
        <w:t xml:space="preserve">section </w:t>
      </w:r>
      <w:r>
        <w:t>64.1150(d)</w:t>
      </w:r>
      <w:r w:rsidRPr="0004500B">
        <w:t xml:space="preserve"> of the Commission’s rules, 47 CFR § </w:t>
      </w:r>
      <w:r>
        <w:t>64.1150(d)</w:t>
      </w:r>
      <w:r w:rsidRPr="0004500B">
        <w:t>, IS WAIVED to the extent described herein.</w:t>
      </w:r>
      <w:r w:rsidRPr="002D3EC8" w:rsidR="00C410B8">
        <w:rPr>
          <w:szCs w:val="22"/>
        </w:rPr>
        <w:t xml:space="preserve"> </w:t>
      </w:r>
    </w:p>
    <w:p w:rsidR="00C410B8" w:rsidP="00B276A2" w14:paraId="6CC81F32" w14:textId="409B5F44">
      <w:pPr>
        <w:widowControl/>
        <w:numPr>
          <w:ilvl w:val="0"/>
          <w:numId w:val="7"/>
        </w:numPr>
        <w:tabs>
          <w:tab w:val="num" w:pos="0"/>
          <w:tab w:val="left" w:pos="1440"/>
        </w:tabs>
        <w:spacing w:after="120"/>
        <w:ind w:left="0" w:firstLine="720"/>
      </w:pPr>
      <w:r w:rsidRPr="00D850A9">
        <w:rPr>
          <w:szCs w:val="22"/>
        </w:rPr>
        <w:t>IT IS</w:t>
      </w:r>
      <w:r w:rsidR="002D3EC8">
        <w:rPr>
          <w:szCs w:val="22"/>
        </w:rPr>
        <w:t xml:space="preserve"> FURTHERED</w:t>
      </w:r>
      <w:r w:rsidRPr="00D850A9">
        <w:rPr>
          <w:szCs w:val="22"/>
        </w:rPr>
        <w:t xml:space="preserve"> ORDERED </w:t>
      </w:r>
      <w:r w:rsidRPr="00E87C89">
        <w:t>that</w:t>
      </w:r>
      <w:r w:rsidRPr="00D850A9">
        <w:rPr>
          <w:szCs w:val="22"/>
        </w:rPr>
        <w:t xml:space="preserve">, pursuant to </w:t>
      </w:r>
      <w:r w:rsidR="00DD3CEB">
        <w:rPr>
          <w:szCs w:val="22"/>
        </w:rPr>
        <w:t>s</w:t>
      </w:r>
      <w:r w:rsidRPr="00D850A9">
        <w:rPr>
          <w:szCs w:val="22"/>
        </w:rPr>
        <w:t xml:space="preserve">ection 258 of the Communications Act of 1934, as amended, 47 U.S.C. § 258, </w:t>
      </w:r>
      <w:r w:rsidR="00DD3CEB">
        <w:rPr>
          <w:szCs w:val="22"/>
        </w:rPr>
        <w:t>s</w:t>
      </w:r>
      <w:r w:rsidRPr="00D850A9">
        <w:rPr>
          <w:szCs w:val="22"/>
        </w:rPr>
        <w:t>ections 1.</w:t>
      </w:r>
      <w:r w:rsidR="00B470F5">
        <w:rPr>
          <w:szCs w:val="22"/>
        </w:rPr>
        <w:t>106</w:t>
      </w:r>
      <w:r w:rsidRPr="00D850A9">
        <w:rPr>
          <w:szCs w:val="22"/>
        </w:rPr>
        <w:t xml:space="preserve"> and 1.719 of the Commission’s rules, 47 CFR §§ 1.106, 1.719, and authority delegated by </w:t>
      </w:r>
      <w:r w:rsidR="00DD3CEB">
        <w:rPr>
          <w:szCs w:val="22"/>
        </w:rPr>
        <w:t>s</w:t>
      </w:r>
      <w:r w:rsidRPr="00D850A9">
        <w:rPr>
          <w:szCs w:val="22"/>
        </w:rPr>
        <w:t xml:space="preserve">ections 0.141 and 0.361 of the Commission’s rules, 47 CFR </w:t>
      </w:r>
      <w:r w:rsidRPr="00D850A9">
        <w:rPr>
          <w:szCs w:val="22"/>
        </w:rPr>
        <w:t>§§ 0.141, 0.361, the Petition for Reconsideration filed by</w:t>
      </w:r>
      <w:r w:rsidR="00656429">
        <w:rPr>
          <w:szCs w:val="22"/>
        </w:rPr>
        <w:t xml:space="preserve"> </w:t>
      </w:r>
      <w:r w:rsidR="00656429">
        <w:rPr>
          <w:szCs w:val="22"/>
        </w:rPr>
        <w:t>Telplex</w:t>
      </w:r>
      <w:r w:rsidR="00656429">
        <w:rPr>
          <w:szCs w:val="22"/>
        </w:rPr>
        <w:t xml:space="preserve"> Communications</w:t>
      </w:r>
      <w:r w:rsidRPr="00D850A9">
        <w:rPr>
          <w:szCs w:val="22"/>
        </w:rPr>
        <w:t xml:space="preserve"> on J</w:t>
      </w:r>
      <w:r w:rsidR="00DD3CEB">
        <w:rPr>
          <w:szCs w:val="22"/>
        </w:rPr>
        <w:t xml:space="preserve">une </w:t>
      </w:r>
      <w:r w:rsidR="00656429">
        <w:rPr>
          <w:szCs w:val="22"/>
        </w:rPr>
        <w:t>5</w:t>
      </w:r>
      <w:r w:rsidRPr="00D850A9">
        <w:rPr>
          <w:szCs w:val="22"/>
        </w:rPr>
        <w:t>, 201</w:t>
      </w:r>
      <w:r w:rsidR="00DD3CEB">
        <w:rPr>
          <w:szCs w:val="22"/>
        </w:rPr>
        <w:t>9, IS</w:t>
      </w:r>
      <w:r w:rsidRPr="00D850A9">
        <w:rPr>
          <w:szCs w:val="22"/>
        </w:rPr>
        <w:t xml:space="preserve"> </w:t>
      </w:r>
      <w:r w:rsidR="002D3EC8">
        <w:rPr>
          <w:szCs w:val="22"/>
        </w:rPr>
        <w:t xml:space="preserve">DISMISSED AS </w:t>
      </w:r>
      <w:r w:rsidR="00931FD8">
        <w:rPr>
          <w:szCs w:val="22"/>
        </w:rPr>
        <w:t>MOOT</w:t>
      </w:r>
      <w:r w:rsidR="0071527A">
        <w:rPr>
          <w:szCs w:val="22"/>
        </w:rPr>
        <w:t>.</w:t>
      </w:r>
    </w:p>
    <w:p w:rsidR="0071527A" w:rsidRPr="0071527A" w:rsidP="0071527A" w14:paraId="5461A7F7" w14:textId="23A284DA">
      <w:pPr>
        <w:numPr>
          <w:ilvl w:val="0"/>
          <w:numId w:val="7"/>
        </w:numPr>
        <w:spacing w:after="120"/>
        <w:ind w:left="0" w:firstLine="720"/>
      </w:pPr>
      <w:r w:rsidRPr="0071527A">
        <w:rPr>
          <w:szCs w:val="22"/>
        </w:rPr>
        <w:t>IT</w:t>
      </w:r>
      <w:r w:rsidRPr="0071527A">
        <w:t xml:space="preserve"> IS FURTHER ORDERED that, pursuant to section 258 of the Communications Act of 1934, as amended, 47 U.S.C. § 258, and sections 0.141, 0.361 and 1.719 of the Commission's rules, 47 CFR §§ 0.141, 0.361, 1.719, the </w:t>
      </w:r>
      <w:r w:rsidRPr="00931D12" w:rsidR="00931D12">
        <w:rPr>
          <w:i/>
          <w:iCs/>
        </w:rPr>
        <w:t>Division Order</w:t>
      </w:r>
      <w:r w:rsidR="00931D12">
        <w:t xml:space="preserve"> </w:t>
      </w:r>
      <w:r w:rsidR="00C07E19">
        <w:t>IS</w:t>
      </w:r>
      <w:r w:rsidR="00931D12">
        <w:t xml:space="preserve"> </w:t>
      </w:r>
      <w:r w:rsidR="00C519F2">
        <w:t>VACATED</w:t>
      </w:r>
      <w:r w:rsidR="00931D12">
        <w:t xml:space="preserve">, and </w:t>
      </w:r>
      <w:r w:rsidRPr="0071527A">
        <w:t xml:space="preserve">the complaint that </w:t>
      </w:r>
      <w:r>
        <w:t>is</w:t>
      </w:r>
      <w:r w:rsidRPr="0071527A">
        <w:t xml:space="preserve"> the subject of the </w:t>
      </w:r>
      <w:r w:rsidRPr="0071527A">
        <w:rPr>
          <w:i/>
          <w:iCs/>
        </w:rPr>
        <w:t>Division Order</w:t>
      </w:r>
      <w:r w:rsidRPr="0071527A">
        <w:t xml:space="preserve"> </w:t>
      </w:r>
      <w:r>
        <w:t>IS RESOLVED.</w:t>
      </w:r>
    </w:p>
    <w:p w:rsidR="00C410B8" w:rsidRPr="00CA26D2" w:rsidP="00B276A2" w14:paraId="417590A9" w14:textId="1CFB3361">
      <w:pPr>
        <w:widowControl/>
        <w:numPr>
          <w:ilvl w:val="0"/>
          <w:numId w:val="7"/>
        </w:numPr>
        <w:tabs>
          <w:tab w:val="num" w:pos="0"/>
          <w:tab w:val="left" w:pos="1440"/>
        </w:tabs>
        <w:spacing w:after="120"/>
        <w:ind w:left="0" w:firstLine="720"/>
        <w:rPr>
          <w:szCs w:val="22"/>
        </w:rPr>
      </w:pPr>
      <w:r w:rsidRPr="00D850A9">
        <w:rPr>
          <w:szCs w:val="22"/>
        </w:rPr>
        <w:t xml:space="preserve">IT IS FURTHER </w:t>
      </w:r>
      <w:r w:rsidRPr="00E87C89">
        <w:t>ORDERED</w:t>
      </w:r>
      <w:r w:rsidRPr="00D850A9">
        <w:rPr>
          <w:szCs w:val="22"/>
        </w:rPr>
        <w:t xml:space="preserve"> that</w:t>
      </w:r>
      <w:r w:rsidR="00545530">
        <w:rPr>
          <w:szCs w:val="22"/>
        </w:rPr>
        <w:t>,</w:t>
      </w:r>
      <w:r w:rsidRPr="00D850A9">
        <w:rPr>
          <w:szCs w:val="22"/>
        </w:rPr>
        <w:t xml:space="preserve"> </w:t>
      </w:r>
      <w:r w:rsidR="00545530">
        <w:t xml:space="preserve">pursuant to the authority delegated in section 1.102(b)(1) of the Commission’s rules, 47 CFR § 1.102(b)(1), this </w:t>
      </w:r>
      <w:r w:rsidRPr="00D850A9">
        <w:rPr>
          <w:szCs w:val="22"/>
        </w:rPr>
        <w:t xml:space="preserve">Order </w:t>
      </w:r>
      <w:r w:rsidR="00C07E19">
        <w:rPr>
          <w:szCs w:val="22"/>
        </w:rPr>
        <w:t>IS</w:t>
      </w:r>
      <w:r w:rsidRPr="00D850A9">
        <w:rPr>
          <w:szCs w:val="22"/>
        </w:rPr>
        <w:t xml:space="preserve"> EFFECTIVE UPON RELEASE.</w:t>
      </w:r>
    </w:p>
    <w:p w:rsidR="00C410B8" w:rsidP="00FA4FD6" w14:paraId="563B8CBE" w14:textId="77777777">
      <w:pPr>
        <w:spacing w:after="120"/>
        <w:ind w:left="2880" w:right="270" w:firstLine="1440"/>
        <w:rPr>
          <w:szCs w:val="22"/>
        </w:rPr>
      </w:pPr>
      <w:r>
        <w:rPr>
          <w:szCs w:val="22"/>
        </w:rPr>
        <w:t>FEDERAL COMMUNICATIONS COMMISSION</w:t>
      </w:r>
    </w:p>
    <w:p w:rsidR="00C410B8" w:rsidP="00CA26D2" w14:paraId="45933DB3" w14:textId="77777777">
      <w:pPr>
        <w:spacing w:after="120"/>
        <w:ind w:right="270"/>
        <w:rPr>
          <w:szCs w:val="22"/>
        </w:rPr>
      </w:pPr>
    </w:p>
    <w:p w:rsidR="00C410B8" w:rsidP="00CA26D2" w14:paraId="47DF0F2F" w14:textId="77777777">
      <w:pPr>
        <w:spacing w:after="120"/>
        <w:ind w:right="270"/>
        <w:rPr>
          <w:szCs w:val="22"/>
        </w:rPr>
      </w:pPr>
    </w:p>
    <w:p w:rsidR="00C410B8" w:rsidP="00C410B8" w14:paraId="53566314" w14:textId="77777777">
      <w:pPr>
        <w:ind w:right="270"/>
        <w:rPr>
          <w:szCs w:val="22"/>
        </w:rPr>
      </w:pPr>
    </w:p>
    <w:p w:rsidR="00C410B8" w:rsidP="00C410B8" w14:paraId="3423CA69" w14:textId="77777777">
      <w:pPr>
        <w:tabs>
          <w:tab w:val="left" w:pos="3600"/>
        </w:tabs>
        <w:ind w:right="270"/>
        <w:rPr>
          <w:szCs w:val="22"/>
        </w:rPr>
      </w:pPr>
      <w:r>
        <w:rPr>
          <w:szCs w:val="22"/>
        </w:rPr>
        <w:tab/>
      </w:r>
    </w:p>
    <w:p w:rsidR="00C410B8" w:rsidP="00FA4FD6" w14:paraId="5C18F74F" w14:textId="77777777">
      <w:pPr>
        <w:ind w:right="270" w:firstLine="4230"/>
        <w:rPr>
          <w:szCs w:val="22"/>
        </w:rPr>
      </w:pPr>
      <w:r>
        <w:rPr>
          <w:szCs w:val="22"/>
        </w:rPr>
        <w:tab/>
        <w:t>Mark A. Stone</w:t>
      </w:r>
    </w:p>
    <w:p w:rsidR="00C410B8" w:rsidP="00FA4FD6" w14:paraId="44D47162" w14:textId="77777777">
      <w:pPr>
        <w:ind w:right="270" w:firstLine="4320"/>
        <w:rPr>
          <w:szCs w:val="22"/>
        </w:rPr>
      </w:pPr>
      <w:r>
        <w:rPr>
          <w:szCs w:val="22"/>
        </w:rPr>
        <w:t>Deputy Chief</w:t>
      </w:r>
      <w:r>
        <w:rPr>
          <w:szCs w:val="22"/>
        </w:rPr>
        <w:tab/>
      </w:r>
      <w:r>
        <w:rPr>
          <w:szCs w:val="22"/>
        </w:rPr>
        <w:tab/>
      </w:r>
    </w:p>
    <w:p w:rsidR="00C410B8" w:rsidP="00FA4FD6" w14:paraId="250E94B8" w14:textId="77777777">
      <w:pPr>
        <w:ind w:firstLine="4320"/>
      </w:pPr>
      <w:r>
        <w:t>Consumer and Governmental Affairs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8B5" w:rsidP="0055614C" w14:paraId="363345A2" w14:textId="77777777">
    <w:pPr>
      <w:pStyle w:val="Footer"/>
      <w:framePr w:wrap="around" w:vAnchor="text" w:hAnchor="margin" w:xAlign="center" w:y="1"/>
    </w:pPr>
    <w:r>
      <w:fldChar w:fldCharType="begin"/>
    </w:r>
    <w:r>
      <w:instrText xml:space="preserve">PAGE  </w:instrText>
    </w:r>
    <w:r>
      <w:fldChar w:fldCharType="separate"/>
    </w:r>
    <w:r>
      <w:fldChar w:fldCharType="end"/>
    </w:r>
  </w:p>
  <w:p w:rsidR="002538B5" w14:paraId="680317B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8B5" w14:paraId="6AA3B5C9" w14:textId="5DE317CB">
    <w:pPr>
      <w:pStyle w:val="Footer"/>
      <w:jc w:val="center"/>
    </w:pPr>
    <w:r>
      <w:fldChar w:fldCharType="begin"/>
    </w:r>
    <w:r>
      <w:instrText xml:space="preserve"> PAGE   \* MERGEFORMAT </w:instrText>
    </w:r>
    <w:r>
      <w:fldChar w:fldCharType="separate"/>
    </w:r>
    <w:r w:rsidR="004804C1">
      <w:rPr>
        <w:noProof/>
      </w:rPr>
      <w:t>3</w:t>
    </w:r>
    <w:r>
      <w:rPr>
        <w:noProof/>
      </w:rPr>
      <w:fldChar w:fldCharType="end"/>
    </w:r>
  </w:p>
  <w:p w:rsidR="002538B5" w14:paraId="2581C5B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8B5" w14:paraId="51CC5B7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27B5A" w14:paraId="0D3399F8" w14:textId="77777777">
      <w:r>
        <w:separator/>
      </w:r>
    </w:p>
  </w:footnote>
  <w:footnote w:type="continuationSeparator" w:id="1">
    <w:p w:rsidR="00527B5A" w:rsidP="00C721AC" w14:paraId="02717B17" w14:textId="77777777">
      <w:pPr>
        <w:spacing w:before="120"/>
        <w:rPr>
          <w:sz w:val="20"/>
        </w:rPr>
      </w:pPr>
      <w:r>
        <w:rPr>
          <w:sz w:val="20"/>
        </w:rPr>
        <w:t xml:space="preserve">(Continued from previous page)  </w:t>
      </w:r>
      <w:r>
        <w:rPr>
          <w:sz w:val="20"/>
        </w:rPr>
        <w:separator/>
      </w:r>
    </w:p>
  </w:footnote>
  <w:footnote w:type="continuationNotice" w:id="2">
    <w:p w:rsidR="00527B5A" w:rsidP="00C721AC" w14:paraId="4DC6FD2C" w14:textId="77777777">
      <w:pPr>
        <w:jc w:val="right"/>
        <w:rPr>
          <w:sz w:val="20"/>
        </w:rPr>
      </w:pPr>
      <w:r>
        <w:rPr>
          <w:sz w:val="20"/>
        </w:rPr>
        <w:t>(continued….)</w:t>
      </w:r>
    </w:p>
  </w:footnote>
  <w:footnote w:id="3">
    <w:p w:rsidR="002538B5" w:rsidP="000A481B" w14:paraId="7EBFCAD3" w14:textId="77777777">
      <w:pPr>
        <w:pStyle w:val="FootnoteText"/>
      </w:pPr>
      <w:r>
        <w:rPr>
          <w:rStyle w:val="FootnoteReference"/>
        </w:rPr>
        <w:footnoteRef/>
      </w:r>
      <w:r>
        <w:t xml:space="preserve"> 47 U.S.C. § 258(a).</w:t>
      </w:r>
    </w:p>
  </w:footnote>
  <w:footnote w:id="4">
    <w:p w:rsidR="002538B5" w:rsidP="000A481B" w14:paraId="1ED5079A" w14:textId="77777777">
      <w:pPr>
        <w:pStyle w:val="FootnoteText"/>
        <w:tabs>
          <w:tab w:val="left" w:pos="0"/>
        </w:tabs>
      </w:pPr>
      <w:r>
        <w:rPr>
          <w:rStyle w:val="FootnoteReference"/>
        </w:rPr>
        <w:footnoteRef/>
      </w:r>
      <w:r>
        <w:t xml:space="preserve"> </w:t>
      </w:r>
      <w:r>
        <w:rPr>
          <w:i/>
        </w:rPr>
        <w:t>See</w:t>
      </w:r>
      <w:r>
        <w:t xml:space="preserve"> 47 CFR § 64.1120.</w:t>
      </w:r>
    </w:p>
  </w:footnote>
  <w:footnote w:id="5">
    <w:p w:rsidR="002538B5" w14:paraId="7BDD01DA" w14:textId="77777777">
      <w:pPr>
        <w:pStyle w:val="FootnoteText"/>
      </w:pPr>
      <w:r>
        <w:rPr>
          <w:rStyle w:val="FootnoteReference"/>
        </w:rPr>
        <w:footnoteRef/>
      </w:r>
      <w:r>
        <w:t xml:space="preserve"> </w:t>
      </w:r>
      <w:r w:rsidRPr="000B7DF6">
        <w:rPr>
          <w:i/>
          <w:iCs/>
        </w:rPr>
        <w:t>Id.</w:t>
      </w:r>
      <w:r>
        <w:t xml:space="preserve"> § 64.1150(d).</w:t>
      </w:r>
    </w:p>
  </w:footnote>
  <w:footnote w:id="6">
    <w:p w:rsidR="002538B5" w:rsidP="00712ECD" w14:paraId="689CF404" w14:textId="77777777">
      <w:pPr>
        <w:pStyle w:val="FootnoteText"/>
      </w:pPr>
      <w:r>
        <w:rPr>
          <w:rStyle w:val="FootnoteReference"/>
        </w:rPr>
        <w:footnoteRef/>
      </w:r>
      <w:r>
        <w:rPr>
          <w:i/>
        </w:rPr>
        <w:t xml:space="preserve"> See </w:t>
      </w:r>
      <w:r>
        <w:t>Telplex</w:t>
      </w:r>
      <w:r>
        <w:t xml:space="preserve"> Communications, Petition for Reconsideration (filed June 5, 2019) (Petition); </w:t>
      </w:r>
      <w:r w:rsidRPr="009006D9">
        <w:rPr>
          <w:i/>
        </w:rPr>
        <w:t>see also</w:t>
      </w:r>
      <w:r>
        <w:t xml:space="preserve"> </w:t>
      </w:r>
      <w:r>
        <w:rPr>
          <w:i/>
        </w:rPr>
        <w:t>Telplex</w:t>
      </w:r>
      <w:r>
        <w:rPr>
          <w:i/>
        </w:rPr>
        <w:t xml:space="preserve"> Communications</w:t>
      </w:r>
      <w:r w:rsidRPr="0056579C">
        <w:rPr>
          <w:i/>
        </w:rPr>
        <w:t>, Complaint Regarding Unauthorized Change of Subscriber’s Telecommunications Carrier</w:t>
      </w:r>
      <w:r w:rsidRPr="0056579C">
        <w:t xml:space="preserve">, Order, </w:t>
      </w:r>
      <w:r>
        <w:t xml:space="preserve">34 FCC </w:t>
      </w:r>
      <w:r>
        <w:t>Rcd</w:t>
      </w:r>
      <w:r>
        <w:t xml:space="preserve"> 2927</w:t>
      </w:r>
      <w:r w:rsidRPr="0056579C">
        <w:t xml:space="preserve"> (</w:t>
      </w:r>
      <w:r>
        <w:t>CGB 2019) (</w:t>
      </w:r>
      <w:r w:rsidRPr="00573B04">
        <w:rPr>
          <w:i/>
        </w:rPr>
        <w:t>Division Order</w:t>
      </w:r>
      <w:r>
        <w:t>).</w:t>
      </w:r>
      <w:r>
        <w:tab/>
      </w:r>
    </w:p>
  </w:footnote>
  <w:footnote w:id="7">
    <w:p w:rsidR="00166F9A" w14:paraId="36220E84" w14:textId="33ECCA57">
      <w:pPr>
        <w:pStyle w:val="FootnoteText"/>
      </w:pPr>
      <w:r>
        <w:rPr>
          <w:rStyle w:val="FootnoteReference"/>
        </w:rPr>
        <w:footnoteRef/>
      </w:r>
      <w:r>
        <w:t xml:space="preserve"> 47 CFR § 64.1150(d)</w:t>
      </w:r>
      <w:r w:rsidR="00780697">
        <w:t>.</w:t>
      </w:r>
    </w:p>
  </w:footnote>
  <w:footnote w:id="8">
    <w:p w:rsidR="002538B5" w:rsidP="004A041E" w14:paraId="684A25FA" w14:textId="37567FBD">
      <w:pPr>
        <w:pStyle w:val="FootnoteText"/>
        <w:tabs>
          <w:tab w:val="left" w:pos="0"/>
        </w:tabs>
      </w:pPr>
      <w:r>
        <w:rPr>
          <w:rStyle w:val="FootnoteReference"/>
        </w:rPr>
        <w:footnoteRef/>
      </w:r>
      <w:r>
        <w:rPr>
          <w:i/>
        </w:rPr>
        <w:t xml:space="preserve"> See</w:t>
      </w:r>
      <w:r>
        <w:t xml:space="preserve"> </w:t>
      </w:r>
      <w:r w:rsidRPr="00AB6109" w:rsidR="00AB6109">
        <w:rPr>
          <w:i/>
        </w:rPr>
        <w:t>id.</w:t>
      </w:r>
      <w:r>
        <w:t xml:space="preserve"> § 64.1120(c).  Section 64.1130 of the Commission’s rules details the requirements for letter of agency form and content for written or electronically signed authorizations.  </w:t>
      </w:r>
      <w:r w:rsidRPr="0014591C">
        <w:rPr>
          <w:i/>
        </w:rPr>
        <w:t>Id.</w:t>
      </w:r>
      <w:r>
        <w:t xml:space="preserve"> § 64.1130.</w:t>
      </w:r>
    </w:p>
  </w:footnote>
  <w:footnote w:id="9">
    <w:p w:rsidR="002538B5" w:rsidP="004A041E" w14:paraId="7F9FD091" w14:textId="77777777">
      <w:pPr>
        <w:pStyle w:val="FootnoteText"/>
      </w:pPr>
      <w:r>
        <w:rPr>
          <w:rStyle w:val="FootnoteReference"/>
          <w:szCs w:val="22"/>
        </w:rPr>
        <w:footnoteRef/>
      </w:r>
      <w:r>
        <w:t xml:space="preserve"> </w:t>
      </w:r>
      <w:r w:rsidRPr="0000580C">
        <w:rPr>
          <w:i/>
        </w:rPr>
        <w:t>Id.</w:t>
      </w:r>
      <w:r>
        <w:t xml:space="preserve"> § 64.1120(c)(3)(iii).</w:t>
      </w:r>
    </w:p>
  </w:footnote>
  <w:footnote w:id="10">
    <w:p w:rsidR="002538B5" w:rsidP="004A041E" w14:paraId="31114855" w14:textId="77777777">
      <w:pPr>
        <w:pStyle w:val="FootnoteText"/>
      </w:pPr>
      <w:r>
        <w:rPr>
          <w:rStyle w:val="FootnoteReference"/>
        </w:rPr>
        <w:footnoteRef/>
      </w:r>
      <w:r>
        <w:t xml:space="preserve"> </w:t>
      </w:r>
      <w:r w:rsidRPr="00DE4206">
        <w:rPr>
          <w:i/>
        </w:rPr>
        <w:t>Id</w:t>
      </w:r>
      <w:r>
        <w:t>. § 64.1150(d).</w:t>
      </w:r>
    </w:p>
  </w:footnote>
  <w:footnote w:id="11">
    <w:p w:rsidR="002538B5" w:rsidP="004A041E" w14:paraId="7F10AFE1" w14:textId="77777777">
      <w:pPr>
        <w:pStyle w:val="FootnoteText"/>
      </w:pPr>
      <w:r>
        <w:rPr>
          <w:rStyle w:val="FootnoteReference"/>
        </w:rPr>
        <w:footnoteRef/>
      </w:r>
      <w:r>
        <w:t xml:space="preserve"> </w:t>
      </w:r>
      <w:r w:rsidRPr="001469C5">
        <w:rPr>
          <w:i/>
          <w:iCs/>
        </w:rPr>
        <w:t>See id</w:t>
      </w:r>
      <w:r>
        <w:t>.</w:t>
      </w:r>
    </w:p>
  </w:footnote>
  <w:footnote w:id="12">
    <w:p w:rsidR="002538B5" w14:paraId="3E38441F" w14:textId="2E271FC1">
      <w:pPr>
        <w:pStyle w:val="FootnoteText"/>
      </w:pPr>
      <w:r>
        <w:rPr>
          <w:rStyle w:val="FootnoteReference"/>
        </w:rPr>
        <w:footnoteRef/>
      </w:r>
      <w:r>
        <w:t xml:space="preserve"> </w:t>
      </w:r>
      <w:r w:rsidRPr="00F83CFC">
        <w:rPr>
          <w:i/>
        </w:rPr>
        <w:t>Id</w:t>
      </w:r>
      <w:r>
        <w:t xml:space="preserve">.  </w:t>
      </w:r>
    </w:p>
  </w:footnote>
  <w:footnote w:id="13">
    <w:p w:rsidR="002538B5" w:rsidP="004A041E" w14:paraId="0F9A3CFF" w14:textId="77777777">
      <w:pPr>
        <w:pStyle w:val="FootnoteText"/>
      </w:pPr>
      <w:r>
        <w:rPr>
          <w:rStyle w:val="FootnoteReference"/>
        </w:rPr>
        <w:footnoteRef/>
      </w:r>
      <w:r>
        <w:t xml:space="preserve"> </w:t>
      </w:r>
      <w:r w:rsidRPr="00331169">
        <w:rPr>
          <w:i/>
        </w:rPr>
        <w:t>Id</w:t>
      </w:r>
      <w:r>
        <w:t>.</w:t>
      </w:r>
    </w:p>
  </w:footnote>
  <w:footnote w:id="14">
    <w:p w:rsidR="002538B5" w:rsidP="004A041E" w14:paraId="2B22AD0C" w14:textId="77777777">
      <w:pPr>
        <w:pStyle w:val="FootnoteText"/>
      </w:pPr>
      <w:r>
        <w:rPr>
          <w:rStyle w:val="FootnoteReference"/>
        </w:rPr>
        <w:footnoteRef/>
      </w:r>
      <w:r>
        <w:t xml:space="preserve"> </w:t>
      </w:r>
      <w:r w:rsidRPr="009B1AFF">
        <w:rPr>
          <w:i/>
        </w:rPr>
        <w:t>See</w:t>
      </w:r>
      <w:r>
        <w:t xml:space="preserve"> Informal Complaint No. 2830631 (filed Oct. 9, 2018). </w:t>
      </w:r>
    </w:p>
  </w:footnote>
  <w:footnote w:id="15">
    <w:p w:rsidR="002538B5" w:rsidP="004A041E" w14:paraId="25E3E5E0" w14:textId="6551E2E2">
      <w:pPr>
        <w:pStyle w:val="FootnoteText"/>
      </w:pPr>
      <w:r>
        <w:rPr>
          <w:rStyle w:val="FootnoteReference"/>
        </w:rPr>
        <w:footnoteRef/>
      </w:r>
      <w:r>
        <w:t xml:space="preserve"> </w:t>
      </w:r>
      <w:r w:rsidRPr="006873BC">
        <w:rPr>
          <w:i/>
        </w:rPr>
        <w:t>See</w:t>
      </w:r>
      <w:r>
        <w:t xml:space="preserve"> Petition at 3-4; 47 CFR § 1.719 (Commission procedure for informal complaints filed pursuant to section 258 of the Act); </w:t>
      </w:r>
      <w:r>
        <w:rPr>
          <w:i/>
        </w:rPr>
        <w:t xml:space="preserve">id. </w:t>
      </w:r>
      <w:r>
        <w:t>§ 64.1150 (procedures for resolution of unauthorized changes in preferred carrier).</w:t>
      </w:r>
    </w:p>
  </w:footnote>
  <w:footnote w:id="16">
    <w:p w:rsidR="002538B5" w:rsidP="00786D12" w14:paraId="32F689A2" w14:textId="34572236">
      <w:pPr>
        <w:pStyle w:val="FootnoteText"/>
      </w:pPr>
      <w:r>
        <w:rPr>
          <w:rStyle w:val="FootnoteReference"/>
          <w:szCs w:val="22"/>
        </w:rPr>
        <w:footnoteRef/>
      </w:r>
      <w:r>
        <w:t xml:space="preserve">  </w:t>
      </w:r>
      <w:r>
        <w:rPr>
          <w:i/>
        </w:rPr>
        <w:t xml:space="preserve">See </w:t>
      </w:r>
      <w:r>
        <w:rPr>
          <w:iCs/>
        </w:rPr>
        <w:t xml:space="preserve">E-mail from Adam Bowser, Counsel to </w:t>
      </w:r>
      <w:r>
        <w:rPr>
          <w:iCs/>
        </w:rPr>
        <w:t>Telplex</w:t>
      </w:r>
      <w:r>
        <w:rPr>
          <w:iCs/>
        </w:rPr>
        <w:t xml:space="preserve">, to CCC Carrier Support (Oct. 18, 2018).  </w:t>
      </w:r>
      <w:r>
        <w:t xml:space="preserve">  </w:t>
      </w:r>
    </w:p>
  </w:footnote>
  <w:footnote w:id="17">
    <w:p w:rsidR="002538B5" w:rsidP="00435F69" w14:paraId="74BB7BB1" w14:textId="77777777">
      <w:pPr>
        <w:pStyle w:val="FootnoteText"/>
      </w:pPr>
      <w:r>
        <w:rPr>
          <w:rStyle w:val="FootnoteReference"/>
        </w:rPr>
        <w:footnoteRef/>
      </w:r>
      <w:r>
        <w:t xml:space="preserve"> </w:t>
      </w:r>
      <w:r w:rsidRPr="006A1034">
        <w:rPr>
          <w:i/>
        </w:rPr>
        <w:t>See</w:t>
      </w:r>
      <w:r>
        <w:t xml:space="preserve"> Petition, Declaration of Adam Bowser, Exhibit A.</w:t>
      </w:r>
    </w:p>
  </w:footnote>
  <w:footnote w:id="18">
    <w:p w:rsidR="002538B5" w:rsidP="00786D12" w14:paraId="53135517" w14:textId="6C4E31DF">
      <w:pPr>
        <w:pStyle w:val="FootnoteText"/>
      </w:pPr>
      <w:r>
        <w:rPr>
          <w:rStyle w:val="FootnoteReference"/>
          <w:szCs w:val="22"/>
        </w:rPr>
        <w:footnoteRef/>
      </w:r>
      <w:r>
        <w:t xml:space="preserve">  </w:t>
      </w:r>
      <w:r>
        <w:rPr>
          <w:i/>
        </w:rPr>
        <w:t>See id.</w:t>
      </w:r>
      <w:r w:rsidRPr="00FD7CD4">
        <w:rPr>
          <w:i/>
        </w:rPr>
        <w:t xml:space="preserve"> </w:t>
      </w:r>
      <w:r>
        <w:rPr>
          <w:iCs/>
        </w:rPr>
        <w:t xml:space="preserve"> </w:t>
      </w:r>
      <w:r w:rsidRPr="006873BC">
        <w:t xml:space="preserve">As discussed above, </w:t>
      </w:r>
      <w:r>
        <w:t xml:space="preserve">third-party verification is one method a carrier may use to verify and record a consumer’s authorization to change his or her preferred </w:t>
      </w:r>
      <w:r>
        <w:t>long distance</w:t>
      </w:r>
      <w:r>
        <w:t xml:space="preserve"> carrier. </w:t>
      </w:r>
      <w:r w:rsidRPr="00786D12">
        <w:rPr>
          <w:i/>
        </w:rPr>
        <w:t xml:space="preserve">   </w:t>
      </w:r>
      <w:r>
        <w:t xml:space="preserve">  </w:t>
      </w:r>
    </w:p>
  </w:footnote>
  <w:footnote w:id="19">
    <w:p w:rsidR="002538B5" w14:paraId="455E03BE" w14:textId="46664AF5">
      <w:pPr>
        <w:pStyle w:val="FootnoteText"/>
      </w:pPr>
      <w:r>
        <w:rPr>
          <w:rStyle w:val="FootnoteReference"/>
        </w:rPr>
        <w:footnoteRef/>
      </w:r>
      <w:r>
        <w:t xml:space="preserve"> </w:t>
      </w:r>
      <w:r w:rsidRPr="00C21C3D">
        <w:rPr>
          <w:i/>
          <w:iCs/>
        </w:rPr>
        <w:t>See id</w:t>
      </w:r>
      <w:r>
        <w:t>.</w:t>
      </w:r>
    </w:p>
  </w:footnote>
  <w:footnote w:id="20">
    <w:p w:rsidR="002538B5" w:rsidP="004A041E" w14:paraId="6D11CD26" w14:textId="77777777">
      <w:pPr>
        <w:pStyle w:val="FootnoteText"/>
      </w:pPr>
      <w:r w:rsidRPr="0056579C">
        <w:rPr>
          <w:rStyle w:val="FootnoteReference"/>
        </w:rPr>
        <w:footnoteRef/>
      </w:r>
      <w:r w:rsidRPr="0056579C">
        <w:t xml:space="preserve"> </w:t>
      </w:r>
      <w:r w:rsidRPr="0056579C">
        <w:rPr>
          <w:i/>
        </w:rPr>
        <w:t>See</w:t>
      </w:r>
      <w:r>
        <w:rPr>
          <w:i/>
        </w:rPr>
        <w:t xml:space="preserve"> Division Order</w:t>
      </w:r>
      <w:r w:rsidRPr="0056579C">
        <w:t xml:space="preserve">, </w:t>
      </w:r>
      <w:r>
        <w:t xml:space="preserve">34 FCC </w:t>
      </w:r>
      <w:r>
        <w:t>Rcd</w:t>
      </w:r>
      <w:r>
        <w:t xml:space="preserve"> at 2928, para. 3.</w:t>
      </w:r>
    </w:p>
  </w:footnote>
  <w:footnote w:id="21">
    <w:p w:rsidR="0080684C" w:rsidP="0080684C" w14:paraId="061C8569" w14:textId="77777777">
      <w:pPr>
        <w:pStyle w:val="FootnoteText"/>
      </w:pPr>
      <w:r>
        <w:rPr>
          <w:rStyle w:val="FootnoteReference"/>
        </w:rPr>
        <w:footnoteRef/>
      </w:r>
      <w:r>
        <w:t xml:space="preserve"> Petition at 2.  </w:t>
      </w:r>
    </w:p>
  </w:footnote>
  <w:footnote w:id="22">
    <w:p w:rsidR="0080684C" w:rsidP="0080684C" w14:paraId="0F36B4DC" w14:textId="77777777">
      <w:pPr>
        <w:pStyle w:val="FootnoteText"/>
      </w:pPr>
      <w:r>
        <w:rPr>
          <w:rStyle w:val="FootnoteReference"/>
        </w:rPr>
        <w:footnoteRef/>
      </w:r>
      <w:r>
        <w:t xml:space="preserve"> </w:t>
      </w:r>
      <w:r w:rsidRPr="009215F8">
        <w:rPr>
          <w:i/>
        </w:rPr>
        <w:t>Id</w:t>
      </w:r>
      <w:r>
        <w:t xml:space="preserve">. at 5, 7.  </w:t>
      </w:r>
    </w:p>
  </w:footnote>
  <w:footnote w:id="23">
    <w:p w:rsidR="002538B5" w:rsidRPr="00A52E27" w14:paraId="436EEE07" w14:textId="46386494">
      <w:pPr>
        <w:pStyle w:val="FootnoteText"/>
        <w:rPr>
          <w:i/>
          <w:iCs/>
        </w:rPr>
      </w:pPr>
      <w:r>
        <w:rPr>
          <w:rStyle w:val="FootnoteReference"/>
        </w:rPr>
        <w:footnoteRef/>
      </w:r>
      <w:r>
        <w:t xml:space="preserve"> </w:t>
      </w:r>
      <w:r>
        <w:rPr>
          <w:i/>
          <w:iCs/>
        </w:rPr>
        <w:t xml:space="preserve">See </w:t>
      </w:r>
      <w:r>
        <w:t>Petition at 2, 4-6, and Declaration of Keith Nussbaum, Exhibit A.</w:t>
      </w:r>
    </w:p>
  </w:footnote>
  <w:footnote w:id="24">
    <w:p w:rsidR="002538B5" w:rsidP="00D937CB" w14:paraId="4D0D705E" w14:textId="77777777">
      <w:pPr>
        <w:pStyle w:val="FootnoteText"/>
      </w:pPr>
      <w:r>
        <w:rPr>
          <w:rStyle w:val="FootnoteReference"/>
        </w:rPr>
        <w:footnoteRef/>
      </w:r>
      <w:r>
        <w:t xml:space="preserve"> </w:t>
      </w:r>
      <w:r w:rsidRPr="007F4A5D">
        <w:t>47 CFR § 1.3</w:t>
      </w:r>
      <w:r>
        <w:t xml:space="preserve"> (providing for suspension, amendment, or waiver of Commission rules, in whole or in part, for good cause shown; the Commission may waive any provision of the rules on its own motion).</w:t>
      </w:r>
    </w:p>
  </w:footnote>
  <w:footnote w:id="25">
    <w:p w:rsidR="002538B5" w14:paraId="179CA6BC" w14:textId="77777777">
      <w:pPr>
        <w:pStyle w:val="FootnoteText"/>
      </w:pPr>
      <w:r>
        <w:rPr>
          <w:rStyle w:val="FootnoteReference"/>
        </w:rPr>
        <w:footnoteRef/>
      </w:r>
      <w:r>
        <w:t xml:space="preserve"> </w:t>
      </w:r>
      <w:r w:rsidRPr="00296BEB">
        <w:rPr>
          <w:i/>
          <w:iCs/>
        </w:rPr>
        <w:t>Northeast Cellular Tel. Co. v. FCC</w:t>
      </w:r>
      <w:r>
        <w:t>, 897 F.2d 1164, 1166 (D.C. Cir. 1990) (</w:t>
      </w:r>
      <w:r w:rsidRPr="00255016">
        <w:rPr>
          <w:i/>
          <w:iCs/>
        </w:rPr>
        <w:t>Northeast Cellular</w:t>
      </w:r>
      <w:r>
        <w:t>).</w:t>
      </w:r>
    </w:p>
  </w:footnote>
  <w:footnote w:id="26">
    <w:p w:rsidR="002538B5" w14:paraId="6FB532F1" w14:textId="77777777">
      <w:pPr>
        <w:pStyle w:val="FootnoteText"/>
      </w:pPr>
      <w:r>
        <w:rPr>
          <w:rStyle w:val="FootnoteReference"/>
        </w:rPr>
        <w:footnoteRef/>
      </w:r>
      <w:r>
        <w:t xml:space="preserve"> </w:t>
      </w:r>
      <w:r w:rsidRPr="00296BEB">
        <w:rPr>
          <w:i/>
          <w:iCs/>
        </w:rPr>
        <w:t>WAIT Radio v. FCC</w:t>
      </w:r>
      <w:r>
        <w:t xml:space="preserve">, 418 F.2d 1153, 1159 (D.C. Cir. 1969), </w:t>
      </w:r>
      <w:r w:rsidRPr="00296BEB">
        <w:rPr>
          <w:i/>
          <w:iCs/>
        </w:rPr>
        <w:t>cert. denied</w:t>
      </w:r>
      <w:r>
        <w:t xml:space="preserve">, 409 U.S. 1027 (1972); </w:t>
      </w:r>
      <w:r w:rsidRPr="00296BEB">
        <w:rPr>
          <w:i/>
          <w:iCs/>
        </w:rPr>
        <w:t>Northeast Cellular</w:t>
      </w:r>
      <w:r>
        <w:t>, 897 F.2d at 1166.</w:t>
      </w:r>
    </w:p>
  </w:footnote>
  <w:footnote w:id="27">
    <w:p w:rsidR="003324D0" w14:paraId="099BBEF6" w14:textId="24378574">
      <w:pPr>
        <w:pStyle w:val="FootnoteText"/>
      </w:pPr>
      <w:r>
        <w:rPr>
          <w:rStyle w:val="FootnoteReference"/>
        </w:rPr>
        <w:footnoteRef/>
      </w:r>
      <w:r>
        <w:t xml:space="preserve"> 47 CFR § 64.1150(d).</w:t>
      </w:r>
    </w:p>
  </w:footnote>
  <w:footnote w:id="28">
    <w:p w:rsidR="002538B5" w:rsidP="00BD059B" w14:paraId="05C52BB9" w14:textId="77777777">
      <w:pPr>
        <w:pStyle w:val="FootnoteText"/>
      </w:pPr>
      <w:r>
        <w:rPr>
          <w:rStyle w:val="FootnoteReference"/>
        </w:rPr>
        <w:footnoteRef/>
      </w:r>
      <w:r>
        <w:t xml:space="preserve"> </w:t>
      </w:r>
      <w:r w:rsidRPr="001178A2">
        <w:rPr>
          <w:i/>
        </w:rPr>
        <w:t>See</w:t>
      </w:r>
      <w:r>
        <w:t xml:space="preserve"> Informal Complaint No. 2830631 (filed Oct. 9, 2018).    </w:t>
      </w:r>
    </w:p>
  </w:footnote>
  <w:footnote w:id="29">
    <w:p w:rsidR="002538B5" w:rsidP="00BD059B" w14:paraId="40EFD4F8" w14:textId="72042CDE">
      <w:pPr>
        <w:pStyle w:val="FootnoteText"/>
      </w:pPr>
      <w:r>
        <w:rPr>
          <w:rStyle w:val="FootnoteReference"/>
        </w:rPr>
        <w:footnoteRef/>
      </w:r>
      <w:r>
        <w:t xml:space="preserve"> </w:t>
      </w:r>
      <w:r w:rsidR="004804C1">
        <w:t xml:space="preserve">In a process specific to slamming complaints, the Commission’s rules </w:t>
      </w:r>
      <w:r>
        <w:t>require the carrier to provide</w:t>
      </w:r>
      <w:r w:rsidR="004804C1">
        <w:t xml:space="preserve"> </w:t>
      </w:r>
      <w:r>
        <w:t>valid proof of authorization</w:t>
      </w:r>
      <w:r w:rsidR="004804C1">
        <w:t xml:space="preserve"> in response to such a complaint.  This process </w:t>
      </w:r>
      <w:r>
        <w:t>generally result</w:t>
      </w:r>
      <w:r w:rsidR="004804C1">
        <w:t>s</w:t>
      </w:r>
      <w:r>
        <w:t xml:space="preserve"> in an order from the Division either granting or denying the complaint.  If the complaint is granted, the Division directs the carrier</w:t>
      </w:r>
      <w:r>
        <w:rPr>
          <w:snapToGrid w:val="0"/>
        </w:rPr>
        <w:t xml:space="preserve"> to compensate the subscriber whose carrier was changed without authorization.  </w:t>
      </w:r>
      <w:r w:rsidRPr="00437E9C">
        <w:rPr>
          <w:i/>
          <w:snapToGrid w:val="0"/>
        </w:rPr>
        <w:t>See</w:t>
      </w:r>
      <w:r>
        <w:rPr>
          <w:snapToGrid w:val="0"/>
        </w:rPr>
        <w:t xml:space="preserve"> 47 CFR </w:t>
      </w:r>
      <w:r>
        <w:t>§§ 64.1140, 64.1160, 64.1170.</w:t>
      </w:r>
    </w:p>
  </w:footnote>
  <w:footnote w:id="30">
    <w:p w:rsidR="002538B5" w:rsidP="007F75C0" w14:paraId="4BC9FAF8" w14:textId="042FC4C7">
      <w:pPr>
        <w:pStyle w:val="FootnoteText"/>
      </w:pPr>
      <w:r>
        <w:rPr>
          <w:rStyle w:val="FootnoteReference"/>
        </w:rPr>
        <w:footnoteRef/>
      </w:r>
      <w:r>
        <w:t xml:space="preserve"> </w:t>
      </w:r>
      <w:r w:rsidRPr="00DE4206">
        <w:rPr>
          <w:i/>
        </w:rPr>
        <w:t>Id</w:t>
      </w:r>
      <w:r>
        <w:t xml:space="preserve">. § 64.1150(d).  </w:t>
      </w:r>
    </w:p>
  </w:footnote>
  <w:footnote w:id="31">
    <w:p w:rsidR="00E020E3" w:rsidRPr="00FA01E3" w14:paraId="70B736BB" w14:textId="6277B3C5">
      <w:pPr>
        <w:pStyle w:val="FootnoteText"/>
      </w:pPr>
      <w:r>
        <w:rPr>
          <w:rStyle w:val="FootnoteReference"/>
        </w:rPr>
        <w:footnoteRef/>
      </w:r>
      <w:r>
        <w:t xml:space="preserve"> For example, carriers could consider e-mailing or otherwise contacting Division staff to timely submit any </w:t>
      </w:r>
      <w:r w:rsidRPr="00FA01E3">
        <w:t>required information.</w:t>
      </w:r>
    </w:p>
  </w:footnote>
  <w:footnote w:id="32">
    <w:p w:rsidR="002538B5" w:rsidP="00DE62F0" w14:paraId="0E99D8EC" w14:textId="77777777">
      <w:pPr>
        <w:pStyle w:val="FootnoteText"/>
      </w:pPr>
      <w:r w:rsidRPr="00FA01E3">
        <w:rPr>
          <w:rStyle w:val="FootnoteReference"/>
        </w:rPr>
        <w:footnoteRef/>
      </w:r>
      <w:r w:rsidRPr="00FA01E3">
        <w:t xml:space="preserve"> </w:t>
      </w:r>
      <w:r w:rsidRPr="00FA01E3">
        <w:rPr>
          <w:i/>
        </w:rPr>
        <w:t>See</w:t>
      </w:r>
      <w:r w:rsidRPr="00194FBA">
        <w:t xml:space="preserve"> 47 CFR § 64.1150(d).  </w:t>
      </w:r>
    </w:p>
  </w:footnote>
  <w:footnote w:id="33">
    <w:p w:rsidR="002538B5" w14:paraId="38D00063" w14:textId="3193C503">
      <w:pPr>
        <w:pStyle w:val="FootnoteText"/>
      </w:pPr>
      <w:r>
        <w:rPr>
          <w:rStyle w:val="FootnoteReference"/>
        </w:rPr>
        <w:footnoteRef/>
      </w:r>
      <w:r>
        <w:t xml:space="preserve"> </w:t>
      </w:r>
      <w:r>
        <w:t>Telplex</w:t>
      </w:r>
      <w:r>
        <w:t xml:space="preserve"> stated that, “upon receipt of the complaint, it fully credited Complainant’s account, the company’s unpaid balance was written off, and any collections activities ceased.”  </w:t>
      </w:r>
      <w:r>
        <w:t>Telplex</w:t>
      </w:r>
      <w:r>
        <w:t xml:space="preserve"> further states that “this will not change,” and that Complainant “will not be adversely affected in any way by granting </w:t>
      </w:r>
      <w:r>
        <w:t>th</w:t>
      </w:r>
      <w:r>
        <w:t>[e] Petition.”  Petition at 7.</w:t>
      </w:r>
    </w:p>
  </w:footnote>
  <w:footnote w:id="34">
    <w:p w:rsidR="002538B5" w:rsidP="00910200" w14:paraId="04563021" w14:textId="3DFD19EC">
      <w:pPr>
        <w:pStyle w:val="FootnoteText"/>
      </w:pPr>
      <w:r>
        <w:rPr>
          <w:rStyle w:val="FootnoteReference"/>
        </w:rPr>
        <w:footnoteRef/>
      </w:r>
      <w:r>
        <w:t xml:space="preserve"> The Bureau will send a copy of this Order to Complainant and to </w:t>
      </w:r>
      <w:r>
        <w:t>Telplex</w:t>
      </w:r>
      <w:r>
        <w:t xml:space="preserve"> at the addresses identified in FCC records.  </w:t>
      </w:r>
      <w:r w:rsidRPr="00C24BCC">
        <w:t xml:space="preserve">If </w:t>
      </w:r>
      <w:r>
        <w:t>C</w:t>
      </w:r>
      <w:r w:rsidRPr="00C24BCC">
        <w:t>omplainan</w:t>
      </w:r>
      <w:r>
        <w:t>t</w:t>
      </w:r>
      <w:r w:rsidRPr="00C24BCC">
        <w:t xml:space="preserve"> </w:t>
      </w:r>
      <w:r>
        <w:t xml:space="preserve">is </w:t>
      </w:r>
      <w:r w:rsidRPr="00C24BCC">
        <w:t xml:space="preserve">unsatisfied with the resolution of </w:t>
      </w:r>
      <w:r>
        <w:t xml:space="preserve">the </w:t>
      </w:r>
      <w:r w:rsidRPr="00C24BCC">
        <w:t xml:space="preserve">complaint, </w:t>
      </w:r>
      <w:r>
        <w:t xml:space="preserve">Complainant </w:t>
      </w:r>
      <w:r w:rsidRPr="00C24BCC">
        <w:t xml:space="preserve">may file a formal complaint with the Commission pursuant to section 1.721 of the Commission's rules, </w:t>
      </w:r>
      <w:r>
        <w:t xml:space="preserve">47 CFR </w:t>
      </w:r>
      <w:r w:rsidRPr="00C24BCC">
        <w:t>§</w:t>
      </w:r>
      <w:r>
        <w:t>§ 1.719;</w:t>
      </w:r>
      <w:r w:rsidRPr="00C24BCC">
        <w:t xml:space="preserve"> 1.721. </w:t>
      </w:r>
      <w:r>
        <w:t xml:space="preserve"> </w:t>
      </w:r>
      <w:r w:rsidRPr="00C24BCC">
        <w:t>Such filing will be deemed to relate back to</w:t>
      </w:r>
      <w:r>
        <w:t xml:space="preserve"> the filing date of Complainant’</w:t>
      </w:r>
      <w:r w:rsidRPr="00C24BCC">
        <w:t xml:space="preserve">s informal complaint so long as the formal complaint is filed within 45 days from the date this order is mailed or delivered electronically to </w:t>
      </w:r>
      <w:r>
        <w:t>the c</w:t>
      </w:r>
      <w:r w:rsidRPr="00C24BCC">
        <w:t xml:space="preserve">omplainant. </w:t>
      </w:r>
      <w:r>
        <w:t xml:space="preserve"> </w:t>
      </w:r>
      <w:r w:rsidRPr="00C24BCC">
        <w:rPr>
          <w:i/>
          <w:iCs/>
        </w:rPr>
        <w:t>See</w:t>
      </w:r>
      <w:r>
        <w:rPr>
          <w:i/>
          <w:iCs/>
        </w:rPr>
        <w:t xml:space="preserve"> id.</w:t>
      </w:r>
      <w:r w:rsidRPr="00AA685D">
        <w:t xml:space="preserve"> </w:t>
      </w:r>
      <w:r>
        <w:t>§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8B5" w:rsidP="00810B6F" w14:paraId="0C0CE8C0" w14:textId="2B86A7B2">
    <w:pPr>
      <w:pStyle w:val="Header"/>
      <w:rPr>
        <w:b w:val="0"/>
      </w:rPr>
    </w:pPr>
    <w:r>
      <w:tab/>
      <w:t>Federal Communications Commission</w:t>
    </w:r>
    <w:r>
      <w:tab/>
      <w:t>DA 21-</w:t>
    </w:r>
    <w:r w:rsidR="00EF4A97">
      <w:t>1017</w:t>
    </w:r>
  </w:p>
  <w:p w:rsidR="002538B5" w14:paraId="39A5BBCA" w14:textId="574C3A6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2538B5" w14:paraId="262213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8B5" w:rsidP="00810B6F" w14:paraId="15804156" w14:textId="17C1761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tab/>
      <w:t>Federal Communications Commission</w:t>
    </w:r>
    <w:r>
      <w:tab/>
      <w:t>DA</w:t>
    </w:r>
    <w:r>
      <w:rPr>
        <w:spacing w:val="-2"/>
      </w:rPr>
      <w:t xml:space="preserve"> 21-</w:t>
    </w:r>
    <w:r w:rsidR="00EF4A97">
      <w:rPr>
        <w:spacing w:val="-2"/>
      </w:rPr>
      <w:t>1017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74208F1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F3C48"/>
    <w:multiLevelType w:val="singleLevel"/>
    <w:tmpl w:val="AE1C02B8"/>
    <w:lvl w:ilvl="0">
      <w:start w:val="1"/>
      <w:numFmt w:val="decimal"/>
      <w:lvlText w:val="%1."/>
      <w:lvlJc w:val="left"/>
      <w:pPr>
        <w:tabs>
          <w:tab w:val="num" w:pos="1440"/>
        </w:tabs>
        <w:ind w:left="1440" w:hanging="720"/>
      </w:pPr>
      <w:rPr>
        <w:rFonts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C1498E"/>
    <w:multiLevelType w:val="singleLevel"/>
    <w:tmpl w:val="AE1C02B8"/>
    <w:lvl w:ilvl="0">
      <w:start w:val="1"/>
      <w:numFmt w:val="decimal"/>
      <w:lvlText w:val="%1."/>
      <w:lvlJc w:val="left"/>
      <w:pPr>
        <w:tabs>
          <w:tab w:val="num" w:pos="1440"/>
        </w:tabs>
        <w:ind w:left="1440" w:hanging="720"/>
      </w:pPr>
      <w:rPr>
        <w:rFont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BF47261"/>
    <w:multiLevelType w:val="singleLevel"/>
    <w:tmpl w:val="AE1C02B8"/>
    <w:lvl w:ilvl="0">
      <w:start w:val="1"/>
      <w:numFmt w:val="decimal"/>
      <w:lvlText w:val="%1."/>
      <w:lvlJc w:val="left"/>
      <w:pPr>
        <w:tabs>
          <w:tab w:val="num" w:pos="1440"/>
        </w:tabs>
        <w:ind w:left="1440" w:hanging="720"/>
      </w:pPr>
      <w:rPr>
        <w:rFonts w:hint="default"/>
      </w:rPr>
    </w:lvl>
  </w:abstractNum>
  <w:abstractNum w:abstractNumId="8">
    <w:nsid w:val="417D0748"/>
    <w:multiLevelType w:val="multilevel"/>
    <w:tmpl w:val="26F01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10">
    <w:nsid w:val="4A9E4F48"/>
    <w:multiLevelType w:val="hybridMultilevel"/>
    <w:tmpl w:val="7EF052C2"/>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E877071"/>
    <w:multiLevelType w:val="singleLevel"/>
    <w:tmpl w:val="AE1C02B8"/>
    <w:lvl w:ilvl="0">
      <w:start w:val="1"/>
      <w:numFmt w:val="decimal"/>
      <w:lvlText w:val="%1."/>
      <w:lvlJc w:val="left"/>
      <w:pPr>
        <w:tabs>
          <w:tab w:val="num" w:pos="1440"/>
        </w:tabs>
        <w:ind w:left="1440" w:hanging="720"/>
      </w:pPr>
      <w:rPr>
        <w:rFonts w:hint="default"/>
      </w:rPr>
    </w:lvl>
  </w:abstractNum>
  <w:abstractNum w:abstractNumId="14">
    <w:nsid w:val="6EF633B8"/>
    <w:multiLevelType w:val="hybridMultilevel"/>
    <w:tmpl w:val="BCC8BC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1161DA6"/>
    <w:multiLevelType w:val="hybridMultilevel"/>
    <w:tmpl w:val="5D9CA0E2"/>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3"/>
  </w:num>
  <w:num w:numId="2">
    <w:abstractNumId w:val="12"/>
  </w:num>
  <w:num w:numId="3">
    <w:abstractNumId w:val="6"/>
  </w:num>
  <w:num w:numId="4">
    <w:abstractNumId w:val="11"/>
  </w:num>
  <w:num w:numId="5">
    <w:abstractNumId w:val="4"/>
  </w:num>
  <w:num w:numId="6">
    <w:abstractNumId w:val="2"/>
  </w:num>
  <w:num w:numId="7">
    <w:abstractNumId w:val="9"/>
  </w:num>
  <w:num w:numId="8">
    <w:abstractNumId w:val="15"/>
  </w:num>
  <w:num w:numId="9">
    <w:abstractNumId w:val="10"/>
  </w:num>
  <w:num w:numId="10">
    <w:abstractNumId w:val="1"/>
  </w:num>
  <w:num w:numId="11">
    <w:abstractNumId w:val="9"/>
    <w:lvlOverride w:ilvl="0">
      <w:startOverride w:val="1"/>
    </w:lvlOverride>
  </w:num>
  <w:num w:numId="12">
    <w:abstractNumId w:val="13"/>
  </w:num>
  <w:num w:numId="13">
    <w:abstractNumId w:val="5"/>
  </w:num>
  <w:num w:numId="14">
    <w:abstractNumId w:val="7"/>
  </w:num>
  <w:num w:numId="15">
    <w:abstractNumId w:val="8"/>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B8"/>
    <w:rsid w:val="00000BD3"/>
    <w:rsid w:val="00001004"/>
    <w:rsid w:val="00001027"/>
    <w:rsid w:val="00002345"/>
    <w:rsid w:val="0000330C"/>
    <w:rsid w:val="000038E8"/>
    <w:rsid w:val="0000580C"/>
    <w:rsid w:val="000073F8"/>
    <w:rsid w:val="00013F11"/>
    <w:rsid w:val="00014056"/>
    <w:rsid w:val="000214F9"/>
    <w:rsid w:val="00023F19"/>
    <w:rsid w:val="00026774"/>
    <w:rsid w:val="00031A2B"/>
    <w:rsid w:val="000322B4"/>
    <w:rsid w:val="00033853"/>
    <w:rsid w:val="000344C4"/>
    <w:rsid w:val="00036039"/>
    <w:rsid w:val="00037124"/>
    <w:rsid w:val="000379BB"/>
    <w:rsid w:val="00037F90"/>
    <w:rsid w:val="00041E57"/>
    <w:rsid w:val="0004459F"/>
    <w:rsid w:val="0004500B"/>
    <w:rsid w:val="00046B2C"/>
    <w:rsid w:val="00047A40"/>
    <w:rsid w:val="00050B25"/>
    <w:rsid w:val="00050D21"/>
    <w:rsid w:val="0005217E"/>
    <w:rsid w:val="000546A6"/>
    <w:rsid w:val="00054C8F"/>
    <w:rsid w:val="00055598"/>
    <w:rsid w:val="00056650"/>
    <w:rsid w:val="0006364E"/>
    <w:rsid w:val="000637FA"/>
    <w:rsid w:val="00063E91"/>
    <w:rsid w:val="00066653"/>
    <w:rsid w:val="00066FE4"/>
    <w:rsid w:val="00070AE5"/>
    <w:rsid w:val="00071DFE"/>
    <w:rsid w:val="00074256"/>
    <w:rsid w:val="00075BAB"/>
    <w:rsid w:val="00080C2E"/>
    <w:rsid w:val="0008359B"/>
    <w:rsid w:val="00084739"/>
    <w:rsid w:val="000875BF"/>
    <w:rsid w:val="00087CA5"/>
    <w:rsid w:val="000948DF"/>
    <w:rsid w:val="00096B78"/>
    <w:rsid w:val="00096CE2"/>
    <w:rsid w:val="00096D8C"/>
    <w:rsid w:val="00097ABC"/>
    <w:rsid w:val="000A265A"/>
    <w:rsid w:val="000A3006"/>
    <w:rsid w:val="000A481B"/>
    <w:rsid w:val="000A787C"/>
    <w:rsid w:val="000B2176"/>
    <w:rsid w:val="000B38F1"/>
    <w:rsid w:val="000B3B4E"/>
    <w:rsid w:val="000B4A31"/>
    <w:rsid w:val="000B7DF6"/>
    <w:rsid w:val="000C0B65"/>
    <w:rsid w:val="000C0FB6"/>
    <w:rsid w:val="000C45AD"/>
    <w:rsid w:val="000C608C"/>
    <w:rsid w:val="000C7E97"/>
    <w:rsid w:val="000D239A"/>
    <w:rsid w:val="000D6C23"/>
    <w:rsid w:val="000E05FE"/>
    <w:rsid w:val="000E2777"/>
    <w:rsid w:val="000E3D42"/>
    <w:rsid w:val="000E4F71"/>
    <w:rsid w:val="000E5676"/>
    <w:rsid w:val="000E70EC"/>
    <w:rsid w:val="000E7B0C"/>
    <w:rsid w:val="000F4B3D"/>
    <w:rsid w:val="000F7F00"/>
    <w:rsid w:val="00101087"/>
    <w:rsid w:val="00101E7F"/>
    <w:rsid w:val="00103B16"/>
    <w:rsid w:val="00105343"/>
    <w:rsid w:val="00106DF1"/>
    <w:rsid w:val="00112792"/>
    <w:rsid w:val="001175E9"/>
    <w:rsid w:val="001178A2"/>
    <w:rsid w:val="00120690"/>
    <w:rsid w:val="00120BE4"/>
    <w:rsid w:val="00122BD5"/>
    <w:rsid w:val="001258F2"/>
    <w:rsid w:val="00132489"/>
    <w:rsid w:val="00133F79"/>
    <w:rsid w:val="001402AA"/>
    <w:rsid w:val="00140DB9"/>
    <w:rsid w:val="001418B9"/>
    <w:rsid w:val="00142D97"/>
    <w:rsid w:val="00142DC0"/>
    <w:rsid w:val="00143F99"/>
    <w:rsid w:val="00144A8F"/>
    <w:rsid w:val="00145337"/>
    <w:rsid w:val="0014591C"/>
    <w:rsid w:val="00145CBE"/>
    <w:rsid w:val="00145DB6"/>
    <w:rsid w:val="001461B9"/>
    <w:rsid w:val="001469C5"/>
    <w:rsid w:val="001534BD"/>
    <w:rsid w:val="00153694"/>
    <w:rsid w:val="00154BBB"/>
    <w:rsid w:val="00154C1A"/>
    <w:rsid w:val="00155C04"/>
    <w:rsid w:val="001567CD"/>
    <w:rsid w:val="00157696"/>
    <w:rsid w:val="00160C83"/>
    <w:rsid w:val="001612B4"/>
    <w:rsid w:val="001658B6"/>
    <w:rsid w:val="0016651C"/>
    <w:rsid w:val="0016688B"/>
    <w:rsid w:val="00166F9A"/>
    <w:rsid w:val="00174A9D"/>
    <w:rsid w:val="001757A3"/>
    <w:rsid w:val="0017730F"/>
    <w:rsid w:val="00181D51"/>
    <w:rsid w:val="00183BA3"/>
    <w:rsid w:val="00191C54"/>
    <w:rsid w:val="00194A66"/>
    <w:rsid w:val="00194FBA"/>
    <w:rsid w:val="001963FA"/>
    <w:rsid w:val="00196B0C"/>
    <w:rsid w:val="001A0794"/>
    <w:rsid w:val="001A2D6E"/>
    <w:rsid w:val="001A57F7"/>
    <w:rsid w:val="001A57FE"/>
    <w:rsid w:val="001A5E18"/>
    <w:rsid w:val="001B248C"/>
    <w:rsid w:val="001B3707"/>
    <w:rsid w:val="001B3932"/>
    <w:rsid w:val="001B51A3"/>
    <w:rsid w:val="001B54C8"/>
    <w:rsid w:val="001C0165"/>
    <w:rsid w:val="001C1FF3"/>
    <w:rsid w:val="001C400C"/>
    <w:rsid w:val="001C40E1"/>
    <w:rsid w:val="001D06EA"/>
    <w:rsid w:val="001D1DED"/>
    <w:rsid w:val="001D29AB"/>
    <w:rsid w:val="001D6BCF"/>
    <w:rsid w:val="001E01CA"/>
    <w:rsid w:val="001E16F1"/>
    <w:rsid w:val="001E3501"/>
    <w:rsid w:val="001E3637"/>
    <w:rsid w:val="001F3F17"/>
    <w:rsid w:val="002026D1"/>
    <w:rsid w:val="002029A7"/>
    <w:rsid w:val="00203748"/>
    <w:rsid w:val="00203D45"/>
    <w:rsid w:val="00205F69"/>
    <w:rsid w:val="002101C4"/>
    <w:rsid w:val="00210389"/>
    <w:rsid w:val="00212C29"/>
    <w:rsid w:val="0021581F"/>
    <w:rsid w:val="0021595B"/>
    <w:rsid w:val="0021665E"/>
    <w:rsid w:val="00217B54"/>
    <w:rsid w:val="00220624"/>
    <w:rsid w:val="00222706"/>
    <w:rsid w:val="00226255"/>
    <w:rsid w:val="002279BC"/>
    <w:rsid w:val="00231DFA"/>
    <w:rsid w:val="00233700"/>
    <w:rsid w:val="0023471E"/>
    <w:rsid w:val="00235A56"/>
    <w:rsid w:val="002360DA"/>
    <w:rsid w:val="00240EFA"/>
    <w:rsid w:val="002412B8"/>
    <w:rsid w:val="002414B0"/>
    <w:rsid w:val="00242E63"/>
    <w:rsid w:val="0024655B"/>
    <w:rsid w:val="00251BA0"/>
    <w:rsid w:val="00253162"/>
    <w:rsid w:val="002538B5"/>
    <w:rsid w:val="00255016"/>
    <w:rsid w:val="00257D7F"/>
    <w:rsid w:val="00260BCB"/>
    <w:rsid w:val="00261B59"/>
    <w:rsid w:val="002656E1"/>
    <w:rsid w:val="00266466"/>
    <w:rsid w:val="00266839"/>
    <w:rsid w:val="00267328"/>
    <w:rsid w:val="00267AA7"/>
    <w:rsid w:val="00274268"/>
    <w:rsid w:val="002749AD"/>
    <w:rsid w:val="00275CF5"/>
    <w:rsid w:val="0028301F"/>
    <w:rsid w:val="00283269"/>
    <w:rsid w:val="002849CB"/>
    <w:rsid w:val="00285017"/>
    <w:rsid w:val="00286223"/>
    <w:rsid w:val="00290174"/>
    <w:rsid w:val="002965DA"/>
    <w:rsid w:val="00296BEB"/>
    <w:rsid w:val="00297BB9"/>
    <w:rsid w:val="002A0873"/>
    <w:rsid w:val="002A2D2E"/>
    <w:rsid w:val="002A44C2"/>
    <w:rsid w:val="002A61C6"/>
    <w:rsid w:val="002A69D6"/>
    <w:rsid w:val="002B0455"/>
    <w:rsid w:val="002B256F"/>
    <w:rsid w:val="002B27D8"/>
    <w:rsid w:val="002B476D"/>
    <w:rsid w:val="002B5665"/>
    <w:rsid w:val="002B5F9A"/>
    <w:rsid w:val="002B7236"/>
    <w:rsid w:val="002C00E8"/>
    <w:rsid w:val="002C09FE"/>
    <w:rsid w:val="002C2DBA"/>
    <w:rsid w:val="002C4678"/>
    <w:rsid w:val="002D150B"/>
    <w:rsid w:val="002D1675"/>
    <w:rsid w:val="002D1BE0"/>
    <w:rsid w:val="002D2B99"/>
    <w:rsid w:val="002D3EC8"/>
    <w:rsid w:val="002D586D"/>
    <w:rsid w:val="002D6112"/>
    <w:rsid w:val="002D670A"/>
    <w:rsid w:val="002D7988"/>
    <w:rsid w:val="002E130B"/>
    <w:rsid w:val="002E44CB"/>
    <w:rsid w:val="002E575C"/>
    <w:rsid w:val="002E5B75"/>
    <w:rsid w:val="002E7A9A"/>
    <w:rsid w:val="002F297E"/>
    <w:rsid w:val="002F2F7E"/>
    <w:rsid w:val="002F5A44"/>
    <w:rsid w:val="00300239"/>
    <w:rsid w:val="003010F9"/>
    <w:rsid w:val="00301BEC"/>
    <w:rsid w:val="00312034"/>
    <w:rsid w:val="00315427"/>
    <w:rsid w:val="00320D31"/>
    <w:rsid w:val="003213F9"/>
    <w:rsid w:val="00322E92"/>
    <w:rsid w:val="00323B4C"/>
    <w:rsid w:val="00331169"/>
    <w:rsid w:val="00331C3A"/>
    <w:rsid w:val="003324D0"/>
    <w:rsid w:val="00334E5A"/>
    <w:rsid w:val="00335B91"/>
    <w:rsid w:val="003360D8"/>
    <w:rsid w:val="00337DEB"/>
    <w:rsid w:val="00341B56"/>
    <w:rsid w:val="00343749"/>
    <w:rsid w:val="00344153"/>
    <w:rsid w:val="00345DB2"/>
    <w:rsid w:val="003469B2"/>
    <w:rsid w:val="003508F8"/>
    <w:rsid w:val="00351874"/>
    <w:rsid w:val="00353CE3"/>
    <w:rsid w:val="00354156"/>
    <w:rsid w:val="003561EE"/>
    <w:rsid w:val="003562BF"/>
    <w:rsid w:val="00361BE2"/>
    <w:rsid w:val="00362259"/>
    <w:rsid w:val="0036428C"/>
    <w:rsid w:val="003649A6"/>
    <w:rsid w:val="003660ED"/>
    <w:rsid w:val="003737A7"/>
    <w:rsid w:val="0037420B"/>
    <w:rsid w:val="0037568B"/>
    <w:rsid w:val="0037767D"/>
    <w:rsid w:val="00382746"/>
    <w:rsid w:val="0038418F"/>
    <w:rsid w:val="0039155E"/>
    <w:rsid w:val="0039185D"/>
    <w:rsid w:val="00392DE9"/>
    <w:rsid w:val="00394134"/>
    <w:rsid w:val="00395A5F"/>
    <w:rsid w:val="00397EC5"/>
    <w:rsid w:val="003A19DA"/>
    <w:rsid w:val="003A32E9"/>
    <w:rsid w:val="003A3C12"/>
    <w:rsid w:val="003A5E6F"/>
    <w:rsid w:val="003A65CA"/>
    <w:rsid w:val="003A74EB"/>
    <w:rsid w:val="003B0550"/>
    <w:rsid w:val="003B05EB"/>
    <w:rsid w:val="003B1B57"/>
    <w:rsid w:val="003B694F"/>
    <w:rsid w:val="003B729F"/>
    <w:rsid w:val="003B7B78"/>
    <w:rsid w:val="003B7D95"/>
    <w:rsid w:val="003C0433"/>
    <w:rsid w:val="003C0D26"/>
    <w:rsid w:val="003C4BEA"/>
    <w:rsid w:val="003D55E3"/>
    <w:rsid w:val="003D5B0E"/>
    <w:rsid w:val="003D6436"/>
    <w:rsid w:val="003D7ECB"/>
    <w:rsid w:val="003E0534"/>
    <w:rsid w:val="003E4CDF"/>
    <w:rsid w:val="003F0074"/>
    <w:rsid w:val="003F171C"/>
    <w:rsid w:val="003F3929"/>
    <w:rsid w:val="003F5824"/>
    <w:rsid w:val="0040162D"/>
    <w:rsid w:val="00402D1A"/>
    <w:rsid w:val="0040400C"/>
    <w:rsid w:val="00404CC8"/>
    <w:rsid w:val="004108D3"/>
    <w:rsid w:val="00412FC5"/>
    <w:rsid w:val="00415C79"/>
    <w:rsid w:val="004178F8"/>
    <w:rsid w:val="004208C7"/>
    <w:rsid w:val="00420A2A"/>
    <w:rsid w:val="00422276"/>
    <w:rsid w:val="00422CDF"/>
    <w:rsid w:val="00423B66"/>
    <w:rsid w:val="004242F1"/>
    <w:rsid w:val="004262DB"/>
    <w:rsid w:val="00426E82"/>
    <w:rsid w:val="004278BB"/>
    <w:rsid w:val="00435BA0"/>
    <w:rsid w:val="00435F69"/>
    <w:rsid w:val="00437E9C"/>
    <w:rsid w:val="004401AF"/>
    <w:rsid w:val="00440B0E"/>
    <w:rsid w:val="00445A00"/>
    <w:rsid w:val="00447C32"/>
    <w:rsid w:val="004500A5"/>
    <w:rsid w:val="004514F7"/>
    <w:rsid w:val="00451508"/>
    <w:rsid w:val="00451B0F"/>
    <w:rsid w:val="0045307A"/>
    <w:rsid w:val="00455408"/>
    <w:rsid w:val="0045579C"/>
    <w:rsid w:val="0045720E"/>
    <w:rsid w:val="00460E86"/>
    <w:rsid w:val="004734C1"/>
    <w:rsid w:val="004757EC"/>
    <w:rsid w:val="004804C1"/>
    <w:rsid w:val="0049533C"/>
    <w:rsid w:val="004978CD"/>
    <w:rsid w:val="004A041E"/>
    <w:rsid w:val="004A5AB6"/>
    <w:rsid w:val="004A76F3"/>
    <w:rsid w:val="004B0178"/>
    <w:rsid w:val="004B5B36"/>
    <w:rsid w:val="004C009A"/>
    <w:rsid w:val="004C2EE3"/>
    <w:rsid w:val="004C441D"/>
    <w:rsid w:val="004C698E"/>
    <w:rsid w:val="004C770F"/>
    <w:rsid w:val="004D04C4"/>
    <w:rsid w:val="004D0CFE"/>
    <w:rsid w:val="004D1A7B"/>
    <w:rsid w:val="004D54EB"/>
    <w:rsid w:val="004D732C"/>
    <w:rsid w:val="004E2557"/>
    <w:rsid w:val="004E4A22"/>
    <w:rsid w:val="004E5099"/>
    <w:rsid w:val="004F4375"/>
    <w:rsid w:val="004F58FA"/>
    <w:rsid w:val="00500852"/>
    <w:rsid w:val="00504CE2"/>
    <w:rsid w:val="00510814"/>
    <w:rsid w:val="00511968"/>
    <w:rsid w:val="005207CF"/>
    <w:rsid w:val="00524336"/>
    <w:rsid w:val="00527190"/>
    <w:rsid w:val="00527657"/>
    <w:rsid w:val="00527B5A"/>
    <w:rsid w:val="0053382C"/>
    <w:rsid w:val="005401BB"/>
    <w:rsid w:val="005416F3"/>
    <w:rsid w:val="00543843"/>
    <w:rsid w:val="00545530"/>
    <w:rsid w:val="00547294"/>
    <w:rsid w:val="005509B2"/>
    <w:rsid w:val="0055614C"/>
    <w:rsid w:val="00557B39"/>
    <w:rsid w:val="0056579C"/>
    <w:rsid w:val="00566D06"/>
    <w:rsid w:val="00570B93"/>
    <w:rsid w:val="00570E03"/>
    <w:rsid w:val="005732B0"/>
    <w:rsid w:val="00573B04"/>
    <w:rsid w:val="00574776"/>
    <w:rsid w:val="005749C6"/>
    <w:rsid w:val="0057554C"/>
    <w:rsid w:val="00576C76"/>
    <w:rsid w:val="0058114B"/>
    <w:rsid w:val="00581406"/>
    <w:rsid w:val="00582566"/>
    <w:rsid w:val="005828CB"/>
    <w:rsid w:val="0058452B"/>
    <w:rsid w:val="005872E8"/>
    <w:rsid w:val="00597030"/>
    <w:rsid w:val="005A16A6"/>
    <w:rsid w:val="005A18FB"/>
    <w:rsid w:val="005A26C3"/>
    <w:rsid w:val="005A2EE9"/>
    <w:rsid w:val="005A51B0"/>
    <w:rsid w:val="005A7BAC"/>
    <w:rsid w:val="005B2F17"/>
    <w:rsid w:val="005B30BB"/>
    <w:rsid w:val="005B5F29"/>
    <w:rsid w:val="005B7DA9"/>
    <w:rsid w:val="005C3B35"/>
    <w:rsid w:val="005C58B9"/>
    <w:rsid w:val="005C75DD"/>
    <w:rsid w:val="005D4B65"/>
    <w:rsid w:val="005D6AF1"/>
    <w:rsid w:val="005D7DBF"/>
    <w:rsid w:val="005D7EBF"/>
    <w:rsid w:val="005E14C2"/>
    <w:rsid w:val="005E2ACE"/>
    <w:rsid w:val="005F2967"/>
    <w:rsid w:val="005F303F"/>
    <w:rsid w:val="005F3E0A"/>
    <w:rsid w:val="005F45E6"/>
    <w:rsid w:val="005F7103"/>
    <w:rsid w:val="00602917"/>
    <w:rsid w:val="0060529F"/>
    <w:rsid w:val="00607BA5"/>
    <w:rsid w:val="006114BE"/>
    <w:rsid w:val="0061180A"/>
    <w:rsid w:val="00612506"/>
    <w:rsid w:val="00613657"/>
    <w:rsid w:val="00614687"/>
    <w:rsid w:val="00616230"/>
    <w:rsid w:val="00616BFD"/>
    <w:rsid w:val="0062014E"/>
    <w:rsid w:val="00623983"/>
    <w:rsid w:val="00624F55"/>
    <w:rsid w:val="00624FEB"/>
    <w:rsid w:val="00626EB6"/>
    <w:rsid w:val="00634D78"/>
    <w:rsid w:val="006360C6"/>
    <w:rsid w:val="00642571"/>
    <w:rsid w:val="00642E89"/>
    <w:rsid w:val="0064427F"/>
    <w:rsid w:val="00644B6C"/>
    <w:rsid w:val="0064589E"/>
    <w:rsid w:val="00646250"/>
    <w:rsid w:val="00654F8A"/>
    <w:rsid w:val="00655C14"/>
    <w:rsid w:val="00655D03"/>
    <w:rsid w:val="00656429"/>
    <w:rsid w:val="006606C6"/>
    <w:rsid w:val="006613EC"/>
    <w:rsid w:val="006744CA"/>
    <w:rsid w:val="0068191A"/>
    <w:rsid w:val="00682F54"/>
    <w:rsid w:val="00683388"/>
    <w:rsid w:val="00683785"/>
    <w:rsid w:val="00683F84"/>
    <w:rsid w:val="00685CE4"/>
    <w:rsid w:val="006873BC"/>
    <w:rsid w:val="00692BB9"/>
    <w:rsid w:val="00694B2C"/>
    <w:rsid w:val="006954F3"/>
    <w:rsid w:val="00696362"/>
    <w:rsid w:val="00696FCA"/>
    <w:rsid w:val="006970C8"/>
    <w:rsid w:val="006A0DB0"/>
    <w:rsid w:val="006A1034"/>
    <w:rsid w:val="006A5D74"/>
    <w:rsid w:val="006A6A81"/>
    <w:rsid w:val="006A77DB"/>
    <w:rsid w:val="006A7E74"/>
    <w:rsid w:val="006C2080"/>
    <w:rsid w:val="006C5F90"/>
    <w:rsid w:val="006D07FD"/>
    <w:rsid w:val="006E26E8"/>
    <w:rsid w:val="006E3F65"/>
    <w:rsid w:val="006E5418"/>
    <w:rsid w:val="006F0C6C"/>
    <w:rsid w:val="006F4B39"/>
    <w:rsid w:val="006F5D35"/>
    <w:rsid w:val="006F7393"/>
    <w:rsid w:val="006F7EB8"/>
    <w:rsid w:val="007004B8"/>
    <w:rsid w:val="0070224F"/>
    <w:rsid w:val="0070648C"/>
    <w:rsid w:val="007115F7"/>
    <w:rsid w:val="00711811"/>
    <w:rsid w:val="00712D07"/>
    <w:rsid w:val="00712ECD"/>
    <w:rsid w:val="00713063"/>
    <w:rsid w:val="0071318C"/>
    <w:rsid w:val="007151F7"/>
    <w:rsid w:val="0071527A"/>
    <w:rsid w:val="00715C14"/>
    <w:rsid w:val="00716EB3"/>
    <w:rsid w:val="00717CD1"/>
    <w:rsid w:val="007250A0"/>
    <w:rsid w:val="0073439F"/>
    <w:rsid w:val="007345BD"/>
    <w:rsid w:val="007378B3"/>
    <w:rsid w:val="0074153C"/>
    <w:rsid w:val="00743AB9"/>
    <w:rsid w:val="00746A1D"/>
    <w:rsid w:val="00747409"/>
    <w:rsid w:val="00750675"/>
    <w:rsid w:val="0075106B"/>
    <w:rsid w:val="007515CE"/>
    <w:rsid w:val="007554E3"/>
    <w:rsid w:val="00761ABF"/>
    <w:rsid w:val="007650CD"/>
    <w:rsid w:val="0076570E"/>
    <w:rsid w:val="00767B46"/>
    <w:rsid w:val="00775C20"/>
    <w:rsid w:val="00776D2E"/>
    <w:rsid w:val="00780697"/>
    <w:rsid w:val="00783F6C"/>
    <w:rsid w:val="00785689"/>
    <w:rsid w:val="00785E1F"/>
    <w:rsid w:val="00786032"/>
    <w:rsid w:val="00786448"/>
    <w:rsid w:val="00786D12"/>
    <w:rsid w:val="00791AF7"/>
    <w:rsid w:val="00791F7E"/>
    <w:rsid w:val="0079218E"/>
    <w:rsid w:val="00793A1A"/>
    <w:rsid w:val="00794EC8"/>
    <w:rsid w:val="0079754B"/>
    <w:rsid w:val="007A1E6D"/>
    <w:rsid w:val="007A318A"/>
    <w:rsid w:val="007B0EB2"/>
    <w:rsid w:val="007B2CF6"/>
    <w:rsid w:val="007B44A3"/>
    <w:rsid w:val="007B73D4"/>
    <w:rsid w:val="007C0490"/>
    <w:rsid w:val="007C33D8"/>
    <w:rsid w:val="007C5242"/>
    <w:rsid w:val="007D01B9"/>
    <w:rsid w:val="007D09A6"/>
    <w:rsid w:val="007D10F5"/>
    <w:rsid w:val="007D2CC2"/>
    <w:rsid w:val="007D773C"/>
    <w:rsid w:val="007E0B29"/>
    <w:rsid w:val="007E509F"/>
    <w:rsid w:val="007F0DDA"/>
    <w:rsid w:val="007F4A5D"/>
    <w:rsid w:val="007F548C"/>
    <w:rsid w:val="007F75C0"/>
    <w:rsid w:val="0080103D"/>
    <w:rsid w:val="00802613"/>
    <w:rsid w:val="008030F3"/>
    <w:rsid w:val="0080416B"/>
    <w:rsid w:val="008043AE"/>
    <w:rsid w:val="0080684C"/>
    <w:rsid w:val="00810B6F"/>
    <w:rsid w:val="00811BB2"/>
    <w:rsid w:val="0081312E"/>
    <w:rsid w:val="00815ECB"/>
    <w:rsid w:val="0081631C"/>
    <w:rsid w:val="0082044A"/>
    <w:rsid w:val="00820E12"/>
    <w:rsid w:val="00822CE0"/>
    <w:rsid w:val="00824160"/>
    <w:rsid w:val="00825A18"/>
    <w:rsid w:val="0082622E"/>
    <w:rsid w:val="00831A1C"/>
    <w:rsid w:val="0083417E"/>
    <w:rsid w:val="00835483"/>
    <w:rsid w:val="00837F98"/>
    <w:rsid w:val="00840DBB"/>
    <w:rsid w:val="00841AB1"/>
    <w:rsid w:val="008473E8"/>
    <w:rsid w:val="008625F7"/>
    <w:rsid w:val="00862F9B"/>
    <w:rsid w:val="00867919"/>
    <w:rsid w:val="00871056"/>
    <w:rsid w:val="008779DB"/>
    <w:rsid w:val="00883DCD"/>
    <w:rsid w:val="00885545"/>
    <w:rsid w:val="00890CD5"/>
    <w:rsid w:val="00891A90"/>
    <w:rsid w:val="00892AAC"/>
    <w:rsid w:val="008933E8"/>
    <w:rsid w:val="00896D25"/>
    <w:rsid w:val="00896D73"/>
    <w:rsid w:val="00896E67"/>
    <w:rsid w:val="008A0F20"/>
    <w:rsid w:val="008A3547"/>
    <w:rsid w:val="008A4261"/>
    <w:rsid w:val="008A4B7A"/>
    <w:rsid w:val="008A6C8A"/>
    <w:rsid w:val="008B5C06"/>
    <w:rsid w:val="008B5C1B"/>
    <w:rsid w:val="008C046D"/>
    <w:rsid w:val="008C09B4"/>
    <w:rsid w:val="008C170B"/>
    <w:rsid w:val="008C1BCC"/>
    <w:rsid w:val="008C4570"/>
    <w:rsid w:val="008C621A"/>
    <w:rsid w:val="008C68F1"/>
    <w:rsid w:val="008C6B03"/>
    <w:rsid w:val="008D49BC"/>
    <w:rsid w:val="008E107E"/>
    <w:rsid w:val="008E1892"/>
    <w:rsid w:val="008E3F5F"/>
    <w:rsid w:val="008E4842"/>
    <w:rsid w:val="008E5C23"/>
    <w:rsid w:val="008E64E4"/>
    <w:rsid w:val="008F06E5"/>
    <w:rsid w:val="008F0C22"/>
    <w:rsid w:val="008F169E"/>
    <w:rsid w:val="008F1D26"/>
    <w:rsid w:val="008F2539"/>
    <w:rsid w:val="008F705C"/>
    <w:rsid w:val="009006D9"/>
    <w:rsid w:val="009011F2"/>
    <w:rsid w:val="0090386E"/>
    <w:rsid w:val="0090452A"/>
    <w:rsid w:val="00905D2F"/>
    <w:rsid w:val="0090618C"/>
    <w:rsid w:val="0090648D"/>
    <w:rsid w:val="00910200"/>
    <w:rsid w:val="00911E26"/>
    <w:rsid w:val="009215F8"/>
    <w:rsid w:val="00921803"/>
    <w:rsid w:val="009234AD"/>
    <w:rsid w:val="00924619"/>
    <w:rsid w:val="009253C6"/>
    <w:rsid w:val="00926503"/>
    <w:rsid w:val="00926B76"/>
    <w:rsid w:val="00931D12"/>
    <w:rsid w:val="00931FD8"/>
    <w:rsid w:val="0093268E"/>
    <w:rsid w:val="009330F1"/>
    <w:rsid w:val="0093481A"/>
    <w:rsid w:val="009356EA"/>
    <w:rsid w:val="00943B81"/>
    <w:rsid w:val="0095193D"/>
    <w:rsid w:val="00952A6B"/>
    <w:rsid w:val="009541DB"/>
    <w:rsid w:val="00955F74"/>
    <w:rsid w:val="00956572"/>
    <w:rsid w:val="00962FEC"/>
    <w:rsid w:val="00963F71"/>
    <w:rsid w:val="00964797"/>
    <w:rsid w:val="009673F0"/>
    <w:rsid w:val="00967D25"/>
    <w:rsid w:val="009715F8"/>
    <w:rsid w:val="009726D8"/>
    <w:rsid w:val="009727C0"/>
    <w:rsid w:val="00973EE1"/>
    <w:rsid w:val="009779C4"/>
    <w:rsid w:val="00990A26"/>
    <w:rsid w:val="00996D41"/>
    <w:rsid w:val="00997355"/>
    <w:rsid w:val="009A05C9"/>
    <w:rsid w:val="009A0724"/>
    <w:rsid w:val="009A1662"/>
    <w:rsid w:val="009A1CF4"/>
    <w:rsid w:val="009A22D1"/>
    <w:rsid w:val="009A25CC"/>
    <w:rsid w:val="009B1AFF"/>
    <w:rsid w:val="009B47D8"/>
    <w:rsid w:val="009B7C5F"/>
    <w:rsid w:val="009C385B"/>
    <w:rsid w:val="009C5134"/>
    <w:rsid w:val="009C64EE"/>
    <w:rsid w:val="009D1F2C"/>
    <w:rsid w:val="009D4B41"/>
    <w:rsid w:val="009D5AB7"/>
    <w:rsid w:val="009D650D"/>
    <w:rsid w:val="009D7308"/>
    <w:rsid w:val="009E18D9"/>
    <w:rsid w:val="009E1D43"/>
    <w:rsid w:val="009E77D1"/>
    <w:rsid w:val="009F1F97"/>
    <w:rsid w:val="009F38C0"/>
    <w:rsid w:val="009F508A"/>
    <w:rsid w:val="009F76DB"/>
    <w:rsid w:val="00A028AF"/>
    <w:rsid w:val="00A02A02"/>
    <w:rsid w:val="00A0393C"/>
    <w:rsid w:val="00A04AFA"/>
    <w:rsid w:val="00A079AE"/>
    <w:rsid w:val="00A10085"/>
    <w:rsid w:val="00A10E21"/>
    <w:rsid w:val="00A133DB"/>
    <w:rsid w:val="00A13737"/>
    <w:rsid w:val="00A145BC"/>
    <w:rsid w:val="00A1562E"/>
    <w:rsid w:val="00A20E09"/>
    <w:rsid w:val="00A219B4"/>
    <w:rsid w:val="00A21FEE"/>
    <w:rsid w:val="00A232B5"/>
    <w:rsid w:val="00A234C3"/>
    <w:rsid w:val="00A23E2A"/>
    <w:rsid w:val="00A3207E"/>
    <w:rsid w:val="00A32C3B"/>
    <w:rsid w:val="00A333FF"/>
    <w:rsid w:val="00A348F8"/>
    <w:rsid w:val="00A34C99"/>
    <w:rsid w:val="00A36B8B"/>
    <w:rsid w:val="00A44157"/>
    <w:rsid w:val="00A45F4F"/>
    <w:rsid w:val="00A47B8F"/>
    <w:rsid w:val="00A50299"/>
    <w:rsid w:val="00A52E27"/>
    <w:rsid w:val="00A53C64"/>
    <w:rsid w:val="00A55C5D"/>
    <w:rsid w:val="00A5683A"/>
    <w:rsid w:val="00A56866"/>
    <w:rsid w:val="00A5741C"/>
    <w:rsid w:val="00A57B51"/>
    <w:rsid w:val="00A57C48"/>
    <w:rsid w:val="00A600A9"/>
    <w:rsid w:val="00A62274"/>
    <w:rsid w:val="00A62A9F"/>
    <w:rsid w:val="00A65B0B"/>
    <w:rsid w:val="00A721BF"/>
    <w:rsid w:val="00A7287F"/>
    <w:rsid w:val="00A74A72"/>
    <w:rsid w:val="00A858C0"/>
    <w:rsid w:val="00A8670F"/>
    <w:rsid w:val="00A87E16"/>
    <w:rsid w:val="00A90FD1"/>
    <w:rsid w:val="00A916C8"/>
    <w:rsid w:val="00A93789"/>
    <w:rsid w:val="00A97D58"/>
    <w:rsid w:val="00AA2922"/>
    <w:rsid w:val="00AA55B7"/>
    <w:rsid w:val="00AA5B55"/>
    <w:rsid w:val="00AA5B9E"/>
    <w:rsid w:val="00AA685D"/>
    <w:rsid w:val="00AB1075"/>
    <w:rsid w:val="00AB2407"/>
    <w:rsid w:val="00AB444A"/>
    <w:rsid w:val="00AB4627"/>
    <w:rsid w:val="00AB53DF"/>
    <w:rsid w:val="00AB6109"/>
    <w:rsid w:val="00AC038E"/>
    <w:rsid w:val="00AC3064"/>
    <w:rsid w:val="00AC4BC1"/>
    <w:rsid w:val="00AC4C31"/>
    <w:rsid w:val="00AC5F61"/>
    <w:rsid w:val="00AC677F"/>
    <w:rsid w:val="00AD1501"/>
    <w:rsid w:val="00AD1B49"/>
    <w:rsid w:val="00AD44D3"/>
    <w:rsid w:val="00AD6380"/>
    <w:rsid w:val="00AD7929"/>
    <w:rsid w:val="00AE4579"/>
    <w:rsid w:val="00AE53C9"/>
    <w:rsid w:val="00AF4E7F"/>
    <w:rsid w:val="00AF54D2"/>
    <w:rsid w:val="00AF7AE0"/>
    <w:rsid w:val="00B01376"/>
    <w:rsid w:val="00B0154C"/>
    <w:rsid w:val="00B0385F"/>
    <w:rsid w:val="00B04412"/>
    <w:rsid w:val="00B062CF"/>
    <w:rsid w:val="00B07B8C"/>
    <w:rsid w:val="00B07E5C"/>
    <w:rsid w:val="00B13837"/>
    <w:rsid w:val="00B13FF7"/>
    <w:rsid w:val="00B145BD"/>
    <w:rsid w:val="00B17E1C"/>
    <w:rsid w:val="00B2056E"/>
    <w:rsid w:val="00B276A2"/>
    <w:rsid w:val="00B42D57"/>
    <w:rsid w:val="00B44797"/>
    <w:rsid w:val="00B45FB3"/>
    <w:rsid w:val="00B470F5"/>
    <w:rsid w:val="00B527F3"/>
    <w:rsid w:val="00B600A3"/>
    <w:rsid w:val="00B601E6"/>
    <w:rsid w:val="00B676E3"/>
    <w:rsid w:val="00B67C61"/>
    <w:rsid w:val="00B729EB"/>
    <w:rsid w:val="00B767AA"/>
    <w:rsid w:val="00B77526"/>
    <w:rsid w:val="00B8095F"/>
    <w:rsid w:val="00B80995"/>
    <w:rsid w:val="00B811F7"/>
    <w:rsid w:val="00B81CEA"/>
    <w:rsid w:val="00B8305E"/>
    <w:rsid w:val="00B850CA"/>
    <w:rsid w:val="00B9379F"/>
    <w:rsid w:val="00B93CF0"/>
    <w:rsid w:val="00B94339"/>
    <w:rsid w:val="00BA230C"/>
    <w:rsid w:val="00BA5DC6"/>
    <w:rsid w:val="00BA6196"/>
    <w:rsid w:val="00BA6F19"/>
    <w:rsid w:val="00BA71B4"/>
    <w:rsid w:val="00BA725B"/>
    <w:rsid w:val="00BB0924"/>
    <w:rsid w:val="00BB2BB2"/>
    <w:rsid w:val="00BB4558"/>
    <w:rsid w:val="00BB463A"/>
    <w:rsid w:val="00BB5509"/>
    <w:rsid w:val="00BB7249"/>
    <w:rsid w:val="00BC0A5D"/>
    <w:rsid w:val="00BC0F70"/>
    <w:rsid w:val="00BC41A7"/>
    <w:rsid w:val="00BC5C6D"/>
    <w:rsid w:val="00BC6D8C"/>
    <w:rsid w:val="00BD059B"/>
    <w:rsid w:val="00BD2800"/>
    <w:rsid w:val="00BD5E65"/>
    <w:rsid w:val="00BD6187"/>
    <w:rsid w:val="00BD6F6D"/>
    <w:rsid w:val="00BE1431"/>
    <w:rsid w:val="00BE49A1"/>
    <w:rsid w:val="00BE6709"/>
    <w:rsid w:val="00BE7499"/>
    <w:rsid w:val="00BF1FD7"/>
    <w:rsid w:val="00C00B47"/>
    <w:rsid w:val="00C00CD9"/>
    <w:rsid w:val="00C02CD6"/>
    <w:rsid w:val="00C04A1A"/>
    <w:rsid w:val="00C07E19"/>
    <w:rsid w:val="00C13897"/>
    <w:rsid w:val="00C13C9A"/>
    <w:rsid w:val="00C153EF"/>
    <w:rsid w:val="00C167FA"/>
    <w:rsid w:val="00C21B91"/>
    <w:rsid w:val="00C21C3D"/>
    <w:rsid w:val="00C222CF"/>
    <w:rsid w:val="00C2309F"/>
    <w:rsid w:val="00C24BCC"/>
    <w:rsid w:val="00C25558"/>
    <w:rsid w:val="00C315F6"/>
    <w:rsid w:val="00C32CA3"/>
    <w:rsid w:val="00C330FA"/>
    <w:rsid w:val="00C33731"/>
    <w:rsid w:val="00C34006"/>
    <w:rsid w:val="00C3542D"/>
    <w:rsid w:val="00C36B4C"/>
    <w:rsid w:val="00C410B8"/>
    <w:rsid w:val="00C41BD2"/>
    <w:rsid w:val="00C424DA"/>
    <w:rsid w:val="00C425D8"/>
    <w:rsid w:val="00C426B1"/>
    <w:rsid w:val="00C43286"/>
    <w:rsid w:val="00C4421F"/>
    <w:rsid w:val="00C44FE8"/>
    <w:rsid w:val="00C45662"/>
    <w:rsid w:val="00C47E0C"/>
    <w:rsid w:val="00C50CA3"/>
    <w:rsid w:val="00C519F2"/>
    <w:rsid w:val="00C55F5B"/>
    <w:rsid w:val="00C57EFE"/>
    <w:rsid w:val="00C606E4"/>
    <w:rsid w:val="00C66160"/>
    <w:rsid w:val="00C662D6"/>
    <w:rsid w:val="00C71381"/>
    <w:rsid w:val="00C721AC"/>
    <w:rsid w:val="00C73301"/>
    <w:rsid w:val="00C735D2"/>
    <w:rsid w:val="00C736F2"/>
    <w:rsid w:val="00C73D84"/>
    <w:rsid w:val="00C7547D"/>
    <w:rsid w:val="00C760C2"/>
    <w:rsid w:val="00C77AC8"/>
    <w:rsid w:val="00C83B0C"/>
    <w:rsid w:val="00C850EF"/>
    <w:rsid w:val="00C85A61"/>
    <w:rsid w:val="00C85C46"/>
    <w:rsid w:val="00C86517"/>
    <w:rsid w:val="00C87057"/>
    <w:rsid w:val="00C908B2"/>
    <w:rsid w:val="00C90D6A"/>
    <w:rsid w:val="00C94447"/>
    <w:rsid w:val="00C976DC"/>
    <w:rsid w:val="00CA247E"/>
    <w:rsid w:val="00CA26D2"/>
    <w:rsid w:val="00CA37C6"/>
    <w:rsid w:val="00CA41E0"/>
    <w:rsid w:val="00CA635A"/>
    <w:rsid w:val="00CA6D21"/>
    <w:rsid w:val="00CB02FB"/>
    <w:rsid w:val="00CB34BD"/>
    <w:rsid w:val="00CB4147"/>
    <w:rsid w:val="00CB5482"/>
    <w:rsid w:val="00CB6A1C"/>
    <w:rsid w:val="00CB6B7E"/>
    <w:rsid w:val="00CC3CCC"/>
    <w:rsid w:val="00CC3DC5"/>
    <w:rsid w:val="00CC72B6"/>
    <w:rsid w:val="00CC7680"/>
    <w:rsid w:val="00CD17BE"/>
    <w:rsid w:val="00CD1837"/>
    <w:rsid w:val="00CD1C55"/>
    <w:rsid w:val="00CD280D"/>
    <w:rsid w:val="00CD3EAD"/>
    <w:rsid w:val="00CD59D8"/>
    <w:rsid w:val="00CE0F14"/>
    <w:rsid w:val="00CE1CCD"/>
    <w:rsid w:val="00CE39C4"/>
    <w:rsid w:val="00CE4B59"/>
    <w:rsid w:val="00CE6D46"/>
    <w:rsid w:val="00CF24BB"/>
    <w:rsid w:val="00CF7131"/>
    <w:rsid w:val="00CF7784"/>
    <w:rsid w:val="00D01EB6"/>
    <w:rsid w:val="00D0218D"/>
    <w:rsid w:val="00D10985"/>
    <w:rsid w:val="00D10F71"/>
    <w:rsid w:val="00D122C8"/>
    <w:rsid w:val="00D1467C"/>
    <w:rsid w:val="00D14FD7"/>
    <w:rsid w:val="00D2491F"/>
    <w:rsid w:val="00D25FB5"/>
    <w:rsid w:val="00D31EB7"/>
    <w:rsid w:val="00D32F21"/>
    <w:rsid w:val="00D33049"/>
    <w:rsid w:val="00D374ED"/>
    <w:rsid w:val="00D40944"/>
    <w:rsid w:val="00D42768"/>
    <w:rsid w:val="00D42B32"/>
    <w:rsid w:val="00D43DDC"/>
    <w:rsid w:val="00D44223"/>
    <w:rsid w:val="00D4641F"/>
    <w:rsid w:val="00D52145"/>
    <w:rsid w:val="00D543D1"/>
    <w:rsid w:val="00D62067"/>
    <w:rsid w:val="00D626C1"/>
    <w:rsid w:val="00D633D3"/>
    <w:rsid w:val="00D67C7D"/>
    <w:rsid w:val="00D704D6"/>
    <w:rsid w:val="00D73471"/>
    <w:rsid w:val="00D80766"/>
    <w:rsid w:val="00D80B9F"/>
    <w:rsid w:val="00D83A75"/>
    <w:rsid w:val="00D84C65"/>
    <w:rsid w:val="00D850A9"/>
    <w:rsid w:val="00D85499"/>
    <w:rsid w:val="00D85C07"/>
    <w:rsid w:val="00D90138"/>
    <w:rsid w:val="00D906E9"/>
    <w:rsid w:val="00D937CB"/>
    <w:rsid w:val="00D9386B"/>
    <w:rsid w:val="00DA04E9"/>
    <w:rsid w:val="00DA2529"/>
    <w:rsid w:val="00DA40C4"/>
    <w:rsid w:val="00DB0BE3"/>
    <w:rsid w:val="00DB130A"/>
    <w:rsid w:val="00DB1F1A"/>
    <w:rsid w:val="00DB29E4"/>
    <w:rsid w:val="00DB2AF3"/>
    <w:rsid w:val="00DB2EBB"/>
    <w:rsid w:val="00DB4F61"/>
    <w:rsid w:val="00DB593A"/>
    <w:rsid w:val="00DB7906"/>
    <w:rsid w:val="00DC02A9"/>
    <w:rsid w:val="00DC10A1"/>
    <w:rsid w:val="00DC1D8A"/>
    <w:rsid w:val="00DC1DB0"/>
    <w:rsid w:val="00DC3588"/>
    <w:rsid w:val="00DC655F"/>
    <w:rsid w:val="00DD0B59"/>
    <w:rsid w:val="00DD20C1"/>
    <w:rsid w:val="00DD357F"/>
    <w:rsid w:val="00DD3CEB"/>
    <w:rsid w:val="00DD4C2A"/>
    <w:rsid w:val="00DD6F4B"/>
    <w:rsid w:val="00DD7EBD"/>
    <w:rsid w:val="00DE1C9B"/>
    <w:rsid w:val="00DE4206"/>
    <w:rsid w:val="00DE428D"/>
    <w:rsid w:val="00DE62F0"/>
    <w:rsid w:val="00DF3104"/>
    <w:rsid w:val="00DF5C75"/>
    <w:rsid w:val="00DF62B6"/>
    <w:rsid w:val="00E0135B"/>
    <w:rsid w:val="00E01601"/>
    <w:rsid w:val="00E020E3"/>
    <w:rsid w:val="00E023DF"/>
    <w:rsid w:val="00E04507"/>
    <w:rsid w:val="00E07225"/>
    <w:rsid w:val="00E10837"/>
    <w:rsid w:val="00E12578"/>
    <w:rsid w:val="00E1637C"/>
    <w:rsid w:val="00E17E6A"/>
    <w:rsid w:val="00E246CB"/>
    <w:rsid w:val="00E2686E"/>
    <w:rsid w:val="00E26E8B"/>
    <w:rsid w:val="00E272D9"/>
    <w:rsid w:val="00E27A48"/>
    <w:rsid w:val="00E32552"/>
    <w:rsid w:val="00E34910"/>
    <w:rsid w:val="00E35C5E"/>
    <w:rsid w:val="00E428E9"/>
    <w:rsid w:val="00E440AB"/>
    <w:rsid w:val="00E45B46"/>
    <w:rsid w:val="00E46766"/>
    <w:rsid w:val="00E509BC"/>
    <w:rsid w:val="00E51E0E"/>
    <w:rsid w:val="00E5409F"/>
    <w:rsid w:val="00E54AC8"/>
    <w:rsid w:val="00E55113"/>
    <w:rsid w:val="00E605D1"/>
    <w:rsid w:val="00E63E5A"/>
    <w:rsid w:val="00E70DA0"/>
    <w:rsid w:val="00E73D68"/>
    <w:rsid w:val="00E7496A"/>
    <w:rsid w:val="00E77B79"/>
    <w:rsid w:val="00E802AD"/>
    <w:rsid w:val="00E82A47"/>
    <w:rsid w:val="00E86684"/>
    <w:rsid w:val="00E867B8"/>
    <w:rsid w:val="00E879C6"/>
    <w:rsid w:val="00E87C89"/>
    <w:rsid w:val="00E9388C"/>
    <w:rsid w:val="00E96684"/>
    <w:rsid w:val="00E97188"/>
    <w:rsid w:val="00E97805"/>
    <w:rsid w:val="00EA02CE"/>
    <w:rsid w:val="00EA05E8"/>
    <w:rsid w:val="00EA17BC"/>
    <w:rsid w:val="00EA2AC9"/>
    <w:rsid w:val="00EA3263"/>
    <w:rsid w:val="00EA7604"/>
    <w:rsid w:val="00EB17A5"/>
    <w:rsid w:val="00EB705C"/>
    <w:rsid w:val="00EC1C5C"/>
    <w:rsid w:val="00EC43E0"/>
    <w:rsid w:val="00ED04B9"/>
    <w:rsid w:val="00ED223F"/>
    <w:rsid w:val="00ED4BCB"/>
    <w:rsid w:val="00EE094D"/>
    <w:rsid w:val="00EE3A26"/>
    <w:rsid w:val="00EE6488"/>
    <w:rsid w:val="00EE747E"/>
    <w:rsid w:val="00EF0A26"/>
    <w:rsid w:val="00EF4A97"/>
    <w:rsid w:val="00EF51EF"/>
    <w:rsid w:val="00EF561F"/>
    <w:rsid w:val="00EF5B4B"/>
    <w:rsid w:val="00F001A9"/>
    <w:rsid w:val="00F0129E"/>
    <w:rsid w:val="00F021FA"/>
    <w:rsid w:val="00F0231B"/>
    <w:rsid w:val="00F05793"/>
    <w:rsid w:val="00F069BC"/>
    <w:rsid w:val="00F10318"/>
    <w:rsid w:val="00F13D19"/>
    <w:rsid w:val="00F141F3"/>
    <w:rsid w:val="00F14D50"/>
    <w:rsid w:val="00F21A8B"/>
    <w:rsid w:val="00F22F18"/>
    <w:rsid w:val="00F2314F"/>
    <w:rsid w:val="00F31941"/>
    <w:rsid w:val="00F33216"/>
    <w:rsid w:val="00F34307"/>
    <w:rsid w:val="00F35EA2"/>
    <w:rsid w:val="00F40B45"/>
    <w:rsid w:val="00F43806"/>
    <w:rsid w:val="00F4711F"/>
    <w:rsid w:val="00F47B5A"/>
    <w:rsid w:val="00F50A88"/>
    <w:rsid w:val="00F54044"/>
    <w:rsid w:val="00F5471D"/>
    <w:rsid w:val="00F55C70"/>
    <w:rsid w:val="00F5747F"/>
    <w:rsid w:val="00F60966"/>
    <w:rsid w:val="00F62E97"/>
    <w:rsid w:val="00F64209"/>
    <w:rsid w:val="00F65C8F"/>
    <w:rsid w:val="00F66183"/>
    <w:rsid w:val="00F71A12"/>
    <w:rsid w:val="00F71BE8"/>
    <w:rsid w:val="00F7479C"/>
    <w:rsid w:val="00F748C9"/>
    <w:rsid w:val="00F763F0"/>
    <w:rsid w:val="00F775C1"/>
    <w:rsid w:val="00F80A8B"/>
    <w:rsid w:val="00F81E60"/>
    <w:rsid w:val="00F8234E"/>
    <w:rsid w:val="00F8358D"/>
    <w:rsid w:val="00F83CFC"/>
    <w:rsid w:val="00F84DD4"/>
    <w:rsid w:val="00F85A49"/>
    <w:rsid w:val="00F86C33"/>
    <w:rsid w:val="00F87078"/>
    <w:rsid w:val="00F87473"/>
    <w:rsid w:val="00F93BF5"/>
    <w:rsid w:val="00FA01E3"/>
    <w:rsid w:val="00FA4FD6"/>
    <w:rsid w:val="00FA78F9"/>
    <w:rsid w:val="00FA7977"/>
    <w:rsid w:val="00FB0E7E"/>
    <w:rsid w:val="00FB18CA"/>
    <w:rsid w:val="00FB3B7F"/>
    <w:rsid w:val="00FB43A8"/>
    <w:rsid w:val="00FB4858"/>
    <w:rsid w:val="00FB5624"/>
    <w:rsid w:val="00FC416F"/>
    <w:rsid w:val="00FC6138"/>
    <w:rsid w:val="00FC6175"/>
    <w:rsid w:val="00FC6336"/>
    <w:rsid w:val="00FC6584"/>
    <w:rsid w:val="00FD01C9"/>
    <w:rsid w:val="00FD124E"/>
    <w:rsid w:val="00FD2F57"/>
    <w:rsid w:val="00FD6259"/>
    <w:rsid w:val="00FD662C"/>
    <w:rsid w:val="00FD7CD4"/>
    <w:rsid w:val="00FF2236"/>
    <w:rsid w:val="00FF2863"/>
    <w:rsid w:val="00FF5EEA"/>
    <w:rsid w:val="00FF6422"/>
    <w:rsid w:val="00FF6A8B"/>
  </w:rsids>
  <m:mathPr>
    <m:mathFont m:val="Cambria Math"/>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10DB156"/>
  <w15:docId w15:val="{7F9EC36A-1C78-4194-A411-1AA3DA1E0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Footnote Text Char Char2 Char Char,Footnote Text Char1,Footnote Text Char1 Char Char,Footnote Text Char2 Char,Footnote Text Char2 Char1 Char Char Char Char,Footnote Text Char4 Char Char Char Char,f,fn"/>
    <w:link w:val="FootnoteTextChar2"/>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C410B8"/>
    <w:pPr>
      <w:jc w:val="center"/>
    </w:pPr>
    <w:rPr>
      <w:b/>
    </w:rPr>
  </w:style>
  <w:style w:type="character" w:customStyle="1" w:styleId="TitleChar">
    <w:name w:val="Title Char"/>
    <w:link w:val="Title"/>
    <w:rsid w:val="00C410B8"/>
    <w:rPr>
      <w:b/>
      <w:snapToGrid w:val="0"/>
      <w:kern w:val="28"/>
      <w:sz w:val="22"/>
    </w:rPr>
  </w:style>
  <w:style w:type="paragraph" w:styleId="Subtitle">
    <w:name w:val="Subtitle"/>
    <w:basedOn w:val="Normal"/>
    <w:link w:val="SubtitleChar"/>
    <w:qFormat/>
    <w:rsid w:val="00C410B8"/>
    <w:pPr>
      <w:ind w:firstLine="720"/>
      <w:jc w:val="center"/>
    </w:pPr>
    <w:rPr>
      <w:b/>
    </w:rPr>
  </w:style>
  <w:style w:type="character" w:customStyle="1" w:styleId="SubtitleChar">
    <w:name w:val="Subtitle Char"/>
    <w:link w:val="Subtitle"/>
    <w:rsid w:val="00C410B8"/>
    <w:rPr>
      <w:b/>
      <w:snapToGrid w:val="0"/>
      <w:kern w:val="28"/>
      <w:sz w:val="22"/>
    </w:rPr>
  </w:style>
  <w:style w:type="character" w:customStyle="1" w:styleId="FootnoteTextChar2">
    <w:name w:val="Footnote Text Char2"/>
    <w:aliases w:val="Footnote Text Char Char,Footnote Text Char Char2 Char Char Char,Footnote Text Char1 Char Char Char,Footnote Text Char2 Char Char,Footnote Text Char2 Char1 Char Char Char Char Char,Footnote Text Char4 Char Char Char Char Char,fn Char"/>
    <w:link w:val="FootnoteText"/>
    <w:locked/>
    <w:rsid w:val="00C410B8"/>
  </w:style>
  <w:style w:type="character" w:styleId="CommentReference">
    <w:name w:val="annotation reference"/>
    <w:rsid w:val="00404CC8"/>
    <w:rPr>
      <w:sz w:val="16"/>
      <w:szCs w:val="16"/>
    </w:rPr>
  </w:style>
  <w:style w:type="paragraph" w:styleId="CommentText">
    <w:name w:val="annotation text"/>
    <w:basedOn w:val="Normal"/>
    <w:link w:val="CommentTextChar"/>
    <w:rsid w:val="00404CC8"/>
    <w:rPr>
      <w:sz w:val="20"/>
    </w:rPr>
  </w:style>
  <w:style w:type="character" w:customStyle="1" w:styleId="CommentTextChar">
    <w:name w:val="Comment Text Char"/>
    <w:link w:val="CommentText"/>
    <w:rsid w:val="00404CC8"/>
    <w:rPr>
      <w:snapToGrid w:val="0"/>
      <w:kern w:val="28"/>
    </w:rPr>
  </w:style>
  <w:style w:type="paragraph" w:styleId="CommentSubject">
    <w:name w:val="annotation subject"/>
    <w:basedOn w:val="CommentText"/>
    <w:next w:val="CommentText"/>
    <w:link w:val="CommentSubjectChar"/>
    <w:rsid w:val="00404CC8"/>
    <w:rPr>
      <w:b/>
      <w:bCs/>
    </w:rPr>
  </w:style>
  <w:style w:type="character" w:customStyle="1" w:styleId="CommentSubjectChar">
    <w:name w:val="Comment Subject Char"/>
    <w:link w:val="CommentSubject"/>
    <w:rsid w:val="00404CC8"/>
    <w:rPr>
      <w:b/>
      <w:bCs/>
      <w:snapToGrid w:val="0"/>
      <w:kern w:val="28"/>
    </w:rPr>
  </w:style>
  <w:style w:type="paragraph" w:styleId="BalloonText">
    <w:name w:val="Balloon Text"/>
    <w:basedOn w:val="Normal"/>
    <w:link w:val="BalloonTextChar"/>
    <w:rsid w:val="00404CC8"/>
    <w:rPr>
      <w:rFonts w:ascii="Segoe UI" w:hAnsi="Segoe UI" w:cs="Segoe UI"/>
      <w:sz w:val="18"/>
      <w:szCs w:val="18"/>
    </w:rPr>
  </w:style>
  <w:style w:type="character" w:customStyle="1" w:styleId="BalloonTextChar">
    <w:name w:val="Balloon Text Char"/>
    <w:link w:val="BalloonText"/>
    <w:rsid w:val="00404CC8"/>
    <w:rPr>
      <w:rFonts w:ascii="Segoe UI" w:hAnsi="Segoe UI" w:cs="Segoe UI"/>
      <w:snapToGrid w:val="0"/>
      <w:kern w:val="28"/>
      <w:sz w:val="18"/>
      <w:szCs w:val="18"/>
    </w:rPr>
  </w:style>
  <w:style w:type="character" w:customStyle="1" w:styleId="ParaNumChar">
    <w:name w:val="ParaNum Char"/>
    <w:link w:val="ParaNum"/>
    <w:locked/>
    <w:rsid w:val="005B7DA9"/>
    <w:rPr>
      <w:snapToGrid w:val="0"/>
      <w:kern w:val="28"/>
      <w:sz w:val="22"/>
    </w:rPr>
  </w:style>
  <w:style w:type="character" w:styleId="Emphasis">
    <w:name w:val="Emphasis"/>
    <w:uiPriority w:val="20"/>
    <w:qFormat/>
    <w:rsid w:val="00840DBB"/>
    <w:rPr>
      <w:i/>
      <w:iCs/>
    </w:rPr>
  </w:style>
  <w:style w:type="paragraph" w:styleId="Revision">
    <w:name w:val="Revision"/>
    <w:hidden/>
    <w:uiPriority w:val="99"/>
    <w:semiHidden/>
    <w:rsid w:val="002A69D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