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25C7C" w:rsidP="00111F9B" w14:paraId="630410B3" w14:textId="77777777">
      <w:pPr>
        <w:jc w:val="right"/>
      </w:pPr>
    </w:p>
    <w:p w:rsidR="00425C7C" w:rsidRPr="00133118" w:rsidP="00425C7C" w14:paraId="2E0185A2" w14:textId="35C53DE9">
      <w:pPr>
        <w:jc w:val="right"/>
        <w:rPr>
          <w:b/>
          <w:szCs w:val="22"/>
        </w:rPr>
      </w:pPr>
      <w:r w:rsidRPr="00133118">
        <w:rPr>
          <w:b/>
          <w:szCs w:val="22"/>
        </w:rPr>
        <w:t>DA 21-</w:t>
      </w:r>
      <w:r w:rsidR="00EA076A">
        <w:rPr>
          <w:b/>
          <w:szCs w:val="22"/>
        </w:rPr>
        <w:t>1023</w:t>
      </w:r>
    </w:p>
    <w:p w:rsidR="00425C7C" w:rsidRPr="00133118" w:rsidP="00425C7C" w14:paraId="0B707331" w14:textId="49DF02CD">
      <w:pPr>
        <w:spacing w:before="60"/>
        <w:jc w:val="right"/>
        <w:rPr>
          <w:b/>
          <w:szCs w:val="22"/>
        </w:rPr>
      </w:pPr>
      <w:r w:rsidRPr="00133118">
        <w:rPr>
          <w:b/>
          <w:szCs w:val="22"/>
        </w:rPr>
        <w:t xml:space="preserve">Released:  </w:t>
      </w:r>
      <w:r w:rsidR="000B2D57">
        <w:rPr>
          <w:b/>
          <w:szCs w:val="22"/>
        </w:rPr>
        <w:t xml:space="preserve">August </w:t>
      </w:r>
      <w:r w:rsidR="00856B6D">
        <w:rPr>
          <w:b/>
          <w:szCs w:val="22"/>
        </w:rPr>
        <w:t>20</w:t>
      </w:r>
      <w:r>
        <w:rPr>
          <w:b/>
          <w:szCs w:val="22"/>
        </w:rPr>
        <w:t>, 2021</w:t>
      </w:r>
    </w:p>
    <w:p w:rsidR="00425C7C" w:rsidP="00425C7C" w14:paraId="73FFE262" w14:textId="77777777">
      <w:pPr>
        <w:jc w:val="right"/>
        <w:rPr>
          <w:sz w:val="24"/>
        </w:rPr>
      </w:pPr>
    </w:p>
    <w:p w:rsidR="00425C7C" w:rsidP="00425C7C" w14:paraId="3A9CC3A9" w14:textId="1A2F8EBD">
      <w:pPr>
        <w:widowControl/>
        <w:jc w:val="center"/>
        <w:rPr>
          <w:b/>
          <w:bCs/>
        </w:rPr>
      </w:pPr>
      <w:r>
        <w:rPr>
          <w:b/>
          <w:bCs/>
        </w:rPr>
        <w:t xml:space="preserve">WTB AND OEA </w:t>
      </w:r>
      <w:r w:rsidR="008879C4">
        <w:rPr>
          <w:b/>
          <w:bCs/>
        </w:rPr>
        <w:t xml:space="preserve">RELEASE </w:t>
      </w:r>
      <w:r w:rsidR="000B2D57">
        <w:rPr>
          <w:b/>
          <w:bCs/>
        </w:rPr>
        <w:t xml:space="preserve">PROTECTIVE ORDER </w:t>
      </w:r>
      <w:r w:rsidR="008879C4">
        <w:rPr>
          <w:b/>
          <w:bCs/>
        </w:rPr>
        <w:t>TO PROVIDE AUCTION</w:t>
      </w:r>
      <w:r w:rsidR="008F4D20">
        <w:rPr>
          <w:b/>
          <w:bCs/>
        </w:rPr>
        <w:t xml:space="preserve"> 110</w:t>
      </w:r>
      <w:r w:rsidR="008879C4">
        <w:rPr>
          <w:b/>
          <w:bCs/>
        </w:rPr>
        <w:t xml:space="preserve"> </w:t>
      </w:r>
      <w:r w:rsidR="000B2D57">
        <w:rPr>
          <w:b/>
          <w:bCs/>
        </w:rPr>
        <w:t xml:space="preserve">APPLICANTS </w:t>
      </w:r>
      <w:r w:rsidR="00ED3A45">
        <w:rPr>
          <w:b/>
          <w:bCs/>
        </w:rPr>
        <w:t xml:space="preserve">ACCESS TO </w:t>
      </w:r>
      <w:r w:rsidR="00B82094">
        <w:rPr>
          <w:b/>
          <w:bCs/>
        </w:rPr>
        <w:t xml:space="preserve">CONTROLLED UNCLASSIFIED </w:t>
      </w:r>
      <w:r w:rsidR="00364B4C">
        <w:rPr>
          <w:b/>
          <w:bCs/>
        </w:rPr>
        <w:t xml:space="preserve">INFORMATION ON </w:t>
      </w:r>
      <w:r w:rsidR="000B2D57">
        <w:rPr>
          <w:b/>
          <w:bCs/>
        </w:rPr>
        <w:t>DEPARTMENT OF DEFEN</w:t>
      </w:r>
      <w:r w:rsidR="00CE1FBB">
        <w:rPr>
          <w:b/>
          <w:bCs/>
        </w:rPr>
        <w:t>S</w:t>
      </w:r>
      <w:r w:rsidR="000B2D57">
        <w:rPr>
          <w:b/>
          <w:bCs/>
        </w:rPr>
        <w:t xml:space="preserve">E </w:t>
      </w:r>
      <w:r w:rsidR="007B03B9">
        <w:rPr>
          <w:b/>
          <w:bCs/>
        </w:rPr>
        <w:t>SYS</w:t>
      </w:r>
      <w:r w:rsidR="008F4D20">
        <w:rPr>
          <w:b/>
          <w:bCs/>
        </w:rPr>
        <w:t>TEMS IN THE 3.45</w:t>
      </w:r>
      <w:r w:rsidR="00A8010A">
        <w:rPr>
          <w:b/>
          <w:bCs/>
        </w:rPr>
        <w:t>–</w:t>
      </w:r>
      <w:r w:rsidR="008F4D20">
        <w:rPr>
          <w:b/>
          <w:bCs/>
        </w:rPr>
        <w:t xml:space="preserve">3.55 GHZ BAND </w:t>
      </w:r>
    </w:p>
    <w:p w:rsidR="00425C7C" w:rsidRPr="009D2A23" w:rsidP="00425C7C" w14:paraId="2B0B0030" w14:textId="77777777">
      <w:pPr>
        <w:widowControl/>
        <w:jc w:val="center"/>
        <w:rPr>
          <w:b/>
          <w:szCs w:val="22"/>
        </w:rPr>
      </w:pPr>
    </w:p>
    <w:p w:rsidR="00425C7C" w:rsidP="00425C7C" w14:paraId="60130A73" w14:textId="77777777">
      <w:pPr>
        <w:jc w:val="center"/>
        <w:rPr>
          <w:b/>
        </w:rPr>
      </w:pPr>
      <w:r w:rsidRPr="67367E09">
        <w:rPr>
          <w:b/>
        </w:rPr>
        <w:t>AU Docket No. 21-62</w:t>
      </w:r>
    </w:p>
    <w:p w:rsidR="00425C7C" w:rsidP="00425C7C" w14:paraId="5584D5E3" w14:textId="77777777">
      <w:pPr>
        <w:jc w:val="center"/>
        <w:rPr>
          <w:b/>
          <w:szCs w:val="22"/>
        </w:rPr>
      </w:pPr>
    </w:p>
    <w:p w:rsidR="00EF628E" w:rsidP="00425C7C" w14:paraId="5CA99D1E" w14:textId="33E7645C">
      <w:pPr>
        <w:pStyle w:val="ParaNum"/>
        <w:widowControl/>
      </w:pPr>
      <w:r>
        <w:t xml:space="preserve">By this Public Notice, the Office of Economics and Analytics (OEA) and the Wireless Telecommunications Bureau (WTB) jointly </w:t>
      </w:r>
      <w:r w:rsidR="000B2D57">
        <w:t>announce the release of a Protective Order that provides access</w:t>
      </w:r>
      <w:r>
        <w:t>, subject to certain safeguards,</w:t>
      </w:r>
      <w:r w:rsidR="000B2D57">
        <w:t xml:space="preserve"> to </w:t>
      </w:r>
      <w:r w:rsidRPr="0094216F" w:rsidR="00B82094">
        <w:t xml:space="preserve">Controlled Unclassified </w:t>
      </w:r>
      <w:r w:rsidR="00B82094">
        <w:t>I</w:t>
      </w:r>
      <w:r w:rsidRPr="0094216F" w:rsidR="00B82094">
        <w:t>nformation (CUI)</w:t>
      </w:r>
      <w:r w:rsidRPr="005E5552" w:rsidR="00421EEF">
        <w:t xml:space="preserve"> </w:t>
      </w:r>
      <w:r w:rsidRPr="006738EB" w:rsidR="00DA4F92">
        <w:t>about D</w:t>
      </w:r>
      <w:r w:rsidR="00D410B3">
        <w:t xml:space="preserve">epartment of </w:t>
      </w:r>
      <w:r w:rsidRPr="006738EB" w:rsidR="00DA4F92">
        <w:t>D</w:t>
      </w:r>
      <w:r w:rsidR="00D410B3">
        <w:t>efense</w:t>
      </w:r>
      <w:r w:rsidRPr="006738EB" w:rsidR="00DA4F92">
        <w:t xml:space="preserve"> </w:t>
      </w:r>
      <w:r w:rsidR="0094216F">
        <w:t>(DoD)</w:t>
      </w:r>
      <w:r w:rsidR="000C6370">
        <w:t xml:space="preserve"> </w:t>
      </w:r>
      <w:r w:rsidR="00DA4F92">
        <w:t xml:space="preserve">systems and </w:t>
      </w:r>
      <w:r w:rsidRPr="006738EB" w:rsidR="00DA4F92">
        <w:t>operations in the 3.45</w:t>
      </w:r>
      <w:r w:rsidR="00A8010A">
        <w:t>–</w:t>
      </w:r>
      <w:r w:rsidR="00901B1A">
        <w:t>3.55</w:t>
      </w:r>
      <w:r w:rsidRPr="006738EB" w:rsidR="00DA4F92">
        <w:t xml:space="preserve"> GHz band</w:t>
      </w:r>
      <w:r w:rsidR="000B2D57">
        <w:t xml:space="preserve"> relevant to particular </w:t>
      </w:r>
      <w:r>
        <w:t>flexible-use licenses</w:t>
      </w:r>
      <w:r w:rsidR="000B2D57">
        <w:t xml:space="preserve"> to be offered</w:t>
      </w:r>
      <w:r>
        <w:t xml:space="preserve"> in Auction 110.</w:t>
      </w:r>
      <w:r>
        <w:rPr>
          <w:rStyle w:val="FootnoteReference"/>
        </w:rPr>
        <w:footnoteReference w:id="3"/>
      </w:r>
      <w:r w:rsidR="00AF0CD8">
        <w:t xml:space="preserve">  </w:t>
      </w:r>
    </w:p>
    <w:p w:rsidR="000B2D57" w:rsidP="00425C7C" w14:paraId="7C906A54" w14:textId="037B52DC">
      <w:pPr>
        <w:pStyle w:val="ParaNum"/>
        <w:widowControl/>
      </w:pPr>
      <w:r>
        <w:t xml:space="preserve">As described in the </w:t>
      </w:r>
      <w:r w:rsidRPr="2C2009B9">
        <w:rPr>
          <w:i/>
          <w:iCs/>
        </w:rPr>
        <w:t>Auction 110 Procedures Public Notice</w:t>
      </w:r>
      <w:r>
        <w:t>, A</w:t>
      </w:r>
      <w:r w:rsidRPr="00E271A7">
        <w:t>uction</w:t>
      </w:r>
      <w:r>
        <w:t xml:space="preserve"> 110 </w:t>
      </w:r>
      <w:r w:rsidRPr="000026EC">
        <w:t xml:space="preserve">will offer </w:t>
      </w:r>
      <w:r>
        <w:t>4,060</w:t>
      </w:r>
      <w:r w:rsidRPr="00695DD0">
        <w:t xml:space="preserve"> </w:t>
      </w:r>
      <w:r>
        <w:t>new flexible-use licenses</w:t>
      </w:r>
      <w:r w:rsidRPr="000026EC">
        <w:t xml:space="preserve"> </w:t>
      </w:r>
      <w:r>
        <w:t>for spectrum</w:t>
      </w:r>
      <w:r w:rsidRPr="000026EC">
        <w:t xml:space="preserve"> in the </w:t>
      </w:r>
      <w:r w:rsidRPr="00695DD0">
        <w:t>3.45–3.55 GHz band throughout the contiguous United States.</w:t>
      </w:r>
      <w:r>
        <w:rPr>
          <w:rStyle w:val="FootnoteReference"/>
        </w:rPr>
        <w:footnoteReference w:id="4"/>
      </w:r>
      <w:r>
        <w:t xml:space="preserve">  Particular licenses are subject to cooperative sharing requirements</w:t>
      </w:r>
      <w:r w:rsidRPr="00D20724">
        <w:t xml:space="preserve"> </w:t>
      </w:r>
      <w:r>
        <w:t xml:space="preserve">described in the </w:t>
      </w:r>
      <w:r w:rsidRPr="2C2009B9">
        <w:rPr>
          <w:i/>
          <w:iCs/>
        </w:rPr>
        <w:t>3.45 GHz Second Report and Order</w:t>
      </w:r>
      <w:r>
        <w:rPr>
          <w:rStyle w:val="FootnoteReference"/>
        </w:rPr>
        <w:footnoteReference w:id="5"/>
      </w:r>
      <w:r>
        <w:t xml:space="preserve"> and in the </w:t>
      </w:r>
      <w:r w:rsidRPr="2C2009B9">
        <w:rPr>
          <w:i/>
          <w:iCs/>
        </w:rPr>
        <w:t>Auction 110 Procedures Public Notice</w:t>
      </w:r>
      <w:r>
        <w:t>.</w:t>
      </w:r>
      <w:r>
        <w:rPr>
          <w:rStyle w:val="FootnoteReference"/>
        </w:rPr>
        <w:footnoteReference w:id="6"/>
      </w:r>
      <w:r>
        <w:t xml:space="preserve">  </w:t>
      </w:r>
      <w:r w:rsidRPr="00315914">
        <w:t xml:space="preserve">Interested parties </w:t>
      </w:r>
      <w:r>
        <w:t>will be able to</w:t>
      </w:r>
      <w:r w:rsidRPr="00315914">
        <w:t xml:space="preserve"> find additio</w:t>
      </w:r>
      <w:r>
        <w:t>n</w:t>
      </w:r>
      <w:r w:rsidRPr="00315914">
        <w:t xml:space="preserve">al information about the cooperative sharing requirements, including information about the encumbrances in specific PEAs, on </w:t>
      </w:r>
      <w:r>
        <w:t xml:space="preserve">the </w:t>
      </w:r>
      <w:r w:rsidR="00AE6C2F">
        <w:t>National Telecommunications and Information</w:t>
      </w:r>
      <w:r w:rsidR="00B70DB0">
        <w:t xml:space="preserve"> Administration’s (</w:t>
      </w:r>
      <w:r>
        <w:t>NTIA’s</w:t>
      </w:r>
      <w:r w:rsidR="00B70DB0">
        <w:t>)</w:t>
      </w:r>
      <w:r>
        <w:t xml:space="preserve"> 3450-3550 MHz webpage at </w:t>
      </w:r>
      <w:hyperlink r:id="rId5" w:history="1">
        <w:r w:rsidRPr="003411F2">
          <w:rPr>
            <w:rStyle w:val="Hyperlink"/>
          </w:rPr>
          <w:t>https://www.ntia.doc.gov/category/3450-3550-mhz</w:t>
        </w:r>
      </w:hyperlink>
      <w:r w:rsidRPr="00315914">
        <w:t xml:space="preserve">.  </w:t>
      </w:r>
      <w:r>
        <w:t>The public notice issued jointly by NTIA and the Commission’s WTB provides further guidance and information on federal/non-federal coordination procedures.</w:t>
      </w:r>
      <w:r>
        <w:rPr>
          <w:rStyle w:val="FootnoteReference"/>
        </w:rPr>
        <w:footnoteReference w:id="7"/>
      </w:r>
    </w:p>
    <w:p w:rsidR="00E17F7C" w:rsidP="00E17F7C" w14:paraId="3DB2589A" w14:textId="1BADDE02">
      <w:pPr>
        <w:pStyle w:val="ParaNum"/>
      </w:pPr>
      <w:r>
        <w:t xml:space="preserve">DoD has partnered with the National Coordinating Center for Communications (NCC), part of the Department of Homeland Security’s Cybersecurity and Infrastructure Security Agency, to share sensitive information regarding DoD’s incumbent operations, and NCC distributed this information </w:t>
      </w:r>
      <w:r>
        <w:t>to its industry members.</w:t>
      </w:r>
      <w:r>
        <w:rPr>
          <w:rStyle w:val="FootnoteReference"/>
        </w:rPr>
        <w:footnoteReference w:id="8"/>
      </w:r>
      <w:r>
        <w:t xml:space="preserve">  </w:t>
      </w:r>
      <w:bookmarkStart w:id="0" w:name="_Hlk79507832"/>
      <w:r>
        <w:t>In addition, DoD</w:t>
      </w:r>
      <w:r w:rsidR="00584E25">
        <w:t xml:space="preserve"> has facilitated access</w:t>
      </w:r>
      <w:r>
        <w:t xml:space="preserve"> </w:t>
      </w:r>
      <w:r w:rsidR="00584E25">
        <w:t xml:space="preserve">to </w:t>
      </w:r>
      <w:r>
        <w:t>this information</w:t>
      </w:r>
      <w:bookmarkEnd w:id="0"/>
      <w:r w:rsidR="00584E25">
        <w:t xml:space="preserve"> </w:t>
      </w:r>
      <w:r w:rsidR="007E430B">
        <w:t>by</w:t>
      </w:r>
      <w:r w:rsidR="00584E25">
        <w:t xml:space="preserve"> the FCC</w:t>
      </w:r>
      <w:r>
        <w:t>.</w:t>
      </w:r>
      <w:r w:rsidR="0094216F">
        <w:t xml:space="preserve"> </w:t>
      </w:r>
      <w:r>
        <w:t xml:space="preserve"> In order to facilitate auction applicants’ preparation for and participation in Auction 110, and in coordination with the DoD, the Protective Order will allow appropriate representatives of auction applicants to view this sensitive information </w:t>
      </w:r>
      <w:r w:rsidRPr="00114ED1">
        <w:t xml:space="preserve">subject to certain safeguards </w:t>
      </w:r>
      <w:r>
        <w:t xml:space="preserve">even if the auction applicant is not an NCC member. </w:t>
      </w:r>
    </w:p>
    <w:p w:rsidR="0069437E" w:rsidRPr="000B212E" w:rsidP="00AF03AA" w14:paraId="30592D81" w14:textId="4FB2CDAD">
      <w:pPr>
        <w:pStyle w:val="ParaNum"/>
        <w:widowControl/>
        <w:rPr>
          <w:snapToGrid/>
          <w:kern w:val="0"/>
          <w:szCs w:val="22"/>
        </w:rPr>
      </w:pPr>
      <w:r>
        <w:t xml:space="preserve">As described in the Protective Order, </w:t>
      </w:r>
      <w:r w:rsidR="00050505">
        <w:t>a</w:t>
      </w:r>
      <w:r w:rsidRPr="00050505" w:rsidR="00050505">
        <w:t>ccess to DoD CUI is limited to United States citizens who are employed by or represent an Auction Applicant and to their Support Personnel who have a need to see DoD CUI.</w:t>
      </w:r>
      <w:r w:rsidR="001F7AFA">
        <w:t xml:space="preserve">  T</w:t>
      </w:r>
      <w:r>
        <w:t xml:space="preserve">o be eligible to access the </w:t>
      </w:r>
      <w:r w:rsidR="00B82094">
        <w:t>CUI</w:t>
      </w:r>
      <w:r>
        <w:t>, an individual</w:t>
      </w:r>
      <w:r w:rsidR="0088590C">
        <w:t xml:space="preserve"> must be a</w:t>
      </w:r>
      <w:r>
        <w:t xml:space="preserve"> </w:t>
      </w:r>
      <w:r w:rsidR="000850E8">
        <w:t xml:space="preserve">citizen of the United States </w:t>
      </w:r>
      <w:r w:rsidR="009A6FC1">
        <w:t xml:space="preserve">acting on behalf of </w:t>
      </w:r>
      <w:r w:rsidRPr="001106B2" w:rsidR="00EA5071">
        <w:t xml:space="preserve">a person or entity that </w:t>
      </w:r>
      <w:r w:rsidR="00A477C4">
        <w:t xml:space="preserve">(i) </w:t>
      </w:r>
      <w:r w:rsidRPr="001106B2" w:rsidR="00EA5071">
        <w:t>has filed</w:t>
      </w:r>
      <w:r w:rsidR="00EA5071">
        <w:t xml:space="preserve"> an </w:t>
      </w:r>
      <w:r w:rsidRPr="00435180" w:rsidR="00EA5071">
        <w:t>application</w:t>
      </w:r>
      <w:r w:rsidR="00EA5071">
        <w:t xml:space="preserve"> to participate in Auction 110</w:t>
      </w:r>
      <w:r w:rsidR="000850E8">
        <w:t xml:space="preserve"> </w:t>
      </w:r>
      <w:r w:rsidR="00A477C4">
        <w:t xml:space="preserve">and (ii) </w:t>
      </w:r>
      <w:r w:rsidR="00EA5071">
        <w:t>has selected one or more license areas that overlap with coordination areas</w:t>
      </w:r>
      <w:r w:rsidR="0088590C">
        <w:t xml:space="preserve"> in its application</w:t>
      </w:r>
      <w:r w:rsidR="00EA5071">
        <w:t>.</w:t>
      </w:r>
      <w:r w:rsidR="008A4CF9">
        <w:t xml:space="preserve">  </w:t>
      </w:r>
      <w:r w:rsidR="00B63681">
        <w:t xml:space="preserve">Further, if the </w:t>
      </w:r>
      <w:r w:rsidR="00604753">
        <w:t>individual</w:t>
      </w:r>
      <w:r w:rsidR="006D430B">
        <w:t xml:space="preserve"> requesting </w:t>
      </w:r>
      <w:r w:rsidR="001C6514">
        <w:t xml:space="preserve">access </w:t>
      </w:r>
      <w:r w:rsidR="008F0A87">
        <w:t>to the</w:t>
      </w:r>
      <w:r w:rsidR="00B82094">
        <w:t xml:space="preserve"> CUI</w:t>
      </w:r>
      <w:r w:rsidRPr="005E5552" w:rsidR="00587CBA">
        <w:t xml:space="preserve"> </w:t>
      </w:r>
      <w:r w:rsidR="008F0A87">
        <w:t>on behalf of an applicant</w:t>
      </w:r>
      <w:r w:rsidR="00604753">
        <w:t xml:space="preserve"> is not the </w:t>
      </w:r>
      <w:r w:rsidR="00816B26">
        <w:t>certifying</w:t>
      </w:r>
      <w:r w:rsidR="00604753">
        <w:t xml:space="preserve"> </w:t>
      </w:r>
      <w:r w:rsidR="00AC5FFE">
        <w:t>official</w:t>
      </w:r>
      <w:r w:rsidR="00604753">
        <w:t xml:space="preserve"> listed in </w:t>
      </w:r>
      <w:r w:rsidR="00CF5218">
        <w:t xml:space="preserve">the </w:t>
      </w:r>
      <w:r w:rsidR="004D555E">
        <w:t>applicant’s FCC Form 175</w:t>
      </w:r>
      <w:r w:rsidR="009F48C7">
        <w:t xml:space="preserve"> short-form </w:t>
      </w:r>
      <w:r w:rsidR="00604753">
        <w:t>application, then</w:t>
      </w:r>
      <w:r w:rsidR="00C2064D">
        <w:t xml:space="preserve"> the </w:t>
      </w:r>
      <w:r w:rsidR="00AC5FFE">
        <w:t>certifying official</w:t>
      </w:r>
      <w:r w:rsidR="00C2064D">
        <w:t xml:space="preserve"> must notify the FCC that it is authorizing that individual to </w:t>
      </w:r>
      <w:r w:rsidR="009B0052">
        <w:t>seek access on behalf of the applicant.</w:t>
      </w:r>
      <w:r w:rsidR="00604753">
        <w:t xml:space="preserve"> </w:t>
      </w:r>
      <w:r w:rsidR="008246E1">
        <w:t xml:space="preserve"> </w:t>
      </w:r>
      <w:r w:rsidR="00022141">
        <w:t xml:space="preserve">An eligible individual may </w:t>
      </w:r>
      <w:r w:rsidR="004779A0">
        <w:t xml:space="preserve">only </w:t>
      </w:r>
      <w:r w:rsidR="00022141">
        <w:t>access the</w:t>
      </w:r>
      <w:r w:rsidR="00B82094">
        <w:t xml:space="preserve"> CUI</w:t>
      </w:r>
      <w:r w:rsidRPr="005E5552" w:rsidR="0070402C">
        <w:t xml:space="preserve"> </w:t>
      </w:r>
      <w:r w:rsidR="00022141">
        <w:t xml:space="preserve">after executing a copy of the Protective Order, thereby </w:t>
      </w:r>
      <w:r w:rsidR="0065148F">
        <w:t xml:space="preserve">affirming the individual’s eligibility, </w:t>
      </w:r>
      <w:r w:rsidRPr="000B212E" w:rsidR="00022141">
        <w:rPr>
          <w:szCs w:val="22"/>
        </w:rPr>
        <w:t xml:space="preserve">acknowledging </w:t>
      </w:r>
      <w:r w:rsidRPr="000B212E" w:rsidR="0065148F">
        <w:rPr>
          <w:szCs w:val="22"/>
        </w:rPr>
        <w:t xml:space="preserve">receipt and understanding of the Protective Order, and </w:t>
      </w:r>
      <w:r w:rsidR="00857E7A">
        <w:rPr>
          <w:szCs w:val="22"/>
        </w:rPr>
        <w:t xml:space="preserve">agreeing to </w:t>
      </w:r>
      <w:r w:rsidRPr="000B212E" w:rsidR="00857E7A">
        <w:rPr>
          <w:szCs w:val="22"/>
        </w:rPr>
        <w:t>compl</w:t>
      </w:r>
      <w:r w:rsidR="00857E7A">
        <w:rPr>
          <w:szCs w:val="22"/>
        </w:rPr>
        <w:t>y</w:t>
      </w:r>
      <w:r w:rsidRPr="000B212E" w:rsidR="00857E7A">
        <w:rPr>
          <w:szCs w:val="22"/>
        </w:rPr>
        <w:t xml:space="preserve"> </w:t>
      </w:r>
      <w:r w:rsidRPr="000B212E" w:rsidR="0065148F">
        <w:rPr>
          <w:szCs w:val="22"/>
        </w:rPr>
        <w:t xml:space="preserve">with </w:t>
      </w:r>
      <w:r w:rsidR="00AF64E1">
        <w:rPr>
          <w:szCs w:val="22"/>
        </w:rPr>
        <w:t>the Protective Order’s</w:t>
      </w:r>
      <w:r w:rsidRPr="000B212E" w:rsidR="0065148F">
        <w:rPr>
          <w:szCs w:val="22"/>
        </w:rPr>
        <w:t xml:space="preserve"> terms.</w:t>
      </w:r>
      <w:r w:rsidR="00BE54B9">
        <w:rPr>
          <w:szCs w:val="22"/>
        </w:rPr>
        <w:t xml:space="preserve"> </w:t>
      </w:r>
    </w:p>
    <w:p w:rsidR="00EA109D" w:rsidRPr="0063684B" w:rsidP="00E620B4" w14:paraId="1395FB7F" w14:textId="6D8899F1">
      <w:pPr>
        <w:pStyle w:val="ParaNum"/>
        <w:widowControl/>
        <w:rPr>
          <w:snapToGrid/>
          <w:kern w:val="0"/>
        </w:rPr>
      </w:pPr>
      <w:r w:rsidRPr="000B212E">
        <w:rPr>
          <w:snapToGrid/>
          <w:kern w:val="0"/>
          <w:szCs w:val="22"/>
        </w:rPr>
        <w:t xml:space="preserve">An eligible individual </w:t>
      </w:r>
      <w:r w:rsidRPr="000B212E" w:rsidR="00AB7C1A">
        <w:rPr>
          <w:snapToGrid/>
          <w:kern w:val="0"/>
          <w:szCs w:val="22"/>
        </w:rPr>
        <w:t>seeking access should</w:t>
      </w:r>
      <w:r w:rsidR="000A131B">
        <w:rPr>
          <w:snapToGrid/>
          <w:kern w:val="0"/>
          <w:szCs w:val="22"/>
        </w:rPr>
        <w:t xml:space="preserve"> </w:t>
      </w:r>
      <w:r w:rsidRPr="007B58B0" w:rsidR="000A131B">
        <w:t>sign</w:t>
      </w:r>
      <w:r w:rsidR="001A0395">
        <w:t xml:space="preserve"> and</w:t>
      </w:r>
      <w:r w:rsidRPr="007B58B0" w:rsidR="000A131B">
        <w:t xml:space="preserve"> date the Acknowledgment</w:t>
      </w:r>
      <w:r w:rsidR="000A131B">
        <w:t xml:space="preserve"> in Appendix B of the Protective Order</w:t>
      </w:r>
      <w:r w:rsidRPr="007B58B0" w:rsidR="000A131B">
        <w:t xml:space="preserve"> agreeing to be bound by the terms and conditions of </w:t>
      </w:r>
      <w:r w:rsidR="0070402C">
        <w:t xml:space="preserve">the </w:t>
      </w:r>
      <w:r w:rsidRPr="007B58B0" w:rsidR="000A131B">
        <w:t>Protective Order and file the Acknowledgment with the Commission</w:t>
      </w:r>
      <w:r w:rsidR="0063684B">
        <w:rPr>
          <w:snapToGrid/>
          <w:kern w:val="0"/>
          <w:szCs w:val="22"/>
        </w:rPr>
        <w:t xml:space="preserve"> by </w:t>
      </w:r>
      <w:r w:rsidR="00B703AC">
        <w:rPr>
          <w:snapToGrid/>
          <w:kern w:val="0"/>
          <w:szCs w:val="22"/>
        </w:rPr>
        <w:t>sending it t</w:t>
      </w:r>
      <w:r w:rsidRPr="3B0F08CD" w:rsidR="009B5698">
        <w:rPr>
          <w:snapToGrid/>
          <w:kern w:val="0"/>
        </w:rPr>
        <w:t xml:space="preserve">o </w:t>
      </w:r>
      <w:r w:rsidRPr="3B0F08CD" w:rsidR="008C6027">
        <w:rPr>
          <w:snapToGrid/>
          <w:kern w:val="0"/>
        </w:rPr>
        <w:t>auction110@fcc.gov</w:t>
      </w:r>
      <w:r w:rsidRPr="3B0F08CD" w:rsidR="000B212E">
        <w:rPr>
          <w:snapToGrid/>
          <w:kern w:val="0"/>
        </w:rPr>
        <w:t xml:space="preserve">.  </w:t>
      </w:r>
      <w:r w:rsidR="00192F8E">
        <w:rPr>
          <w:snapToGrid/>
          <w:kern w:val="0"/>
        </w:rPr>
        <w:t>As noted</w:t>
      </w:r>
      <w:r w:rsidR="00F25320">
        <w:rPr>
          <w:snapToGrid/>
          <w:kern w:val="0"/>
        </w:rPr>
        <w:t>,</w:t>
      </w:r>
      <w:r w:rsidR="0013479A">
        <w:rPr>
          <w:snapToGrid/>
          <w:kern w:val="0"/>
        </w:rPr>
        <w:t xml:space="preserve"> </w:t>
      </w:r>
      <w:r w:rsidR="00221161">
        <w:rPr>
          <w:snapToGrid/>
          <w:kern w:val="0"/>
        </w:rPr>
        <w:t>an individual’s</w:t>
      </w:r>
      <w:r w:rsidR="0013479A">
        <w:rPr>
          <w:snapToGrid/>
          <w:kern w:val="0"/>
        </w:rPr>
        <w:t xml:space="preserve"> eligibility </w:t>
      </w:r>
      <w:r w:rsidR="00F1659E">
        <w:rPr>
          <w:snapToGrid/>
          <w:kern w:val="0"/>
        </w:rPr>
        <w:t xml:space="preserve">in part </w:t>
      </w:r>
      <w:r w:rsidR="00F25320">
        <w:rPr>
          <w:snapToGrid/>
          <w:kern w:val="0"/>
        </w:rPr>
        <w:t xml:space="preserve">is based </w:t>
      </w:r>
      <w:r w:rsidR="00F1659E">
        <w:rPr>
          <w:snapToGrid/>
          <w:kern w:val="0"/>
        </w:rPr>
        <w:t>on</w:t>
      </w:r>
      <w:r w:rsidRPr="3B0F08CD" w:rsidR="000B212E">
        <w:rPr>
          <w:snapToGrid/>
          <w:kern w:val="0"/>
        </w:rPr>
        <w:t xml:space="preserve"> </w:t>
      </w:r>
      <w:r w:rsidR="00221161">
        <w:rPr>
          <w:snapToGrid/>
          <w:kern w:val="0"/>
        </w:rPr>
        <w:t>the related</w:t>
      </w:r>
      <w:r w:rsidR="00B11ED2">
        <w:rPr>
          <w:snapToGrid/>
          <w:kern w:val="0"/>
        </w:rPr>
        <w:t xml:space="preserve"> applicant’s </w:t>
      </w:r>
      <w:r w:rsidR="00B11B60">
        <w:rPr>
          <w:snapToGrid/>
          <w:kern w:val="0"/>
        </w:rPr>
        <w:t>selection of license areas</w:t>
      </w:r>
      <w:r w:rsidR="00F25320">
        <w:rPr>
          <w:snapToGrid/>
          <w:kern w:val="0"/>
        </w:rPr>
        <w:t>.  C</w:t>
      </w:r>
      <w:r w:rsidR="00615061">
        <w:rPr>
          <w:snapToGrid/>
          <w:kern w:val="0"/>
        </w:rPr>
        <w:t xml:space="preserve">ommunications regarding </w:t>
      </w:r>
      <w:r w:rsidR="00F25320">
        <w:rPr>
          <w:snapToGrid/>
          <w:kern w:val="0"/>
        </w:rPr>
        <w:t xml:space="preserve">an applicant’s selection of license areas are subject to the Commission’s prohibition </w:t>
      </w:r>
      <w:r w:rsidR="00115E3E">
        <w:rPr>
          <w:snapToGrid/>
          <w:kern w:val="0"/>
        </w:rPr>
        <w:t>of certain auction-related communications.  Consequently</w:t>
      </w:r>
      <w:r w:rsidR="00BD5F4A">
        <w:rPr>
          <w:snapToGrid/>
          <w:kern w:val="0"/>
        </w:rPr>
        <w:t xml:space="preserve">, </w:t>
      </w:r>
      <w:r w:rsidR="00615061">
        <w:rPr>
          <w:snapToGrid/>
          <w:kern w:val="0"/>
        </w:rPr>
        <w:t>communications regarding</w:t>
      </w:r>
      <w:r w:rsidR="00897ACF">
        <w:rPr>
          <w:snapToGrid/>
          <w:kern w:val="0"/>
        </w:rPr>
        <w:t xml:space="preserve"> </w:t>
      </w:r>
      <w:r w:rsidR="000F2BA1">
        <w:rPr>
          <w:snapToGrid/>
          <w:kern w:val="0"/>
        </w:rPr>
        <w:t xml:space="preserve">the execution and filing of </w:t>
      </w:r>
      <w:r w:rsidR="008246E1">
        <w:rPr>
          <w:snapToGrid/>
          <w:kern w:val="0"/>
        </w:rPr>
        <w:t xml:space="preserve">a </w:t>
      </w:r>
      <w:r w:rsidR="000F2BA1">
        <w:rPr>
          <w:snapToGrid/>
          <w:kern w:val="0"/>
        </w:rPr>
        <w:t xml:space="preserve">Protective Order </w:t>
      </w:r>
      <w:r w:rsidR="00115E3E">
        <w:rPr>
          <w:snapToGrid/>
          <w:kern w:val="0"/>
        </w:rPr>
        <w:t xml:space="preserve">also </w:t>
      </w:r>
      <w:r w:rsidR="000F2BA1">
        <w:rPr>
          <w:snapToGrid/>
          <w:kern w:val="0"/>
        </w:rPr>
        <w:t xml:space="preserve">may </w:t>
      </w:r>
      <w:r w:rsidR="00A83275">
        <w:rPr>
          <w:snapToGrid/>
          <w:kern w:val="0"/>
        </w:rPr>
        <w:t xml:space="preserve">be subject to </w:t>
      </w:r>
      <w:r w:rsidR="00115E3E">
        <w:rPr>
          <w:snapToGrid/>
          <w:kern w:val="0"/>
        </w:rPr>
        <w:t>that prohibition</w:t>
      </w:r>
      <w:r w:rsidR="00A83275">
        <w:rPr>
          <w:snapToGrid/>
          <w:kern w:val="0"/>
        </w:rPr>
        <w:t xml:space="preserve">. </w:t>
      </w:r>
      <w:r w:rsidR="0049174A">
        <w:rPr>
          <w:snapToGrid/>
          <w:kern w:val="0"/>
        </w:rPr>
        <w:t xml:space="preserve"> </w:t>
      </w:r>
      <w:r w:rsidR="005C7AC0">
        <w:rPr>
          <w:snapToGrid/>
          <w:kern w:val="0"/>
        </w:rPr>
        <w:t xml:space="preserve">After </w:t>
      </w:r>
      <w:r w:rsidR="00422EE9">
        <w:rPr>
          <w:snapToGrid/>
          <w:kern w:val="0"/>
        </w:rPr>
        <w:t>receiving</w:t>
      </w:r>
      <w:r w:rsidR="005C7AC0">
        <w:rPr>
          <w:snapToGrid/>
          <w:kern w:val="0"/>
        </w:rPr>
        <w:t xml:space="preserve"> </w:t>
      </w:r>
      <w:r w:rsidR="00D062BF">
        <w:rPr>
          <w:snapToGrid/>
          <w:kern w:val="0"/>
        </w:rPr>
        <w:t xml:space="preserve">an </w:t>
      </w:r>
      <w:r w:rsidR="00422EE9">
        <w:rPr>
          <w:snapToGrid/>
          <w:kern w:val="0"/>
        </w:rPr>
        <w:t xml:space="preserve">individual’s </w:t>
      </w:r>
      <w:r w:rsidR="00D062BF">
        <w:rPr>
          <w:snapToGrid/>
          <w:kern w:val="0"/>
        </w:rPr>
        <w:t xml:space="preserve">executed </w:t>
      </w:r>
      <w:r w:rsidR="00AE3D2E">
        <w:rPr>
          <w:snapToGrid/>
          <w:kern w:val="0"/>
        </w:rPr>
        <w:t>Acknowledgement</w:t>
      </w:r>
      <w:r w:rsidR="00BC651D">
        <w:rPr>
          <w:snapToGrid/>
          <w:kern w:val="0"/>
        </w:rPr>
        <w:t>,</w:t>
      </w:r>
      <w:r w:rsidR="00AE3D2E">
        <w:rPr>
          <w:snapToGrid/>
          <w:kern w:val="0"/>
        </w:rPr>
        <w:t xml:space="preserve"> </w:t>
      </w:r>
      <w:r w:rsidR="00B752D1">
        <w:rPr>
          <w:snapToGrid/>
          <w:kern w:val="0"/>
        </w:rPr>
        <w:t>and</w:t>
      </w:r>
      <w:r w:rsidR="00422EE9">
        <w:rPr>
          <w:snapToGrid/>
          <w:kern w:val="0"/>
        </w:rPr>
        <w:t xml:space="preserve"> </w:t>
      </w:r>
      <w:r w:rsidR="00B752D1">
        <w:rPr>
          <w:snapToGrid/>
          <w:kern w:val="0"/>
        </w:rPr>
        <w:t xml:space="preserve">notice </w:t>
      </w:r>
      <w:r w:rsidR="00D64B06">
        <w:rPr>
          <w:snapToGrid/>
          <w:kern w:val="0"/>
        </w:rPr>
        <w:t xml:space="preserve">from the applicant’s certifying official that the individual </w:t>
      </w:r>
      <w:r w:rsidR="00422EE9">
        <w:rPr>
          <w:snapToGrid/>
          <w:kern w:val="0"/>
        </w:rPr>
        <w:t>is authorized to seek access on behalf of the applicant</w:t>
      </w:r>
      <w:r w:rsidR="00AE3D2E">
        <w:rPr>
          <w:snapToGrid/>
          <w:kern w:val="0"/>
        </w:rPr>
        <w:t xml:space="preserve">, </w:t>
      </w:r>
      <w:r w:rsidRPr="3B0F08CD" w:rsidR="000B212E">
        <w:rPr>
          <w:snapToGrid/>
          <w:kern w:val="0"/>
        </w:rPr>
        <w:t>Commission staff will provide instructions</w:t>
      </w:r>
      <w:r w:rsidR="004F0FA5">
        <w:t xml:space="preserve"> directly to the eligible individual</w:t>
      </w:r>
      <w:r w:rsidRPr="3B0F08CD" w:rsidR="000B212E">
        <w:rPr>
          <w:snapToGrid/>
          <w:kern w:val="0"/>
        </w:rPr>
        <w:t xml:space="preserve"> regarding applicable next steps for accessing the </w:t>
      </w:r>
      <w:r w:rsidRPr="0094216F" w:rsidR="00B82094">
        <w:rPr>
          <w:snapToGrid/>
          <w:kern w:val="0"/>
        </w:rPr>
        <w:t>CUI</w:t>
      </w:r>
      <w:r w:rsidRPr="0063684B" w:rsidR="000B212E">
        <w:rPr>
          <w:snapToGrid/>
          <w:kern w:val="0"/>
          <w:szCs w:val="22"/>
        </w:rPr>
        <w:t>.</w:t>
      </w:r>
      <w:r w:rsidR="00DA2780">
        <w:rPr>
          <w:snapToGrid/>
          <w:kern w:val="0"/>
          <w:szCs w:val="22"/>
        </w:rPr>
        <w:t xml:space="preserve">  For this purpose, </w:t>
      </w:r>
      <w:r w:rsidR="00B24772">
        <w:rPr>
          <w:snapToGrid/>
          <w:kern w:val="0"/>
          <w:szCs w:val="22"/>
        </w:rPr>
        <w:t>eligible individuals should ensure that the email address provide</w:t>
      </w:r>
      <w:r w:rsidR="006A1065">
        <w:rPr>
          <w:snapToGrid/>
          <w:kern w:val="0"/>
          <w:szCs w:val="22"/>
        </w:rPr>
        <w:t>d</w:t>
      </w:r>
      <w:r w:rsidR="00B24772">
        <w:rPr>
          <w:snapToGrid/>
          <w:kern w:val="0"/>
          <w:szCs w:val="22"/>
        </w:rPr>
        <w:t xml:space="preserve"> on the </w:t>
      </w:r>
      <w:r w:rsidR="0024055F">
        <w:rPr>
          <w:snapToGrid/>
          <w:kern w:val="0"/>
          <w:szCs w:val="22"/>
        </w:rPr>
        <w:t xml:space="preserve">Acknowledgement </w:t>
      </w:r>
      <w:r w:rsidR="00A20337">
        <w:rPr>
          <w:snapToGrid/>
          <w:kern w:val="0"/>
          <w:szCs w:val="22"/>
        </w:rPr>
        <w:t xml:space="preserve">will be </w:t>
      </w:r>
      <w:r w:rsidR="00A649A8">
        <w:rPr>
          <w:snapToGrid/>
          <w:kern w:val="0"/>
          <w:szCs w:val="22"/>
        </w:rPr>
        <w:t>use</w:t>
      </w:r>
      <w:r w:rsidR="00D808DA">
        <w:rPr>
          <w:snapToGrid/>
          <w:kern w:val="0"/>
          <w:szCs w:val="22"/>
        </w:rPr>
        <w:t>d</w:t>
      </w:r>
      <w:r w:rsidR="00A649A8">
        <w:rPr>
          <w:snapToGrid/>
          <w:kern w:val="0"/>
          <w:szCs w:val="22"/>
        </w:rPr>
        <w:t xml:space="preserve"> for the purpose of accessing the</w:t>
      </w:r>
      <w:r w:rsidR="00B82094">
        <w:rPr>
          <w:snapToGrid/>
          <w:kern w:val="0"/>
          <w:szCs w:val="22"/>
        </w:rPr>
        <w:t xml:space="preserve"> CUI</w:t>
      </w:r>
      <w:r w:rsidR="0094216F">
        <w:rPr>
          <w:snapToGrid/>
          <w:kern w:val="0"/>
          <w:szCs w:val="22"/>
        </w:rPr>
        <w:t>.</w:t>
      </w:r>
      <w:r w:rsidRPr="0063684B" w:rsidR="006447FF">
        <w:rPr>
          <w:snapToGrid/>
          <w:kern w:val="0"/>
          <w:szCs w:val="22"/>
        </w:rPr>
        <w:t xml:space="preserve"> </w:t>
      </w:r>
    </w:p>
    <w:p w:rsidR="00501D3C" w:rsidRPr="00501D3C" w:rsidP="00AF03AA" w14:paraId="6065C54A" w14:textId="417DF8DF">
      <w:pPr>
        <w:pStyle w:val="ParaNum"/>
        <w:widowControl/>
        <w:rPr>
          <w:snapToGrid/>
          <w:kern w:val="0"/>
          <w:sz w:val="24"/>
          <w:szCs w:val="24"/>
        </w:rPr>
      </w:pPr>
      <w:r>
        <w:t>Eligible individuals that execute the Protective Order</w:t>
      </w:r>
      <w:r w:rsidR="00F30FBF">
        <w:t xml:space="preserve"> may share </w:t>
      </w:r>
      <w:r w:rsidR="0069437E">
        <w:t xml:space="preserve">the contents of </w:t>
      </w:r>
      <w:r w:rsidRPr="0094216F" w:rsidR="00B82094">
        <w:t>CUI</w:t>
      </w:r>
      <w:r w:rsidRPr="00F571C3" w:rsidR="0069437E">
        <w:t xml:space="preserve"> </w:t>
      </w:r>
      <w:r w:rsidR="00F30FBF">
        <w:t>ONLY</w:t>
      </w:r>
      <w:r w:rsidR="0069437E">
        <w:t xml:space="preserve"> as provided by the terms of the Protective Order.  More specifically, a</w:t>
      </w:r>
      <w:r w:rsidR="006C3743">
        <w:t xml:space="preserve">n eligible individual with access may share the contents of </w:t>
      </w:r>
      <w:r w:rsidRPr="0094216F" w:rsidR="00B82094">
        <w:t>CUI</w:t>
      </w:r>
      <w:r w:rsidRPr="00F571C3" w:rsidR="00620E2A">
        <w:t xml:space="preserve"> </w:t>
      </w:r>
      <w:r w:rsidR="006C3743">
        <w:t xml:space="preserve">accessed pursuant to the Protective Order only with </w:t>
      </w:r>
      <w:r w:rsidR="005443AC">
        <w:t>an</w:t>
      </w:r>
      <w:r w:rsidR="006C3743">
        <w:t xml:space="preserve">other </w:t>
      </w:r>
      <w:r w:rsidR="00810CA8">
        <w:t xml:space="preserve">eligible individual </w:t>
      </w:r>
      <w:r w:rsidR="00956BFA">
        <w:t>representing the same applicant</w:t>
      </w:r>
      <w:r w:rsidR="00810CA8">
        <w:t xml:space="preserve"> that ha</w:t>
      </w:r>
      <w:r w:rsidR="005443AC">
        <w:t xml:space="preserve">s </w:t>
      </w:r>
      <w:r w:rsidR="00810CA8">
        <w:t>executed a copy of the Protective Order</w:t>
      </w:r>
      <w:r w:rsidR="005443AC">
        <w:t>;</w:t>
      </w:r>
      <w:r w:rsidR="00810CA8">
        <w:t xml:space="preserve"> </w:t>
      </w:r>
      <w:r w:rsidR="009F594B">
        <w:t>or with</w:t>
      </w:r>
      <w:r w:rsidRPr="00AF03AA">
        <w:t xml:space="preserve"> those staff of the Department of Defense and </w:t>
      </w:r>
      <w:r w:rsidR="00733112">
        <w:t>NTIA</w:t>
      </w:r>
      <w:r w:rsidRPr="00AF03AA">
        <w:t xml:space="preserve"> who are authorized to see the information</w:t>
      </w:r>
      <w:r w:rsidR="005443AC">
        <w:t>;</w:t>
      </w:r>
      <w:r w:rsidRPr="00AF03AA">
        <w:t xml:space="preserve"> </w:t>
      </w:r>
      <w:r w:rsidR="009F594B">
        <w:t>or with</w:t>
      </w:r>
      <w:r w:rsidRPr="00AF03AA" w:rsidR="009F594B">
        <w:t xml:space="preserve"> </w:t>
      </w:r>
      <w:r w:rsidRPr="00AF03AA">
        <w:t>the Commission and its staff</w:t>
      </w:r>
      <w:r w:rsidR="00CF4743">
        <w:t xml:space="preserve"> who are authorized to see the information</w:t>
      </w:r>
      <w:r w:rsidR="0069437E">
        <w:t>.</w:t>
      </w:r>
      <w:r w:rsidR="005443AC">
        <w:t xml:space="preserve">  Consequently, </w:t>
      </w:r>
      <w:r w:rsidR="003007B6">
        <w:t xml:space="preserve">though accessing the information on behalf of an auction applicant, </w:t>
      </w:r>
      <w:r w:rsidR="005443AC">
        <w:t xml:space="preserve">an eligible individual will NOT be able to share the contents of </w:t>
      </w:r>
      <w:r w:rsidR="00EC326B">
        <w:t xml:space="preserve">the </w:t>
      </w:r>
      <w:r w:rsidRPr="00F32D78" w:rsidR="00B82094">
        <w:t>CUI</w:t>
      </w:r>
      <w:r w:rsidRPr="00F571C3" w:rsidR="00B63B78">
        <w:t xml:space="preserve"> </w:t>
      </w:r>
      <w:r w:rsidR="005443AC">
        <w:t xml:space="preserve">with </w:t>
      </w:r>
      <w:r w:rsidR="00F831AA">
        <w:t xml:space="preserve">the auction applicant, </w:t>
      </w:r>
      <w:r w:rsidR="00DD712A">
        <w:t xml:space="preserve">or with </w:t>
      </w:r>
      <w:r w:rsidR="00F831AA">
        <w:t>its agents or employees</w:t>
      </w:r>
      <w:r w:rsidR="00141382">
        <w:t>—</w:t>
      </w:r>
      <w:r w:rsidRPr="004C1C75" w:rsidR="00F831AA">
        <w:rPr>
          <w:i/>
          <w:iCs/>
        </w:rPr>
        <w:t>unless</w:t>
      </w:r>
      <w:r w:rsidR="00F831AA">
        <w:t xml:space="preserve"> </w:t>
      </w:r>
      <w:r w:rsidR="00B63B78">
        <w:t xml:space="preserve">those </w:t>
      </w:r>
      <w:r w:rsidR="002F4350">
        <w:t xml:space="preserve">other </w:t>
      </w:r>
      <w:r w:rsidR="00F831AA">
        <w:t>individual</w:t>
      </w:r>
      <w:r w:rsidR="00B63B78">
        <w:t>s</w:t>
      </w:r>
      <w:r w:rsidR="00F831AA">
        <w:t xml:space="preserve"> </w:t>
      </w:r>
      <w:r w:rsidR="00B63B78">
        <w:t>are</w:t>
      </w:r>
      <w:r w:rsidR="00DA4379">
        <w:t xml:space="preserve"> </w:t>
      </w:r>
      <w:r w:rsidR="00F831AA">
        <w:t xml:space="preserve">authorized to </w:t>
      </w:r>
      <w:r w:rsidR="00270480">
        <w:t xml:space="preserve">review the information </w:t>
      </w:r>
      <w:r w:rsidR="00F831AA">
        <w:t>pursuant to the Protective Order.</w:t>
      </w:r>
      <w:r w:rsidR="00B700E8">
        <w:t xml:space="preserve">  Furthermore, should any individual represent more than one applicant, the</w:t>
      </w:r>
      <w:r w:rsidR="00F67667">
        <w:t xml:space="preserve"> terms of the Protective Order limit </w:t>
      </w:r>
      <w:r w:rsidR="00F51466">
        <w:t>an individual’s</w:t>
      </w:r>
      <w:r w:rsidR="00F67667">
        <w:t xml:space="preserve"> ability to share </w:t>
      </w:r>
      <w:r w:rsidR="00EA2161">
        <w:t xml:space="preserve">accessed </w:t>
      </w:r>
      <w:r w:rsidR="00F67667">
        <w:t xml:space="preserve">information with </w:t>
      </w:r>
      <w:r w:rsidR="001909B7">
        <w:t>other parties</w:t>
      </w:r>
      <w:r w:rsidR="00351A71">
        <w:t xml:space="preserve"> that have executed a Protective Order </w:t>
      </w:r>
      <w:r w:rsidRPr="004C1C75" w:rsidR="00F801FD">
        <w:rPr>
          <w:i/>
        </w:rPr>
        <w:t>only</w:t>
      </w:r>
      <w:r w:rsidR="00F801FD">
        <w:t xml:space="preserve"> to those that have done so </w:t>
      </w:r>
      <w:r w:rsidR="00351A71">
        <w:t xml:space="preserve">on behalf of the </w:t>
      </w:r>
      <w:r w:rsidRPr="004C1C75" w:rsidR="00351A71">
        <w:rPr>
          <w:i/>
        </w:rPr>
        <w:t>same</w:t>
      </w:r>
      <w:r w:rsidR="00351A71">
        <w:t xml:space="preserve"> applicant</w:t>
      </w:r>
      <w:r w:rsidR="00F67667">
        <w:t>.</w:t>
      </w:r>
      <w:r>
        <w:rPr>
          <w:rStyle w:val="FootnoteReference"/>
        </w:rPr>
        <w:footnoteReference w:id="9"/>
      </w:r>
    </w:p>
    <w:p w:rsidR="00AF03AA" w:rsidRPr="00AF03AA" w:rsidP="00AF03AA" w14:paraId="384C678D" w14:textId="4D2807F6">
      <w:pPr>
        <w:pStyle w:val="ParaNum"/>
        <w:widowControl/>
        <w:rPr>
          <w:snapToGrid/>
          <w:kern w:val="0"/>
          <w:sz w:val="24"/>
          <w:szCs w:val="24"/>
        </w:rPr>
      </w:pPr>
      <w:r>
        <w:t>In addition</w:t>
      </w:r>
      <w:r w:rsidR="002B7BC7">
        <w:t xml:space="preserve">, </w:t>
      </w:r>
      <w:r w:rsidR="003007B6">
        <w:t>any party</w:t>
      </w:r>
      <w:r w:rsidR="002B7BC7">
        <w:t xml:space="preserve"> with access to the </w:t>
      </w:r>
      <w:r w:rsidRPr="0094216F" w:rsidR="00B82094">
        <w:t>CUI</w:t>
      </w:r>
      <w:r w:rsidRPr="00F571C3" w:rsidR="002B7BC7">
        <w:t xml:space="preserve"> </w:t>
      </w:r>
      <w:r w:rsidR="002B7BC7">
        <w:t>remain</w:t>
      </w:r>
      <w:r w:rsidR="003007B6">
        <w:t>s</w:t>
      </w:r>
      <w:r w:rsidR="002B7BC7">
        <w:t xml:space="preserve"> subject to </w:t>
      </w:r>
      <w:r w:rsidR="00671C12">
        <w:t>applicable</w:t>
      </w:r>
      <w:r w:rsidR="002B7BC7">
        <w:t xml:space="preserve"> laws, rules, and other legal obligations limiting the sharing of the information, including, but not limited to, the Commission’s rules prohibiting the </w:t>
      </w:r>
      <w:r w:rsidR="006B1C17">
        <w:t>communication of certain auction-related information.</w:t>
      </w:r>
      <w:r>
        <w:rPr>
          <w:rStyle w:val="FootnoteReference"/>
        </w:rPr>
        <w:footnoteReference w:id="10"/>
      </w:r>
      <w:r w:rsidR="006B1C17">
        <w:t xml:space="preserve">  </w:t>
      </w:r>
      <w:r w:rsidR="00C101CB">
        <w:t xml:space="preserve">As already </w:t>
      </w:r>
      <w:r w:rsidR="00C101CB">
        <w:t xml:space="preserve">noted, the prohibition </w:t>
      </w:r>
      <w:r w:rsidR="009D502F">
        <w:t xml:space="preserve">in part bars parties </w:t>
      </w:r>
      <w:r w:rsidR="00472A1E">
        <w:t xml:space="preserve">covered by the prohibition </w:t>
      </w:r>
      <w:r w:rsidR="009D502F">
        <w:t xml:space="preserve">from </w:t>
      </w:r>
      <w:r w:rsidR="005901ED">
        <w:t xml:space="preserve">disclosing to other covered parties the license areas </w:t>
      </w:r>
      <w:r w:rsidR="00703BE7">
        <w:t xml:space="preserve">an applicant </w:t>
      </w:r>
      <w:r w:rsidR="005901ED">
        <w:t xml:space="preserve">selected in an application.  </w:t>
      </w:r>
      <w:r w:rsidR="006B1C17">
        <w:t>Parties are reminded that accessing and sharing information regarding requirements for coordination in a</w:t>
      </w:r>
      <w:r>
        <w:t xml:space="preserve">n area covered by a particular license may constitute disclosure of a bidding strategy with respect to that license and </w:t>
      </w:r>
      <w:r w:rsidR="005E339D">
        <w:t xml:space="preserve">therefore </w:t>
      </w:r>
      <w:r>
        <w:t>may violate the Commission’s prohibition.</w:t>
      </w:r>
      <w:r>
        <w:rPr>
          <w:rStyle w:val="FootnoteReference"/>
        </w:rPr>
        <w:footnoteReference w:id="11"/>
      </w:r>
      <w:r w:rsidR="00671C12">
        <w:t xml:space="preserve">  </w:t>
      </w:r>
      <w:r w:rsidR="00F47A71">
        <w:t xml:space="preserve">Notwithstanding that the Protective Order’s terms </w:t>
      </w:r>
      <w:r w:rsidR="00E64220">
        <w:t xml:space="preserve">alone do not </w:t>
      </w:r>
      <w:r w:rsidR="00501C0B">
        <w:t xml:space="preserve">bar </w:t>
      </w:r>
      <w:r w:rsidR="00CA3DAB">
        <w:t xml:space="preserve">parties from disclosing that they have executed and filed a </w:t>
      </w:r>
      <w:r w:rsidR="000C1EFF">
        <w:t xml:space="preserve">Protective Order to obtain access to the information, the Commission’s prohibition may bar disclosure of information </w:t>
      </w:r>
      <w:r w:rsidR="00373C10">
        <w:t xml:space="preserve">regarding executing and filing a Protective Order </w:t>
      </w:r>
      <w:r w:rsidR="000C1EFF">
        <w:t xml:space="preserve">in certain circumstances, such as in a manner that may communicate </w:t>
      </w:r>
      <w:r w:rsidR="00383DA3">
        <w:t xml:space="preserve">an applicant’s selected license areas to another applicant.  </w:t>
      </w:r>
      <w:r w:rsidR="00671C12">
        <w:t xml:space="preserve">Accordingly, a party with access to </w:t>
      </w:r>
      <w:r w:rsidRPr="0094216F" w:rsidR="00B82094">
        <w:t>CUI</w:t>
      </w:r>
      <w:r w:rsidRPr="005E5552" w:rsidR="00671C12">
        <w:t xml:space="preserve"> </w:t>
      </w:r>
      <w:r w:rsidR="00671C12">
        <w:t xml:space="preserve">must take </w:t>
      </w:r>
      <w:r w:rsidR="00DD07F7">
        <w:t xml:space="preserve">care to comply with all applicable laws, rules and other legal obligations even when sharing information </w:t>
      </w:r>
      <w:r w:rsidR="003E7393">
        <w:t>is permitted by the terms of the Protective Order.</w:t>
      </w:r>
    </w:p>
    <w:p w:rsidR="00425C7C" w:rsidRPr="00C2333D" w:rsidP="00425C7C" w14:paraId="3E7C5420" w14:textId="3FF05142">
      <w:pPr>
        <w:pStyle w:val="ParaNum"/>
        <w:widowControl/>
        <w:rPr>
          <w:szCs w:val="22"/>
        </w:rPr>
      </w:pPr>
      <w:r>
        <w:t>Interested parties should continue to monitor the Auction 110 webpage (</w:t>
      </w:r>
      <w:hyperlink r:id="rId6" w:history="1">
        <w:r w:rsidRPr="003B4FE5">
          <w:rPr>
            <w:rStyle w:val="Hyperlink"/>
          </w:rPr>
          <w:t>www.fcc.gov/auction/110</w:t>
        </w:r>
      </w:hyperlink>
      <w:r>
        <w:t xml:space="preserve">) for any future announcements regarding important auction information.  For further information, contact Mary Lovejoy or Andrew McArdell of the Office of Economics and Analytics, Auctions Division at (202) 418-0660 or </w:t>
      </w:r>
      <w:hyperlink r:id="rId7" w:history="1">
        <w:r w:rsidRPr="00CD77AF">
          <w:rPr>
            <w:rStyle w:val="Hyperlink"/>
          </w:rPr>
          <w:t>auction110@fcc.gov</w:t>
        </w:r>
      </w:hyperlink>
      <w:r>
        <w:t xml:space="preserve">. </w:t>
      </w:r>
    </w:p>
    <w:p w:rsidR="00425C7C" w:rsidRPr="00C2333D" w:rsidP="00425C7C" w14:paraId="42B41AEE" w14:textId="77777777">
      <w:pPr>
        <w:widowControl/>
        <w:spacing w:after="120"/>
        <w:ind w:left="720"/>
        <w:rPr>
          <w:lang w:val="x-none" w:eastAsia="x-none"/>
        </w:rPr>
      </w:pPr>
    </w:p>
    <w:p w:rsidR="00425C7C" w:rsidRPr="00C2333D" w:rsidP="00425C7C" w14:paraId="1279E4FF" w14:textId="77777777">
      <w:pPr>
        <w:widowControl/>
        <w:jc w:val="center"/>
      </w:pPr>
      <w:r w:rsidRPr="00C2333D">
        <w:rPr>
          <w:b/>
          <w:smallCaps/>
          <w:szCs w:val="22"/>
        </w:rPr>
        <w:t>- FCC -</w:t>
      </w:r>
    </w:p>
    <w:p w:rsidR="00425C7C" w:rsidP="00425C7C" w14:paraId="6952B784" w14:textId="77777777">
      <w:pPr>
        <w:rPr>
          <w:bCs/>
          <w:sz w:val="24"/>
        </w:rPr>
      </w:pPr>
    </w:p>
    <w:p w:rsidR="00E11923" w:rsidRPr="00425C7C" w:rsidP="00425C7C" w14:paraId="30D3E2FE"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51F0CA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1923" w14:paraId="1D8ACA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0BF48CC9" w14:textId="7E64DE5C">
    <w:pPr>
      <w:pStyle w:val="Footer"/>
      <w:jc w:val="center"/>
    </w:pPr>
    <w:r>
      <w:fldChar w:fldCharType="begin"/>
    </w:r>
    <w:r>
      <w:instrText xml:space="preserve"> PAGE   \* MERGEFORMAT </w:instrText>
    </w:r>
    <w:r>
      <w:fldChar w:fldCharType="separate"/>
    </w:r>
    <w:r w:rsidR="00CD0FE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77E374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288" w14:paraId="3A9443E9" w14:textId="77777777">
      <w:r>
        <w:separator/>
      </w:r>
    </w:p>
  </w:footnote>
  <w:footnote w:type="continuationSeparator" w:id="1">
    <w:p w:rsidR="006E3288" w14:paraId="015D6DA6" w14:textId="77777777">
      <w:pPr>
        <w:rPr>
          <w:sz w:val="20"/>
        </w:rPr>
      </w:pPr>
      <w:r>
        <w:rPr>
          <w:sz w:val="20"/>
        </w:rPr>
        <w:t xml:space="preserve">(Continued from previous page)  </w:t>
      </w:r>
      <w:r>
        <w:rPr>
          <w:sz w:val="20"/>
        </w:rPr>
        <w:separator/>
      </w:r>
    </w:p>
  </w:footnote>
  <w:footnote w:type="continuationNotice" w:id="2">
    <w:p w:rsidR="006E3288" w14:paraId="69AAAF82" w14:textId="77777777">
      <w:pPr>
        <w:jc w:val="right"/>
        <w:rPr>
          <w:sz w:val="20"/>
        </w:rPr>
      </w:pPr>
      <w:r>
        <w:rPr>
          <w:sz w:val="20"/>
        </w:rPr>
        <w:t>(continued….)</w:t>
      </w:r>
    </w:p>
  </w:footnote>
  <w:footnote w:id="3">
    <w:p w:rsidR="004B7C90" w:rsidP="004B7C90" w14:paraId="4258063C" w14:textId="7ED47BE4">
      <w:pPr>
        <w:pStyle w:val="FootnoteText"/>
      </w:pPr>
      <w:r>
        <w:rPr>
          <w:rStyle w:val="FootnoteReference"/>
        </w:rPr>
        <w:footnoteRef/>
      </w:r>
      <w:r>
        <w:t xml:space="preserve"> </w:t>
      </w:r>
      <w:r w:rsidRPr="00E82D30" w:rsidR="00AC51E6">
        <w:rPr>
          <w:i/>
          <w:iCs/>
        </w:rPr>
        <w:t>Auction of Flexible-Use L</w:t>
      </w:r>
      <w:r w:rsidRPr="00E82D30" w:rsidR="00BF7ED9">
        <w:rPr>
          <w:i/>
          <w:iCs/>
        </w:rPr>
        <w:t>icenses in the 3.45–3.55 GHz Band</w:t>
      </w:r>
      <w:r w:rsidR="002B4EAD">
        <w:t>, AU Docket No. 21-62, Protective Order</w:t>
      </w:r>
      <w:r w:rsidR="0065551E">
        <w:t>, DA 21-</w:t>
      </w:r>
      <w:r w:rsidR="00EA076A">
        <w:t>1026</w:t>
      </w:r>
      <w:r w:rsidR="0065551E">
        <w:t xml:space="preserve"> (OEA and WTB, rel. Aug. </w:t>
      </w:r>
      <w:r w:rsidR="00E82D30">
        <w:t>20, 2021).</w:t>
      </w:r>
    </w:p>
  </w:footnote>
  <w:footnote w:id="4">
    <w:p w:rsidR="00C653BE" w:rsidRPr="00E271A7" w:rsidP="00C653BE" w14:paraId="3C311EB6" w14:textId="6A4849B4">
      <w:pPr>
        <w:pStyle w:val="FootnoteText"/>
      </w:pPr>
      <w:r>
        <w:rPr>
          <w:rStyle w:val="FootnoteReference"/>
        </w:rPr>
        <w:footnoteRef/>
      </w:r>
      <w:r>
        <w:t xml:space="preserve"> </w:t>
      </w:r>
      <w:r w:rsidR="00C0364D">
        <w:rPr>
          <w:i/>
          <w:iCs/>
        </w:rPr>
        <w:t xml:space="preserve">Auction of Flexible Use Licenses in the </w:t>
      </w:r>
      <w:r w:rsidRPr="001B68AE" w:rsidR="00C0364D">
        <w:rPr>
          <w:i/>
          <w:iCs/>
        </w:rPr>
        <w:t>3.45–3.55 GHz</w:t>
      </w:r>
      <w:r w:rsidR="00C0364D">
        <w:rPr>
          <w:i/>
          <w:iCs/>
        </w:rPr>
        <w:t xml:space="preserve"> Band </w:t>
      </w:r>
      <w:r w:rsidR="00C0364D">
        <w:rPr>
          <w:i/>
          <w:iCs/>
        </w:rPr>
        <w:t>For</w:t>
      </w:r>
      <w:r w:rsidR="00C0364D">
        <w:rPr>
          <w:i/>
          <w:iCs/>
        </w:rPr>
        <w:t xml:space="preserve"> Next Generation Wireless Services; Notice and Filing Requirement, Minimum Opening Bids, Upfront Payments, and Other Procedures for Auction 110; Bidding in Auction 110 Scheduled to Begin October 5, 2021</w:t>
      </w:r>
      <w:r w:rsidR="00C0364D">
        <w:t>, AU Docket No. 21-62, Public Notice</w:t>
      </w:r>
      <w:r w:rsidRPr="003F570D" w:rsidR="00C0364D">
        <w:t xml:space="preserve">, at </w:t>
      </w:r>
      <w:r w:rsidR="009B7D72">
        <w:t>5-6</w:t>
      </w:r>
      <w:r w:rsidRPr="78EE3A74">
        <w:t>, paras</w:t>
      </w:r>
      <w:r w:rsidRPr="4EA423FB">
        <w:t>. 7</w:t>
      </w:r>
      <w:r w:rsidRPr="6D7FB93B">
        <w:t>-9</w:t>
      </w:r>
      <w:r w:rsidRPr="6D7FB93B">
        <w:rPr>
          <w:i/>
          <w:iCs/>
        </w:rPr>
        <w:t>,</w:t>
      </w:r>
      <w:r w:rsidRPr="78EE3A74">
        <w:rPr>
          <w:i/>
          <w:iCs/>
        </w:rPr>
        <w:t xml:space="preserve"> </w:t>
      </w:r>
      <w:r>
        <w:t>Section I.C (Description of Licenses to be Offered in Auction 110)</w:t>
      </w:r>
      <w:r w:rsidR="001231A1">
        <w:t xml:space="preserve"> (OEA and WTB, rel. June 8, 2021) (</w:t>
      </w:r>
      <w:r w:rsidRPr="00A0502E" w:rsidR="001231A1">
        <w:rPr>
          <w:i/>
          <w:iCs/>
        </w:rPr>
        <w:t xml:space="preserve">Auction 110 </w:t>
      </w:r>
      <w:r w:rsidR="001231A1">
        <w:rPr>
          <w:i/>
          <w:iCs/>
        </w:rPr>
        <w:t>Procedures</w:t>
      </w:r>
      <w:r w:rsidRPr="00A0502E" w:rsidR="001231A1">
        <w:rPr>
          <w:i/>
          <w:iCs/>
        </w:rPr>
        <w:t xml:space="preserve"> Public Notice</w:t>
      </w:r>
      <w:r w:rsidR="001231A1">
        <w:t>)</w:t>
      </w:r>
      <w:r>
        <w:t>.</w:t>
      </w:r>
    </w:p>
  </w:footnote>
  <w:footnote w:id="5">
    <w:p w:rsidR="00C653BE" w:rsidRPr="00C5000B" w:rsidP="00C653BE" w14:paraId="4373FC97" w14:textId="4EBAD256">
      <w:pPr>
        <w:pStyle w:val="FootnoteText"/>
      </w:pPr>
      <w:r>
        <w:rPr>
          <w:rStyle w:val="FootnoteReference"/>
        </w:rPr>
        <w:footnoteRef/>
      </w:r>
      <w:r>
        <w:t xml:space="preserve"> </w:t>
      </w:r>
      <w:r>
        <w:rPr>
          <w:i/>
          <w:iCs/>
        </w:rPr>
        <w:t xml:space="preserve">See </w:t>
      </w:r>
      <w:r>
        <w:rPr>
          <w:i/>
          <w:iCs/>
          <w:snapToGrid w:val="0"/>
        </w:rPr>
        <w:t>Facilitating Shared Use in the 3100-3550 MHz Band</w:t>
      </w:r>
      <w:r>
        <w:rPr>
          <w:snapToGrid w:val="0"/>
        </w:rPr>
        <w:t xml:space="preserve">, WT Docket No. 19-348, Second Report and Order, Order on Reconsideration, and Order of Proposed Modification, </w:t>
      </w:r>
      <w:r w:rsidRPr="00E848E3" w:rsidR="0047531C">
        <w:t>WT Docket No. 19-348</w:t>
      </w:r>
      <w:r>
        <w:t>,</w:t>
      </w:r>
      <w:r w:rsidRPr="00055A37" w:rsidR="00055A37">
        <w:t xml:space="preserve"> </w:t>
      </w:r>
      <w:r w:rsidRPr="00E848E3" w:rsidR="00055A37">
        <w:t xml:space="preserve">36 FCC </w:t>
      </w:r>
      <w:r w:rsidRPr="00E848E3" w:rsidR="00055A37">
        <w:t>Rcd</w:t>
      </w:r>
      <w:r w:rsidRPr="00E848E3" w:rsidR="00055A37">
        <w:t xml:space="preserve"> 5987</w:t>
      </w:r>
      <w:r w:rsidR="0070435D">
        <w:t xml:space="preserve">, 5991-92, </w:t>
      </w:r>
      <w:r w:rsidR="0008170D">
        <w:t>599</w:t>
      </w:r>
      <w:r w:rsidR="002C75B0">
        <w:t xml:space="preserve">7, </w:t>
      </w:r>
      <w:r w:rsidR="0004434D">
        <w:t>5998-99</w:t>
      </w:r>
      <w:r>
        <w:rPr>
          <w:i/>
          <w:iCs/>
        </w:rPr>
        <w:t xml:space="preserve"> </w:t>
      </w:r>
      <w:r>
        <w:t>at</w:t>
      </w:r>
      <w:r w:rsidRPr="00C5000B">
        <w:rPr>
          <w:i/>
          <w:iCs/>
        </w:rPr>
        <w:t xml:space="preserve"> </w:t>
      </w:r>
      <w:r>
        <w:t xml:space="preserve">5-6, 11-14, paras. 8-9, 21, 23-25 </w:t>
      </w:r>
      <w:r>
        <w:rPr>
          <w:snapToGrid w:val="0"/>
        </w:rPr>
        <w:t>(2021) (</w:t>
      </w:r>
      <w:r>
        <w:rPr>
          <w:i/>
          <w:iCs/>
          <w:snapToGrid w:val="0"/>
        </w:rPr>
        <w:t>3.45 GHz Second Report &amp; Order</w:t>
      </w:r>
      <w:r w:rsidRPr="00345990">
        <w:t>)</w:t>
      </w:r>
      <w:r>
        <w:t>.</w:t>
      </w:r>
    </w:p>
  </w:footnote>
  <w:footnote w:id="6">
    <w:p w:rsidR="00C653BE" w:rsidRPr="00C5000B" w:rsidP="00C653BE" w14:paraId="53AE09D7" w14:textId="0544F635">
      <w:pPr>
        <w:pStyle w:val="FootnoteText"/>
      </w:pPr>
      <w:r>
        <w:rPr>
          <w:rStyle w:val="FootnoteReference"/>
        </w:rPr>
        <w:footnoteRef/>
      </w:r>
      <w:r>
        <w:t xml:space="preserve"> </w:t>
      </w:r>
      <w:r w:rsidRPr="3C4E82A8">
        <w:rPr>
          <w:i/>
          <w:iCs/>
        </w:rPr>
        <w:t>See Auction 110 Procedures Public Notice</w:t>
      </w:r>
      <w:r w:rsidRPr="00B837E4">
        <w:t xml:space="preserve"> </w:t>
      </w:r>
      <w:r w:rsidRPr="402CC5EA">
        <w:t xml:space="preserve">at </w:t>
      </w:r>
      <w:r w:rsidR="00FC066A">
        <w:t>39</w:t>
      </w:r>
      <w:r w:rsidRPr="300EB49A">
        <w:t xml:space="preserve">, para. </w:t>
      </w:r>
      <w:r w:rsidRPr="038AA616">
        <w:t>11</w:t>
      </w:r>
      <w:r w:rsidR="00FC066A">
        <w:t>5</w:t>
      </w:r>
      <w:r w:rsidRPr="001902C5">
        <w:t>,</w:t>
      </w:r>
      <w:r w:rsidRPr="3C4E82A8">
        <w:rPr>
          <w:i/>
          <w:iCs/>
        </w:rPr>
        <w:t xml:space="preserve"> </w:t>
      </w:r>
      <w:r>
        <w:t>Section III.B.1.a (C</w:t>
      </w:r>
      <w:r w:rsidRPr="003239F0">
        <w:t>ooperative Sharing in the 3.45–3.55 GHz Band</w:t>
      </w:r>
      <w:r>
        <w:t>).</w:t>
      </w:r>
    </w:p>
  </w:footnote>
  <w:footnote w:id="7">
    <w:p w:rsidR="00C653BE" w:rsidP="00C653BE" w14:paraId="56BC66E7" w14:textId="42824C17">
      <w:pPr>
        <w:pStyle w:val="FootnoteText"/>
      </w:pPr>
      <w:r>
        <w:rPr>
          <w:rStyle w:val="FootnoteReference"/>
        </w:rPr>
        <w:footnoteRef/>
      </w:r>
      <w:r>
        <w:t xml:space="preserve"> </w:t>
      </w:r>
      <w:r>
        <w:rPr>
          <w:i/>
          <w:iCs/>
        </w:rPr>
        <w:t>See The Federal Communications Commission and the National Telecommunications and Information Administration:  Coordination Procedures in the 3.45</w:t>
      </w:r>
      <w:r w:rsidRPr="00B65A44">
        <w:rPr>
          <w:i/>
          <w:iCs/>
        </w:rPr>
        <w:t>–3.55</w:t>
      </w:r>
      <w:r>
        <w:t xml:space="preserve"> </w:t>
      </w:r>
      <w:r w:rsidR="0094216F">
        <w:rPr>
          <w:i/>
          <w:iCs/>
        </w:rPr>
        <w:t xml:space="preserve">GHz </w:t>
      </w:r>
      <w:r w:rsidRPr="00B65A44">
        <w:rPr>
          <w:i/>
          <w:iCs/>
        </w:rPr>
        <w:t>Band</w:t>
      </w:r>
      <w:r>
        <w:t>, WT Docket No. 19-348, Public Notice, DA 21-645 (WTB Jun. 2, 2021) (</w:t>
      </w:r>
      <w:r>
        <w:rPr>
          <w:i/>
          <w:iCs/>
        </w:rPr>
        <w:t>Joint Coordination Public Notice</w:t>
      </w:r>
      <w:r>
        <w:t xml:space="preserve">).  </w:t>
      </w:r>
    </w:p>
  </w:footnote>
  <w:footnote w:id="8">
    <w:p w:rsidR="00E17F7C" w:rsidP="00E17F7C" w14:paraId="2BDF70A3" w14:textId="77777777">
      <w:pPr>
        <w:pStyle w:val="FootnoteText"/>
      </w:pPr>
      <w:r>
        <w:rPr>
          <w:rStyle w:val="FootnoteReference"/>
        </w:rPr>
        <w:footnoteRef/>
      </w:r>
      <w:r>
        <w:t xml:space="preserve"> DoD designated the information it shared with NCC “Controlled Unclassified Information” or “CUI,” a category of information that should remain non-public but generally may be shared with people who have a need to know it.     </w:t>
      </w:r>
    </w:p>
  </w:footnote>
  <w:footnote w:id="9">
    <w:p w:rsidR="00F67667" w14:paraId="34C93F6B" w14:textId="4C642DED">
      <w:pPr>
        <w:pStyle w:val="FootnoteText"/>
      </w:pPr>
      <w:r>
        <w:rPr>
          <w:rStyle w:val="FootnoteReference"/>
        </w:rPr>
        <w:footnoteRef/>
      </w:r>
      <w:r>
        <w:t xml:space="preserve"> </w:t>
      </w:r>
      <w:r w:rsidR="0091005F">
        <w:t>I</w:t>
      </w:r>
      <w:r w:rsidR="00F9638E">
        <w:t>n any event, i</w:t>
      </w:r>
      <w:r w:rsidR="0091005F">
        <w:t xml:space="preserve">ndividuals representing more than one applicant in any capacity in an auction </w:t>
      </w:r>
      <w:r w:rsidR="00F9638E">
        <w:t xml:space="preserve">with access to any bidding-related information </w:t>
      </w:r>
      <w:r w:rsidR="0091005F">
        <w:t xml:space="preserve">present a significant risk of violating the Commission’s prohibition on </w:t>
      </w:r>
      <w:r w:rsidR="00F9638E">
        <w:t>certain auction-related communications.</w:t>
      </w:r>
    </w:p>
  </w:footnote>
  <w:footnote w:id="10">
    <w:p w:rsidR="003F24A1" w:rsidRPr="003F24A1" w14:paraId="52F3B2F4" w14:textId="60A07FA3">
      <w:pPr>
        <w:pStyle w:val="FootnoteText"/>
      </w:pPr>
      <w:r>
        <w:rPr>
          <w:rStyle w:val="FootnoteReference"/>
        </w:rPr>
        <w:footnoteRef/>
      </w:r>
      <w:r>
        <w:t xml:space="preserve"> </w:t>
      </w:r>
      <w:r>
        <w:rPr>
          <w:i/>
          <w:iCs/>
        </w:rPr>
        <w:t xml:space="preserve">See </w:t>
      </w:r>
      <w:r>
        <w:t>47 CFR 1.2105(c).</w:t>
      </w:r>
    </w:p>
  </w:footnote>
  <w:footnote w:id="11">
    <w:p w:rsidR="003F24A1" w:rsidRPr="00633DDE" w:rsidP="004B1707" w14:paraId="1D3DC903" w14:textId="35642512">
      <w:pPr>
        <w:pStyle w:val="FootnoteText"/>
        <w:rPr>
          <w:i/>
        </w:rPr>
      </w:pPr>
      <w:r>
        <w:rPr>
          <w:rStyle w:val="FootnoteReference"/>
        </w:rPr>
        <w:footnoteRef/>
      </w:r>
      <w:r>
        <w:t xml:space="preserve"> </w:t>
      </w:r>
      <w:r>
        <w:rPr>
          <w:i/>
          <w:iCs/>
        </w:rPr>
        <w:t>See</w:t>
      </w:r>
      <w:r w:rsidR="004B1707">
        <w:rPr>
          <w:i/>
          <w:iCs/>
        </w:rPr>
        <w:t xml:space="preserve"> </w:t>
      </w:r>
      <w:r w:rsidR="001C049F">
        <w:rPr>
          <w:i/>
          <w:iCs/>
        </w:rPr>
        <w:t xml:space="preserve">Auction 110 Procedures Public Notice </w:t>
      </w:r>
      <w:r w:rsidR="001C049F">
        <w:t>at 1</w:t>
      </w:r>
      <w:r w:rsidR="00642C59">
        <w:t>6</w:t>
      </w:r>
      <w:r w:rsidR="001C049F">
        <w:t>-2</w:t>
      </w:r>
      <w:r w:rsidR="004974EB">
        <w:t>2</w:t>
      </w:r>
      <w:r w:rsidR="001C049F">
        <w:t xml:space="preserve">, paras. 43-66; </w:t>
      </w:r>
      <w:r w:rsidRPr="00633DDE" w:rsidR="004B1707">
        <w:rPr>
          <w:i/>
        </w:rPr>
        <w:t xml:space="preserve">Guidance Regarding </w:t>
      </w:r>
      <w:r w:rsidRPr="00633DDE" w:rsidR="00C23502">
        <w:rPr>
          <w:i/>
        </w:rPr>
        <w:t>t</w:t>
      </w:r>
      <w:r w:rsidRPr="00633DDE" w:rsidR="004B1707">
        <w:rPr>
          <w:i/>
        </w:rPr>
        <w:t xml:space="preserve">he Prohibition </w:t>
      </w:r>
      <w:r w:rsidRPr="00633DDE" w:rsidR="00C23502">
        <w:rPr>
          <w:i/>
        </w:rPr>
        <w:t>o</w:t>
      </w:r>
      <w:r w:rsidRPr="00633DDE" w:rsidR="004B1707">
        <w:rPr>
          <w:i/>
        </w:rPr>
        <w:t xml:space="preserve">f Certain Communications During the Auction of Licenses </w:t>
      </w:r>
      <w:r w:rsidRPr="00633DDE" w:rsidR="00C23502">
        <w:rPr>
          <w:i/>
        </w:rPr>
        <w:t>i</w:t>
      </w:r>
      <w:r w:rsidRPr="00633DDE" w:rsidR="004B1707">
        <w:rPr>
          <w:i/>
        </w:rPr>
        <w:t xml:space="preserve">n </w:t>
      </w:r>
      <w:r w:rsidRPr="00633DDE" w:rsidR="00C23502">
        <w:rPr>
          <w:i/>
        </w:rPr>
        <w:t>t</w:t>
      </w:r>
      <w:r w:rsidRPr="00633DDE" w:rsidR="004B1707">
        <w:rPr>
          <w:i/>
        </w:rPr>
        <w:t xml:space="preserve">he 3.45–3.55 </w:t>
      </w:r>
      <w:r w:rsidRPr="00633DDE" w:rsidR="004B1707">
        <w:rPr>
          <w:i/>
          <w:iCs/>
        </w:rPr>
        <w:t>G</w:t>
      </w:r>
      <w:r w:rsidR="00B83E5C">
        <w:rPr>
          <w:i/>
          <w:iCs/>
        </w:rPr>
        <w:t>H</w:t>
      </w:r>
      <w:r w:rsidRPr="00633DDE" w:rsidR="004B1707">
        <w:rPr>
          <w:i/>
          <w:iCs/>
        </w:rPr>
        <w:t>z</w:t>
      </w:r>
      <w:r w:rsidRPr="00633DDE" w:rsidR="004B1707">
        <w:rPr>
          <w:i/>
        </w:rPr>
        <w:t xml:space="preserve"> Band (Auction 110</w:t>
      </w:r>
      <w:r w:rsidRPr="00633DDE" w:rsidR="004B1707">
        <w:rPr>
          <w:i/>
          <w:iCs/>
        </w:rPr>
        <w:t>)</w:t>
      </w:r>
      <w:r w:rsidR="00C23502">
        <w:t xml:space="preserve">, </w:t>
      </w:r>
      <w:r w:rsidR="00C6173B">
        <w:t xml:space="preserve">AU Docket 21-62, </w:t>
      </w:r>
      <w:r w:rsidR="00C23502">
        <w:t>Public Notice, DA</w:t>
      </w:r>
      <w:r w:rsidR="00C6173B">
        <w:t xml:space="preserve"> 21-859 (rel. July 20,</w:t>
      </w:r>
      <w:r w:rsidR="009C2FCB">
        <w:t xml:space="preserve"> 2021)</w:t>
      </w:r>
      <w:r w:rsidR="004D71F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331498B5" w14:textId="15815A98">
    <w:pPr>
      <w:tabs>
        <w:tab w:val="center" w:pos="4680"/>
        <w:tab w:val="right" w:pos="9360"/>
      </w:tabs>
    </w:pPr>
    <w:r>
      <w:rPr>
        <w:b/>
      </w:rPr>
      <w:tab/>
      <w:t>Federal Communications Commission</w:t>
    </w:r>
    <w:r>
      <w:rPr>
        <w:b/>
      </w:rPr>
      <w:tab/>
    </w:r>
    <w:r w:rsidR="00AD3502">
      <w:rPr>
        <w:b/>
      </w:rPr>
      <w:t>DA 21-</w:t>
    </w:r>
    <w:r w:rsidR="00EA076A">
      <w:rPr>
        <w:b/>
      </w:rPr>
      <w:t>1023</w:t>
    </w:r>
  </w:p>
  <w:p w:rsidR="00E11923" w14:paraId="3833283A" w14:textId="6A1AD2F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11923" w14:paraId="1D9B160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923" w14:paraId="3891004A" w14:textId="693F1552">
    <w:pPr>
      <w:pStyle w:val="Header"/>
    </w:pPr>
    <w:r>
      <w:rPr>
        <w:noProof/>
        <w:snapToGrid/>
      </w:rPr>
      <w:drawing>
        <wp:inline distT="0" distB="0" distL="0" distR="0">
          <wp:extent cx="5958205" cy="143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8205" cy="1430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F27E44"/>
    <w:multiLevelType w:val="multilevel"/>
    <w:tmpl w:val="8458BA7A"/>
    <w:lvl w:ilvl="0">
      <w:start w:val="1"/>
      <w:numFmt w:val="bullet"/>
      <w:pStyle w:val="StyleParaNum11ptCharCharCharCharCharCharCharCharCharCharCharChar"/>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6"/>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7C"/>
    <w:rsid w:val="000026EC"/>
    <w:rsid w:val="00006EB4"/>
    <w:rsid w:val="00015AE7"/>
    <w:rsid w:val="0002044F"/>
    <w:rsid w:val="00022141"/>
    <w:rsid w:val="00026521"/>
    <w:rsid w:val="00027DD3"/>
    <w:rsid w:val="00030BBC"/>
    <w:rsid w:val="00031E1D"/>
    <w:rsid w:val="0004434D"/>
    <w:rsid w:val="00050505"/>
    <w:rsid w:val="00053395"/>
    <w:rsid w:val="00055A37"/>
    <w:rsid w:val="0008170D"/>
    <w:rsid w:val="00083059"/>
    <w:rsid w:val="000841AC"/>
    <w:rsid w:val="000850E8"/>
    <w:rsid w:val="000903A4"/>
    <w:rsid w:val="00093A76"/>
    <w:rsid w:val="000A131B"/>
    <w:rsid w:val="000A3B35"/>
    <w:rsid w:val="000A3CEC"/>
    <w:rsid w:val="000A6DE2"/>
    <w:rsid w:val="000B0876"/>
    <w:rsid w:val="000B212E"/>
    <w:rsid w:val="000B2D57"/>
    <w:rsid w:val="000C1EFF"/>
    <w:rsid w:val="000C21AF"/>
    <w:rsid w:val="000C6370"/>
    <w:rsid w:val="000D05D3"/>
    <w:rsid w:val="000D379C"/>
    <w:rsid w:val="000E7A20"/>
    <w:rsid w:val="000F2BA1"/>
    <w:rsid w:val="00105286"/>
    <w:rsid w:val="0011067B"/>
    <w:rsid w:val="001106B2"/>
    <w:rsid w:val="00111C29"/>
    <w:rsid w:val="00111F9B"/>
    <w:rsid w:val="00114ED1"/>
    <w:rsid w:val="00115E3E"/>
    <w:rsid w:val="001231A1"/>
    <w:rsid w:val="00133118"/>
    <w:rsid w:val="001331BB"/>
    <w:rsid w:val="0013462F"/>
    <w:rsid w:val="0013479A"/>
    <w:rsid w:val="00141382"/>
    <w:rsid w:val="00151ADA"/>
    <w:rsid w:val="00153DAD"/>
    <w:rsid w:val="00154839"/>
    <w:rsid w:val="00156E40"/>
    <w:rsid w:val="0017399D"/>
    <w:rsid w:val="0017519C"/>
    <w:rsid w:val="001902C5"/>
    <w:rsid w:val="001909B7"/>
    <w:rsid w:val="00192F8E"/>
    <w:rsid w:val="00197896"/>
    <w:rsid w:val="001A0395"/>
    <w:rsid w:val="001A3711"/>
    <w:rsid w:val="001A4BFF"/>
    <w:rsid w:val="001A6769"/>
    <w:rsid w:val="001B587F"/>
    <w:rsid w:val="001B6898"/>
    <w:rsid w:val="001B68AE"/>
    <w:rsid w:val="001C049F"/>
    <w:rsid w:val="001C0CDD"/>
    <w:rsid w:val="001C4E88"/>
    <w:rsid w:val="001C6514"/>
    <w:rsid w:val="001D07A7"/>
    <w:rsid w:val="001D18E5"/>
    <w:rsid w:val="001D4194"/>
    <w:rsid w:val="001E351A"/>
    <w:rsid w:val="001E59DA"/>
    <w:rsid w:val="001E6F17"/>
    <w:rsid w:val="001F0613"/>
    <w:rsid w:val="001F49B3"/>
    <w:rsid w:val="001F4E85"/>
    <w:rsid w:val="001F7AFA"/>
    <w:rsid w:val="002176C1"/>
    <w:rsid w:val="00217A29"/>
    <w:rsid w:val="00221161"/>
    <w:rsid w:val="0022561C"/>
    <w:rsid w:val="0024055F"/>
    <w:rsid w:val="00267D54"/>
    <w:rsid w:val="00270480"/>
    <w:rsid w:val="00281753"/>
    <w:rsid w:val="002838AC"/>
    <w:rsid w:val="002840E2"/>
    <w:rsid w:val="002A2858"/>
    <w:rsid w:val="002B4EAD"/>
    <w:rsid w:val="002B7BC7"/>
    <w:rsid w:val="002C191C"/>
    <w:rsid w:val="002C75B0"/>
    <w:rsid w:val="002D6226"/>
    <w:rsid w:val="002E3438"/>
    <w:rsid w:val="002F0B88"/>
    <w:rsid w:val="002F4350"/>
    <w:rsid w:val="003007B6"/>
    <w:rsid w:val="00303BBA"/>
    <w:rsid w:val="00304CC4"/>
    <w:rsid w:val="0030649D"/>
    <w:rsid w:val="00307149"/>
    <w:rsid w:val="00315914"/>
    <w:rsid w:val="00315E8C"/>
    <w:rsid w:val="00316B52"/>
    <w:rsid w:val="0031757F"/>
    <w:rsid w:val="003239F0"/>
    <w:rsid w:val="00327D42"/>
    <w:rsid w:val="00334082"/>
    <w:rsid w:val="00336787"/>
    <w:rsid w:val="00337636"/>
    <w:rsid w:val="003411F2"/>
    <w:rsid w:val="00345990"/>
    <w:rsid w:val="00351A71"/>
    <w:rsid w:val="00361FB1"/>
    <w:rsid w:val="003620BC"/>
    <w:rsid w:val="00364B4C"/>
    <w:rsid w:val="00373C10"/>
    <w:rsid w:val="00381933"/>
    <w:rsid w:val="00381AAD"/>
    <w:rsid w:val="00383DA3"/>
    <w:rsid w:val="0039060C"/>
    <w:rsid w:val="003908E1"/>
    <w:rsid w:val="00391806"/>
    <w:rsid w:val="003B4FE5"/>
    <w:rsid w:val="003E7393"/>
    <w:rsid w:val="003F24A1"/>
    <w:rsid w:val="003F3F5C"/>
    <w:rsid w:val="003F3F9A"/>
    <w:rsid w:val="003F570D"/>
    <w:rsid w:val="003F7326"/>
    <w:rsid w:val="00414E19"/>
    <w:rsid w:val="00421EEF"/>
    <w:rsid w:val="00422EE9"/>
    <w:rsid w:val="00425C7C"/>
    <w:rsid w:val="00435180"/>
    <w:rsid w:val="00436329"/>
    <w:rsid w:val="00441AA1"/>
    <w:rsid w:val="0044216B"/>
    <w:rsid w:val="00452ECC"/>
    <w:rsid w:val="00457364"/>
    <w:rsid w:val="00472A1E"/>
    <w:rsid w:val="0047424B"/>
    <w:rsid w:val="0047531C"/>
    <w:rsid w:val="004779A0"/>
    <w:rsid w:val="00477A31"/>
    <w:rsid w:val="00481992"/>
    <w:rsid w:val="00481CB9"/>
    <w:rsid w:val="0049174A"/>
    <w:rsid w:val="004974EB"/>
    <w:rsid w:val="004974FE"/>
    <w:rsid w:val="004A352B"/>
    <w:rsid w:val="004B1707"/>
    <w:rsid w:val="004B7C90"/>
    <w:rsid w:val="004C1C75"/>
    <w:rsid w:val="004D3049"/>
    <w:rsid w:val="004D555E"/>
    <w:rsid w:val="004D6F79"/>
    <w:rsid w:val="004D71F0"/>
    <w:rsid w:val="004E5B46"/>
    <w:rsid w:val="004F0FA5"/>
    <w:rsid w:val="00501C0B"/>
    <w:rsid w:val="00501D3C"/>
    <w:rsid w:val="00505439"/>
    <w:rsid w:val="00507F87"/>
    <w:rsid w:val="00511F29"/>
    <w:rsid w:val="005148D8"/>
    <w:rsid w:val="00514C8B"/>
    <w:rsid w:val="00520822"/>
    <w:rsid w:val="00526D69"/>
    <w:rsid w:val="005443AC"/>
    <w:rsid w:val="00545459"/>
    <w:rsid w:val="0055372E"/>
    <w:rsid w:val="005538C3"/>
    <w:rsid w:val="00561BF1"/>
    <w:rsid w:val="005623A6"/>
    <w:rsid w:val="00566EBA"/>
    <w:rsid w:val="00571B77"/>
    <w:rsid w:val="00571FA7"/>
    <w:rsid w:val="00572BAC"/>
    <w:rsid w:val="00584330"/>
    <w:rsid w:val="00584E25"/>
    <w:rsid w:val="00585852"/>
    <w:rsid w:val="00587CBA"/>
    <w:rsid w:val="005901ED"/>
    <w:rsid w:val="00594FC6"/>
    <w:rsid w:val="00595974"/>
    <w:rsid w:val="005967AC"/>
    <w:rsid w:val="005A7EAC"/>
    <w:rsid w:val="005B202F"/>
    <w:rsid w:val="005B5606"/>
    <w:rsid w:val="005C3AAC"/>
    <w:rsid w:val="005C609C"/>
    <w:rsid w:val="005C7AC0"/>
    <w:rsid w:val="005C7CAE"/>
    <w:rsid w:val="005D2904"/>
    <w:rsid w:val="005E339D"/>
    <w:rsid w:val="005E5552"/>
    <w:rsid w:val="005F24B7"/>
    <w:rsid w:val="006029F9"/>
    <w:rsid w:val="00604753"/>
    <w:rsid w:val="00604F31"/>
    <w:rsid w:val="006119B9"/>
    <w:rsid w:val="0061267F"/>
    <w:rsid w:val="00615061"/>
    <w:rsid w:val="00620E2A"/>
    <w:rsid w:val="00622362"/>
    <w:rsid w:val="006268F1"/>
    <w:rsid w:val="00631392"/>
    <w:rsid w:val="00633DDE"/>
    <w:rsid w:val="0063684B"/>
    <w:rsid w:val="00642C59"/>
    <w:rsid w:val="006447FF"/>
    <w:rsid w:val="00647EFE"/>
    <w:rsid w:val="0065148F"/>
    <w:rsid w:val="0065551E"/>
    <w:rsid w:val="00663D33"/>
    <w:rsid w:val="00665E87"/>
    <w:rsid w:val="00667281"/>
    <w:rsid w:val="00671C12"/>
    <w:rsid w:val="006738EB"/>
    <w:rsid w:val="006753BC"/>
    <w:rsid w:val="00676A23"/>
    <w:rsid w:val="00682CF2"/>
    <w:rsid w:val="0069437E"/>
    <w:rsid w:val="00695DD0"/>
    <w:rsid w:val="006A1065"/>
    <w:rsid w:val="006B1204"/>
    <w:rsid w:val="006B1C17"/>
    <w:rsid w:val="006B2D70"/>
    <w:rsid w:val="006B418A"/>
    <w:rsid w:val="006B5237"/>
    <w:rsid w:val="006C0E80"/>
    <w:rsid w:val="006C3743"/>
    <w:rsid w:val="006C4CB2"/>
    <w:rsid w:val="006D430B"/>
    <w:rsid w:val="006D45E6"/>
    <w:rsid w:val="006E3288"/>
    <w:rsid w:val="006E371E"/>
    <w:rsid w:val="006E70FE"/>
    <w:rsid w:val="00703BE7"/>
    <w:rsid w:val="0070402C"/>
    <w:rsid w:val="0070435D"/>
    <w:rsid w:val="00711D96"/>
    <w:rsid w:val="007224E5"/>
    <w:rsid w:val="00722C23"/>
    <w:rsid w:val="00733112"/>
    <w:rsid w:val="00734120"/>
    <w:rsid w:val="00744B19"/>
    <w:rsid w:val="0074640A"/>
    <w:rsid w:val="00750B61"/>
    <w:rsid w:val="00753715"/>
    <w:rsid w:val="00771578"/>
    <w:rsid w:val="00773DDE"/>
    <w:rsid w:val="0077546C"/>
    <w:rsid w:val="00783716"/>
    <w:rsid w:val="00786777"/>
    <w:rsid w:val="007A05D8"/>
    <w:rsid w:val="007A19B7"/>
    <w:rsid w:val="007A33E2"/>
    <w:rsid w:val="007B03B9"/>
    <w:rsid w:val="007B2043"/>
    <w:rsid w:val="007B2B72"/>
    <w:rsid w:val="007B4ECF"/>
    <w:rsid w:val="007B58B0"/>
    <w:rsid w:val="007B68DF"/>
    <w:rsid w:val="007D2427"/>
    <w:rsid w:val="007E430B"/>
    <w:rsid w:val="007E4D0E"/>
    <w:rsid w:val="007E69C4"/>
    <w:rsid w:val="007F3804"/>
    <w:rsid w:val="007F6084"/>
    <w:rsid w:val="00803D85"/>
    <w:rsid w:val="00810CA8"/>
    <w:rsid w:val="00816B26"/>
    <w:rsid w:val="00820543"/>
    <w:rsid w:val="00823292"/>
    <w:rsid w:val="00823DA3"/>
    <w:rsid w:val="00823F6C"/>
    <w:rsid w:val="008246E1"/>
    <w:rsid w:val="00832FDB"/>
    <w:rsid w:val="00833187"/>
    <w:rsid w:val="008544F3"/>
    <w:rsid w:val="00856B6D"/>
    <w:rsid w:val="00857E7A"/>
    <w:rsid w:val="00866FFA"/>
    <w:rsid w:val="00867A8A"/>
    <w:rsid w:val="0087010D"/>
    <w:rsid w:val="00871C07"/>
    <w:rsid w:val="008730C2"/>
    <w:rsid w:val="00875C08"/>
    <w:rsid w:val="00875F7E"/>
    <w:rsid w:val="00882AC6"/>
    <w:rsid w:val="0088590C"/>
    <w:rsid w:val="008879C4"/>
    <w:rsid w:val="00897ACF"/>
    <w:rsid w:val="008A0D2A"/>
    <w:rsid w:val="008A11CA"/>
    <w:rsid w:val="008A4CF9"/>
    <w:rsid w:val="008A7B30"/>
    <w:rsid w:val="008B1803"/>
    <w:rsid w:val="008C6027"/>
    <w:rsid w:val="008C70A2"/>
    <w:rsid w:val="008D0D70"/>
    <w:rsid w:val="008D1230"/>
    <w:rsid w:val="008E60CD"/>
    <w:rsid w:val="008F0A87"/>
    <w:rsid w:val="008F21DC"/>
    <w:rsid w:val="008F4D20"/>
    <w:rsid w:val="008F6ED0"/>
    <w:rsid w:val="00901B1A"/>
    <w:rsid w:val="00902D8D"/>
    <w:rsid w:val="0091005F"/>
    <w:rsid w:val="009177F0"/>
    <w:rsid w:val="00926A47"/>
    <w:rsid w:val="00930EC1"/>
    <w:rsid w:val="0094216F"/>
    <w:rsid w:val="009440CB"/>
    <w:rsid w:val="009442ED"/>
    <w:rsid w:val="009472DE"/>
    <w:rsid w:val="00956BFA"/>
    <w:rsid w:val="00960D47"/>
    <w:rsid w:val="00961BE7"/>
    <w:rsid w:val="00962803"/>
    <w:rsid w:val="00967DBB"/>
    <w:rsid w:val="009744C1"/>
    <w:rsid w:val="00976AB6"/>
    <w:rsid w:val="00980D58"/>
    <w:rsid w:val="00993D77"/>
    <w:rsid w:val="009A6FC1"/>
    <w:rsid w:val="009A754B"/>
    <w:rsid w:val="009B0052"/>
    <w:rsid w:val="009B4A57"/>
    <w:rsid w:val="009B5698"/>
    <w:rsid w:val="009B7D72"/>
    <w:rsid w:val="009C0036"/>
    <w:rsid w:val="009C2FCB"/>
    <w:rsid w:val="009D2A23"/>
    <w:rsid w:val="009D502F"/>
    <w:rsid w:val="009F48C7"/>
    <w:rsid w:val="009F5665"/>
    <w:rsid w:val="009F594B"/>
    <w:rsid w:val="009F628C"/>
    <w:rsid w:val="009F76E9"/>
    <w:rsid w:val="00A0502E"/>
    <w:rsid w:val="00A16E5F"/>
    <w:rsid w:val="00A17214"/>
    <w:rsid w:val="00A20337"/>
    <w:rsid w:val="00A35D01"/>
    <w:rsid w:val="00A37EE4"/>
    <w:rsid w:val="00A42BE2"/>
    <w:rsid w:val="00A477C4"/>
    <w:rsid w:val="00A5189F"/>
    <w:rsid w:val="00A52D30"/>
    <w:rsid w:val="00A54C7A"/>
    <w:rsid w:val="00A630CF"/>
    <w:rsid w:val="00A63E23"/>
    <w:rsid w:val="00A649A8"/>
    <w:rsid w:val="00A704CE"/>
    <w:rsid w:val="00A709E6"/>
    <w:rsid w:val="00A71CE6"/>
    <w:rsid w:val="00A8010A"/>
    <w:rsid w:val="00A8067C"/>
    <w:rsid w:val="00A83275"/>
    <w:rsid w:val="00AA056A"/>
    <w:rsid w:val="00AA0B36"/>
    <w:rsid w:val="00AA3D79"/>
    <w:rsid w:val="00AA70FD"/>
    <w:rsid w:val="00AB4A4B"/>
    <w:rsid w:val="00AB4B2E"/>
    <w:rsid w:val="00AB5A5C"/>
    <w:rsid w:val="00AB7C1A"/>
    <w:rsid w:val="00AC0D24"/>
    <w:rsid w:val="00AC3070"/>
    <w:rsid w:val="00AC395A"/>
    <w:rsid w:val="00AC51E6"/>
    <w:rsid w:val="00AC5FFE"/>
    <w:rsid w:val="00AD2D25"/>
    <w:rsid w:val="00AD3502"/>
    <w:rsid w:val="00AD7F64"/>
    <w:rsid w:val="00AE00A3"/>
    <w:rsid w:val="00AE0973"/>
    <w:rsid w:val="00AE3D2E"/>
    <w:rsid w:val="00AE58CD"/>
    <w:rsid w:val="00AE6C2F"/>
    <w:rsid w:val="00AF03AA"/>
    <w:rsid w:val="00AF0CD8"/>
    <w:rsid w:val="00AF2C08"/>
    <w:rsid w:val="00AF2F75"/>
    <w:rsid w:val="00AF57A6"/>
    <w:rsid w:val="00AF64E1"/>
    <w:rsid w:val="00B11B60"/>
    <w:rsid w:val="00B11ED2"/>
    <w:rsid w:val="00B22BE7"/>
    <w:rsid w:val="00B24772"/>
    <w:rsid w:val="00B33F07"/>
    <w:rsid w:val="00B630CB"/>
    <w:rsid w:val="00B63681"/>
    <w:rsid w:val="00B63B78"/>
    <w:rsid w:val="00B65A44"/>
    <w:rsid w:val="00B667BE"/>
    <w:rsid w:val="00B700E8"/>
    <w:rsid w:val="00B703AC"/>
    <w:rsid w:val="00B70DB0"/>
    <w:rsid w:val="00B752D1"/>
    <w:rsid w:val="00B82094"/>
    <w:rsid w:val="00B837E4"/>
    <w:rsid w:val="00B83E5C"/>
    <w:rsid w:val="00B86CA3"/>
    <w:rsid w:val="00B93814"/>
    <w:rsid w:val="00B95D75"/>
    <w:rsid w:val="00BA069E"/>
    <w:rsid w:val="00BA4586"/>
    <w:rsid w:val="00BB0BBF"/>
    <w:rsid w:val="00BB103A"/>
    <w:rsid w:val="00BB1CCA"/>
    <w:rsid w:val="00BB4E6F"/>
    <w:rsid w:val="00BB6B85"/>
    <w:rsid w:val="00BC651D"/>
    <w:rsid w:val="00BC79CC"/>
    <w:rsid w:val="00BD0E6C"/>
    <w:rsid w:val="00BD316B"/>
    <w:rsid w:val="00BD3936"/>
    <w:rsid w:val="00BD5F4A"/>
    <w:rsid w:val="00BD6CAE"/>
    <w:rsid w:val="00BE1BF2"/>
    <w:rsid w:val="00BE54B9"/>
    <w:rsid w:val="00BF7ED9"/>
    <w:rsid w:val="00C01256"/>
    <w:rsid w:val="00C01AED"/>
    <w:rsid w:val="00C0364D"/>
    <w:rsid w:val="00C0593E"/>
    <w:rsid w:val="00C101CB"/>
    <w:rsid w:val="00C11479"/>
    <w:rsid w:val="00C1276F"/>
    <w:rsid w:val="00C205FE"/>
    <w:rsid w:val="00C2064D"/>
    <w:rsid w:val="00C212E0"/>
    <w:rsid w:val="00C2333D"/>
    <w:rsid w:val="00C23502"/>
    <w:rsid w:val="00C326C9"/>
    <w:rsid w:val="00C373E7"/>
    <w:rsid w:val="00C5000B"/>
    <w:rsid w:val="00C6173B"/>
    <w:rsid w:val="00C6276F"/>
    <w:rsid w:val="00C653BE"/>
    <w:rsid w:val="00C65DE6"/>
    <w:rsid w:val="00C666E9"/>
    <w:rsid w:val="00C6729C"/>
    <w:rsid w:val="00C87293"/>
    <w:rsid w:val="00C96523"/>
    <w:rsid w:val="00CA3DAB"/>
    <w:rsid w:val="00CA6683"/>
    <w:rsid w:val="00CB1879"/>
    <w:rsid w:val="00CC3827"/>
    <w:rsid w:val="00CD0FA5"/>
    <w:rsid w:val="00CD0FE4"/>
    <w:rsid w:val="00CD77AF"/>
    <w:rsid w:val="00CE02F4"/>
    <w:rsid w:val="00CE0655"/>
    <w:rsid w:val="00CE0F0C"/>
    <w:rsid w:val="00CE1FBB"/>
    <w:rsid w:val="00CE6DAC"/>
    <w:rsid w:val="00CF3281"/>
    <w:rsid w:val="00CF3774"/>
    <w:rsid w:val="00CF4501"/>
    <w:rsid w:val="00CF4743"/>
    <w:rsid w:val="00CF5218"/>
    <w:rsid w:val="00D02D0F"/>
    <w:rsid w:val="00D05CA6"/>
    <w:rsid w:val="00D062BF"/>
    <w:rsid w:val="00D0674E"/>
    <w:rsid w:val="00D11ED4"/>
    <w:rsid w:val="00D16166"/>
    <w:rsid w:val="00D17307"/>
    <w:rsid w:val="00D20724"/>
    <w:rsid w:val="00D410B3"/>
    <w:rsid w:val="00D43B0C"/>
    <w:rsid w:val="00D528B1"/>
    <w:rsid w:val="00D6058D"/>
    <w:rsid w:val="00D64B06"/>
    <w:rsid w:val="00D764A7"/>
    <w:rsid w:val="00D808DA"/>
    <w:rsid w:val="00DA2780"/>
    <w:rsid w:val="00DA4358"/>
    <w:rsid w:val="00DA4379"/>
    <w:rsid w:val="00DA4F92"/>
    <w:rsid w:val="00DA71F8"/>
    <w:rsid w:val="00DB39EE"/>
    <w:rsid w:val="00DB4C7B"/>
    <w:rsid w:val="00DD07F7"/>
    <w:rsid w:val="00DD28D3"/>
    <w:rsid w:val="00DD712A"/>
    <w:rsid w:val="00DE0EDA"/>
    <w:rsid w:val="00DE3FB3"/>
    <w:rsid w:val="00DE5F6B"/>
    <w:rsid w:val="00DF433B"/>
    <w:rsid w:val="00E05671"/>
    <w:rsid w:val="00E11923"/>
    <w:rsid w:val="00E17F7C"/>
    <w:rsid w:val="00E22809"/>
    <w:rsid w:val="00E271A7"/>
    <w:rsid w:val="00E4361D"/>
    <w:rsid w:val="00E51203"/>
    <w:rsid w:val="00E615E3"/>
    <w:rsid w:val="00E620B4"/>
    <w:rsid w:val="00E63B73"/>
    <w:rsid w:val="00E64220"/>
    <w:rsid w:val="00E66C86"/>
    <w:rsid w:val="00E706ED"/>
    <w:rsid w:val="00E71D4E"/>
    <w:rsid w:val="00E74E94"/>
    <w:rsid w:val="00E76B7D"/>
    <w:rsid w:val="00E82D30"/>
    <w:rsid w:val="00E848E3"/>
    <w:rsid w:val="00E86B6D"/>
    <w:rsid w:val="00E90D9E"/>
    <w:rsid w:val="00E96D69"/>
    <w:rsid w:val="00E97D65"/>
    <w:rsid w:val="00EA076A"/>
    <w:rsid w:val="00EA109D"/>
    <w:rsid w:val="00EA2161"/>
    <w:rsid w:val="00EA5071"/>
    <w:rsid w:val="00EA781C"/>
    <w:rsid w:val="00EB0124"/>
    <w:rsid w:val="00EB2A32"/>
    <w:rsid w:val="00EB3315"/>
    <w:rsid w:val="00EC326B"/>
    <w:rsid w:val="00ED0634"/>
    <w:rsid w:val="00ED2162"/>
    <w:rsid w:val="00ED3A45"/>
    <w:rsid w:val="00ED5D9C"/>
    <w:rsid w:val="00EF628E"/>
    <w:rsid w:val="00F11945"/>
    <w:rsid w:val="00F133A7"/>
    <w:rsid w:val="00F13B36"/>
    <w:rsid w:val="00F1659E"/>
    <w:rsid w:val="00F25320"/>
    <w:rsid w:val="00F30FBF"/>
    <w:rsid w:val="00F32D78"/>
    <w:rsid w:val="00F34CBF"/>
    <w:rsid w:val="00F37CDC"/>
    <w:rsid w:val="00F47A71"/>
    <w:rsid w:val="00F51466"/>
    <w:rsid w:val="00F571C3"/>
    <w:rsid w:val="00F67667"/>
    <w:rsid w:val="00F70C40"/>
    <w:rsid w:val="00F73592"/>
    <w:rsid w:val="00F801FD"/>
    <w:rsid w:val="00F831AA"/>
    <w:rsid w:val="00F917BA"/>
    <w:rsid w:val="00F9638E"/>
    <w:rsid w:val="00FA50F8"/>
    <w:rsid w:val="00FB1E4C"/>
    <w:rsid w:val="00FB41CC"/>
    <w:rsid w:val="00FC066A"/>
    <w:rsid w:val="00FC1707"/>
    <w:rsid w:val="00FC79FA"/>
    <w:rsid w:val="00FD0E62"/>
    <w:rsid w:val="00FD3335"/>
    <w:rsid w:val="00FD3841"/>
    <w:rsid w:val="00FE51A4"/>
    <w:rsid w:val="00FE7F5A"/>
    <w:rsid w:val="00FF60C5"/>
    <w:rsid w:val="038AA616"/>
    <w:rsid w:val="062DDCFC"/>
    <w:rsid w:val="082DBFB8"/>
    <w:rsid w:val="09648061"/>
    <w:rsid w:val="0C01B81F"/>
    <w:rsid w:val="132ED56F"/>
    <w:rsid w:val="19E63FA8"/>
    <w:rsid w:val="25F8A06A"/>
    <w:rsid w:val="27631D2B"/>
    <w:rsid w:val="29A92609"/>
    <w:rsid w:val="2A3F2F52"/>
    <w:rsid w:val="2C2009B9"/>
    <w:rsid w:val="2CAAE09F"/>
    <w:rsid w:val="300EB49A"/>
    <w:rsid w:val="35D942AF"/>
    <w:rsid w:val="3B0F08CD"/>
    <w:rsid w:val="3C4E82A8"/>
    <w:rsid w:val="402CC5EA"/>
    <w:rsid w:val="41E18BD7"/>
    <w:rsid w:val="45192C99"/>
    <w:rsid w:val="464CC614"/>
    <w:rsid w:val="4EA423FB"/>
    <w:rsid w:val="4ECB92D2"/>
    <w:rsid w:val="50191DF8"/>
    <w:rsid w:val="52F2FA78"/>
    <w:rsid w:val="58184743"/>
    <w:rsid w:val="5AEE3CE4"/>
    <w:rsid w:val="5F96441C"/>
    <w:rsid w:val="67367E09"/>
    <w:rsid w:val="67419DC8"/>
    <w:rsid w:val="6B234A87"/>
    <w:rsid w:val="6D7FB93B"/>
    <w:rsid w:val="711C36E4"/>
    <w:rsid w:val="75B7312A"/>
    <w:rsid w:val="78EE3A74"/>
    <w:rsid w:val="7E75008A"/>
    <w:rsid w:val="7ED1C8AD"/>
    <w:rsid w:val="7ED9B538"/>
    <w:rsid w:val="7FBCCA3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1DDF150"/>
  <w15:chartTrackingRefBased/>
  <w15:docId w15:val="{AFF1E5CE-BAB1-424F-A0F3-161C2515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425C7C"/>
  </w:style>
  <w:style w:type="character" w:customStyle="1" w:styleId="ParaNumChar">
    <w:name w:val="ParaNum Char"/>
    <w:link w:val="ParaNum"/>
    <w:rsid w:val="00425C7C"/>
    <w:rPr>
      <w:snapToGrid w:val="0"/>
      <w:kern w:val="28"/>
      <w:sz w:val="22"/>
    </w:rPr>
  </w:style>
  <w:style w:type="character" w:styleId="CommentReference">
    <w:name w:val="annotation reference"/>
    <w:basedOn w:val="DefaultParagraphFont"/>
    <w:unhideWhenUsed/>
    <w:rsid w:val="00217A29"/>
    <w:rPr>
      <w:sz w:val="16"/>
      <w:szCs w:val="16"/>
    </w:rPr>
  </w:style>
  <w:style w:type="paragraph" w:styleId="CommentText">
    <w:name w:val="annotation text"/>
    <w:basedOn w:val="Normal"/>
    <w:link w:val="CommentTextChar"/>
    <w:unhideWhenUsed/>
    <w:rsid w:val="00217A29"/>
    <w:rPr>
      <w:sz w:val="20"/>
    </w:rPr>
  </w:style>
  <w:style w:type="character" w:customStyle="1" w:styleId="CommentTextChar">
    <w:name w:val="Comment Text Char"/>
    <w:basedOn w:val="DefaultParagraphFont"/>
    <w:link w:val="CommentText"/>
    <w:rsid w:val="00217A29"/>
    <w:rPr>
      <w:snapToGrid w:val="0"/>
      <w:kern w:val="28"/>
    </w:rPr>
  </w:style>
  <w:style w:type="paragraph" w:styleId="CommentSubject">
    <w:name w:val="annotation subject"/>
    <w:basedOn w:val="CommentText"/>
    <w:next w:val="CommentText"/>
    <w:link w:val="CommentSubjectChar"/>
    <w:uiPriority w:val="99"/>
    <w:semiHidden/>
    <w:unhideWhenUsed/>
    <w:rsid w:val="00217A29"/>
    <w:rPr>
      <w:b/>
      <w:bCs/>
    </w:rPr>
  </w:style>
  <w:style w:type="character" w:customStyle="1" w:styleId="CommentSubjectChar">
    <w:name w:val="Comment Subject Char"/>
    <w:basedOn w:val="CommentTextChar"/>
    <w:link w:val="CommentSubject"/>
    <w:uiPriority w:val="99"/>
    <w:semiHidden/>
    <w:rsid w:val="00217A29"/>
    <w:rPr>
      <w:b/>
      <w:bCs/>
      <w:snapToGrid w:val="0"/>
      <w:kern w:val="28"/>
    </w:rPr>
  </w:style>
  <w:style w:type="paragraph" w:customStyle="1" w:styleId="xmsonormal">
    <w:name w:val="x_msonormal"/>
    <w:basedOn w:val="Normal"/>
    <w:rsid w:val="004974FE"/>
    <w:pPr>
      <w:widowControl/>
      <w:spacing w:before="100" w:beforeAutospacing="1" w:after="100" w:afterAutospacing="1"/>
    </w:pPr>
    <w:rPr>
      <w:snapToGrid/>
      <w:kern w:val="0"/>
      <w:sz w:val="24"/>
      <w:szCs w:val="24"/>
    </w:rPr>
  </w:style>
  <w:style w:type="paragraph" w:styleId="BalloonText">
    <w:name w:val="Balloon Text"/>
    <w:basedOn w:val="Normal"/>
    <w:link w:val="BalloonTextChar"/>
    <w:uiPriority w:val="99"/>
    <w:semiHidden/>
    <w:unhideWhenUsed/>
    <w:rsid w:val="00DE5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6B"/>
    <w:rPr>
      <w:rFonts w:ascii="Segoe UI" w:hAnsi="Segoe UI" w:cs="Segoe UI"/>
      <w:snapToGrid w:val="0"/>
      <w:kern w:val="28"/>
      <w:sz w:val="18"/>
      <w:szCs w:val="18"/>
    </w:rPr>
  </w:style>
  <w:style w:type="paragraph" w:styleId="Revision">
    <w:name w:val="Revision"/>
    <w:hidden/>
    <w:uiPriority w:val="99"/>
    <w:semiHidden/>
    <w:rsid w:val="00DE5F6B"/>
    <w:rPr>
      <w:snapToGrid w:val="0"/>
      <w:kern w:val="28"/>
      <w:sz w:val="22"/>
    </w:rPr>
  </w:style>
  <w:style w:type="character" w:customStyle="1" w:styleId="UnresolvedMention">
    <w:name w:val="Unresolved Mention"/>
    <w:basedOn w:val="DefaultParagraphFont"/>
    <w:uiPriority w:val="99"/>
    <w:unhideWhenUsed/>
    <w:rsid w:val="00361FB1"/>
    <w:rPr>
      <w:color w:val="605E5C"/>
      <w:shd w:val="clear" w:color="auto" w:fill="E1DFDD"/>
    </w:rPr>
  </w:style>
  <w:style w:type="character" w:customStyle="1" w:styleId="Mention">
    <w:name w:val="Mention"/>
    <w:basedOn w:val="DefaultParagraphFont"/>
    <w:uiPriority w:val="99"/>
    <w:unhideWhenUsed/>
    <w:rsid w:val="00361FB1"/>
    <w:rPr>
      <w:color w:val="2B579A"/>
      <w:shd w:val="clear" w:color="auto" w:fill="E1DFDD"/>
    </w:rPr>
  </w:style>
  <w:style w:type="paragraph" w:customStyle="1" w:styleId="StyleParaNum11ptCharCharCharCharCharCharCharCharCharCharCharChar">
    <w:name w:val="Style ParaNum + 11 pt Char Char Char Char Char Char Char Char Char Char Char Char"/>
    <w:link w:val="StyleParaNum11ptCharCharCharCharCharCharCharCharCharCharCharCharChar"/>
    <w:rsid w:val="00050505"/>
    <w:pPr>
      <w:numPr>
        <w:numId w:val="7"/>
      </w:numPr>
      <w:spacing w:after="160" w:line="259" w:lineRule="auto"/>
      <w:jc w:val="both"/>
    </w:pPr>
    <w:rPr>
      <w:rFonts w:ascii="Calibri" w:hAnsi="Calibri"/>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050505"/>
    <w:rPr>
      <w:rFonts w:ascii="Calibri" w:hAnsi="Calibri"/>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ntia.doc.gov/category/3450-3550-mhz" TargetMode="External" /><Relationship Id="rId6" Type="http://schemas.openxmlformats.org/officeDocument/2006/relationships/hyperlink" Target="http://www.fcc.gov/auction/110" TargetMode="External" /><Relationship Id="rId7" Type="http://schemas.openxmlformats.org/officeDocument/2006/relationships/hyperlink" Target="mailto:auction110@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