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B8E910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75E9CD4" w14:textId="77777777">
      <w:pPr>
        <w:pStyle w:val="StyleBoldCentered"/>
      </w:pPr>
      <w:r>
        <w:t>F</w:t>
      </w:r>
      <w:r>
        <w:rPr>
          <w:caps w:val="0"/>
        </w:rPr>
        <w:t>ederal Communications Commission</w:t>
      </w:r>
    </w:p>
    <w:p w:rsidR="004C2EE3" w:rsidP="00096D8C" w14:paraId="53B317FA" w14:textId="77777777">
      <w:pPr>
        <w:pStyle w:val="StyleBoldCentered"/>
      </w:pPr>
      <w:r>
        <w:rPr>
          <w:caps w:val="0"/>
        </w:rPr>
        <w:t>Washington, D.C. 20554</w:t>
      </w:r>
    </w:p>
    <w:p w:rsidR="004C2EE3" w:rsidP="0070224F" w14:paraId="18ABBD0C" w14:textId="77777777"/>
    <w:tbl>
      <w:tblPr>
        <w:tblW w:w="0" w:type="auto"/>
        <w:tblLayout w:type="fixed"/>
        <w:tblLook w:val="0000"/>
      </w:tblPr>
      <w:tblGrid>
        <w:gridCol w:w="4698"/>
        <w:gridCol w:w="630"/>
        <w:gridCol w:w="4248"/>
      </w:tblGrid>
      <w:tr w14:paraId="59F10ADB" w14:textId="77777777">
        <w:tblPrEx>
          <w:tblW w:w="0" w:type="auto"/>
          <w:tblLayout w:type="fixed"/>
          <w:tblLook w:val="0000"/>
        </w:tblPrEx>
        <w:tc>
          <w:tcPr>
            <w:tcW w:w="4698" w:type="dxa"/>
          </w:tcPr>
          <w:p w:rsidR="004C2EE3" w14:paraId="0F802611" w14:textId="77777777">
            <w:pPr>
              <w:tabs>
                <w:tab w:val="center" w:pos="4680"/>
              </w:tabs>
              <w:suppressAutoHyphens/>
              <w:rPr>
                <w:spacing w:val="-2"/>
              </w:rPr>
            </w:pPr>
            <w:r>
              <w:rPr>
                <w:spacing w:val="-2"/>
              </w:rPr>
              <w:t>In the Matter of</w:t>
            </w:r>
          </w:p>
          <w:p w:rsidR="004C2EE3" w14:paraId="42411033" w14:textId="77777777">
            <w:pPr>
              <w:tabs>
                <w:tab w:val="center" w:pos="4680"/>
              </w:tabs>
              <w:suppressAutoHyphens/>
              <w:rPr>
                <w:spacing w:val="-2"/>
              </w:rPr>
            </w:pPr>
          </w:p>
          <w:p w:rsidR="000F1FEC" w:rsidRPr="000F1FEC" w:rsidP="000F1FEC" w14:paraId="55174CF1" w14:textId="77777777">
            <w:pPr>
              <w:tabs>
                <w:tab w:val="center" w:pos="4680"/>
              </w:tabs>
              <w:suppressAutoHyphens/>
              <w:rPr>
                <w:spacing w:val="-2"/>
              </w:rPr>
            </w:pPr>
            <w:r w:rsidRPr="000F1FEC">
              <w:rPr>
                <w:spacing w:val="-2"/>
              </w:rPr>
              <w:t xml:space="preserve">Amendment of Section 73.622(i) </w:t>
            </w:r>
          </w:p>
          <w:p w:rsidR="000F1FEC" w:rsidRPr="000F1FEC" w:rsidP="000F1FEC" w14:paraId="79EFA046" w14:textId="77777777">
            <w:pPr>
              <w:tabs>
                <w:tab w:val="center" w:pos="4680"/>
              </w:tabs>
              <w:suppressAutoHyphens/>
              <w:rPr>
                <w:spacing w:val="-2"/>
              </w:rPr>
            </w:pPr>
            <w:r w:rsidRPr="000F1FEC">
              <w:rPr>
                <w:spacing w:val="-2"/>
              </w:rPr>
              <w:t>Post-Transition Table of DTV Allotments</w:t>
            </w:r>
          </w:p>
          <w:p w:rsidR="000F1FEC" w:rsidRPr="000F1FEC" w:rsidP="000F1FEC" w14:paraId="78E49EC1" w14:textId="77777777">
            <w:pPr>
              <w:tabs>
                <w:tab w:val="center" w:pos="4680"/>
              </w:tabs>
              <w:suppressAutoHyphens/>
              <w:rPr>
                <w:spacing w:val="-2"/>
              </w:rPr>
            </w:pPr>
            <w:r w:rsidRPr="000F1FEC">
              <w:rPr>
                <w:spacing w:val="-2"/>
              </w:rPr>
              <w:t>Television Broadcast Stations</w:t>
            </w:r>
          </w:p>
          <w:p w:rsidR="004C2EE3" w:rsidRPr="007115F7" w:rsidP="000F1FEC" w14:paraId="75AB3FBB" w14:textId="77777777">
            <w:pPr>
              <w:tabs>
                <w:tab w:val="center" w:pos="4680"/>
              </w:tabs>
              <w:suppressAutoHyphens/>
              <w:rPr>
                <w:spacing w:val="-2"/>
              </w:rPr>
            </w:pPr>
            <w:r w:rsidRPr="000F1FEC">
              <w:rPr>
                <w:spacing w:val="-2"/>
              </w:rPr>
              <w:t>(Superior and York, Nebraska)</w:t>
            </w:r>
          </w:p>
        </w:tc>
        <w:tc>
          <w:tcPr>
            <w:tcW w:w="630" w:type="dxa"/>
          </w:tcPr>
          <w:p w:rsidR="004C2EE3" w14:paraId="45B8DF3F" w14:textId="77777777">
            <w:pPr>
              <w:tabs>
                <w:tab w:val="center" w:pos="4680"/>
              </w:tabs>
              <w:suppressAutoHyphens/>
              <w:rPr>
                <w:b/>
                <w:spacing w:val="-2"/>
              </w:rPr>
            </w:pPr>
            <w:r>
              <w:rPr>
                <w:b/>
                <w:spacing w:val="-2"/>
              </w:rPr>
              <w:t>)</w:t>
            </w:r>
          </w:p>
          <w:p w:rsidR="004C2EE3" w14:paraId="60594688" w14:textId="77777777">
            <w:pPr>
              <w:tabs>
                <w:tab w:val="center" w:pos="4680"/>
              </w:tabs>
              <w:suppressAutoHyphens/>
              <w:rPr>
                <w:b/>
                <w:spacing w:val="-2"/>
              </w:rPr>
            </w:pPr>
            <w:r>
              <w:rPr>
                <w:b/>
                <w:spacing w:val="-2"/>
              </w:rPr>
              <w:t>)</w:t>
            </w:r>
          </w:p>
          <w:p w:rsidR="004C2EE3" w14:paraId="5BF3B6A8" w14:textId="77777777">
            <w:pPr>
              <w:tabs>
                <w:tab w:val="center" w:pos="4680"/>
              </w:tabs>
              <w:suppressAutoHyphens/>
              <w:rPr>
                <w:b/>
                <w:spacing w:val="-2"/>
              </w:rPr>
            </w:pPr>
            <w:r>
              <w:rPr>
                <w:b/>
                <w:spacing w:val="-2"/>
              </w:rPr>
              <w:t>)</w:t>
            </w:r>
          </w:p>
          <w:p w:rsidR="004C2EE3" w14:paraId="2FB33069" w14:textId="77777777">
            <w:pPr>
              <w:tabs>
                <w:tab w:val="center" w:pos="4680"/>
              </w:tabs>
              <w:suppressAutoHyphens/>
              <w:rPr>
                <w:b/>
                <w:spacing w:val="-2"/>
              </w:rPr>
            </w:pPr>
            <w:r>
              <w:rPr>
                <w:b/>
                <w:spacing w:val="-2"/>
              </w:rPr>
              <w:t>)</w:t>
            </w:r>
          </w:p>
          <w:p w:rsidR="004C2EE3" w14:paraId="0854FCC5" w14:textId="77777777">
            <w:pPr>
              <w:tabs>
                <w:tab w:val="center" w:pos="4680"/>
              </w:tabs>
              <w:suppressAutoHyphens/>
              <w:rPr>
                <w:b/>
                <w:spacing w:val="-2"/>
              </w:rPr>
            </w:pPr>
            <w:r>
              <w:rPr>
                <w:b/>
                <w:spacing w:val="-2"/>
              </w:rPr>
              <w:t>)</w:t>
            </w:r>
          </w:p>
          <w:p w:rsidR="004C2EE3" w:rsidRPr="000F1FEC" w14:paraId="3F71D620" w14:textId="77777777">
            <w:pPr>
              <w:tabs>
                <w:tab w:val="center" w:pos="4680"/>
              </w:tabs>
              <w:suppressAutoHyphens/>
              <w:rPr>
                <w:b/>
                <w:spacing w:val="-2"/>
              </w:rPr>
            </w:pPr>
            <w:r>
              <w:rPr>
                <w:b/>
                <w:spacing w:val="-2"/>
              </w:rPr>
              <w:t>)</w:t>
            </w:r>
          </w:p>
        </w:tc>
        <w:tc>
          <w:tcPr>
            <w:tcW w:w="4248" w:type="dxa"/>
          </w:tcPr>
          <w:p w:rsidR="004C2EE3" w14:paraId="0D306B2F" w14:textId="77777777">
            <w:pPr>
              <w:tabs>
                <w:tab w:val="center" w:pos="4680"/>
              </w:tabs>
              <w:suppressAutoHyphens/>
              <w:rPr>
                <w:spacing w:val="-2"/>
              </w:rPr>
            </w:pPr>
          </w:p>
          <w:p w:rsidR="004C2EE3" w14:paraId="158CB096" w14:textId="77777777">
            <w:pPr>
              <w:pStyle w:val="TOAHeading"/>
              <w:tabs>
                <w:tab w:val="center" w:pos="4680"/>
                <w:tab w:val="clear" w:pos="9360"/>
              </w:tabs>
              <w:rPr>
                <w:spacing w:val="-2"/>
              </w:rPr>
            </w:pPr>
          </w:p>
          <w:p w:rsidR="000F1FEC" w:rsidRPr="000F1FEC" w:rsidP="000F1FEC" w14:paraId="515F1B0C" w14:textId="77777777">
            <w:pPr>
              <w:pStyle w:val="TOAHeading"/>
              <w:tabs>
                <w:tab w:val="center" w:pos="4680"/>
              </w:tabs>
              <w:rPr>
                <w:spacing w:val="-2"/>
              </w:rPr>
            </w:pPr>
            <w:r w:rsidRPr="000F1FEC">
              <w:rPr>
                <w:spacing w:val="-2"/>
              </w:rPr>
              <w:t>MB Docket No. 21-</w:t>
            </w:r>
            <w:r w:rsidR="00E244B6">
              <w:rPr>
                <w:spacing w:val="-2"/>
              </w:rPr>
              <w:t>60</w:t>
            </w:r>
          </w:p>
          <w:p w:rsidR="004C2EE3" w:rsidP="000F1FEC" w14:paraId="489D69CF" w14:textId="77777777">
            <w:pPr>
              <w:tabs>
                <w:tab w:val="center" w:pos="4680"/>
              </w:tabs>
              <w:suppressAutoHyphens/>
              <w:rPr>
                <w:spacing w:val="-2"/>
              </w:rPr>
            </w:pPr>
            <w:r w:rsidRPr="000F1FEC">
              <w:rPr>
                <w:spacing w:val="-2"/>
              </w:rPr>
              <w:t>RM-</w:t>
            </w:r>
            <w:r w:rsidR="00E244B6">
              <w:rPr>
                <w:spacing w:val="-2"/>
              </w:rPr>
              <w:t>11884</w:t>
            </w:r>
          </w:p>
        </w:tc>
      </w:tr>
    </w:tbl>
    <w:p w:rsidR="004C2EE3" w:rsidP="0070224F" w14:paraId="0F3A598A" w14:textId="77777777"/>
    <w:p w:rsidR="00841AB1" w:rsidP="00F021FA" w14:paraId="4C89BEC6" w14:textId="074D3231">
      <w:pPr>
        <w:pStyle w:val="StyleBoldCentered"/>
      </w:pPr>
      <w:r>
        <w:t>report and order</w:t>
      </w:r>
    </w:p>
    <w:p w:rsidR="00127877" w:rsidP="00F021FA" w14:paraId="378B4024" w14:textId="742883B6">
      <w:pPr>
        <w:pStyle w:val="StyleBoldCentered"/>
      </w:pPr>
    </w:p>
    <w:p w:rsidR="001F012D" w:rsidP="001F012D" w14:paraId="4003FFF4" w14:textId="7742100A">
      <w:pPr>
        <w:ind w:left="3600"/>
      </w:pPr>
      <w:r>
        <w:t>(</w:t>
      </w:r>
      <w:r w:rsidRPr="00B666B7" w:rsidR="00B666B7">
        <w:rPr>
          <w:b/>
          <w:bCs/>
        </w:rPr>
        <w:t>P</w:t>
      </w:r>
      <w:r w:rsidRPr="00B666B7">
        <w:rPr>
          <w:b/>
          <w:bCs/>
        </w:rPr>
        <w:t xml:space="preserve">roceeding </w:t>
      </w:r>
      <w:r w:rsidRPr="00B666B7" w:rsidR="00B666B7">
        <w:rPr>
          <w:b/>
          <w:bCs/>
        </w:rPr>
        <w:t>T</w:t>
      </w:r>
      <w:r w:rsidRPr="00B666B7">
        <w:rPr>
          <w:b/>
          <w:bCs/>
        </w:rPr>
        <w:t>erminated</w:t>
      </w:r>
      <w:r>
        <w:t>)</w:t>
      </w:r>
    </w:p>
    <w:p w:rsidR="001F012D" w:rsidP="001F012D" w14:paraId="7BC2E9ED" w14:textId="747F0ED3">
      <w:pPr>
        <w:ind w:left="2880" w:firstLine="720"/>
      </w:pPr>
    </w:p>
    <w:p w:rsidR="004C2EE3" w14:paraId="5B68A23F" w14:textId="77777777">
      <w:pPr>
        <w:tabs>
          <w:tab w:val="left" w:pos="-720"/>
        </w:tabs>
        <w:suppressAutoHyphens/>
        <w:spacing w:line="227" w:lineRule="auto"/>
        <w:rPr>
          <w:spacing w:val="-2"/>
        </w:rPr>
      </w:pPr>
    </w:p>
    <w:p w:rsidR="004C2EE3" w:rsidP="00133F79" w14:paraId="58252F70" w14:textId="67E49402">
      <w:pPr>
        <w:tabs>
          <w:tab w:val="left" w:pos="720"/>
          <w:tab w:val="right" w:pos="9360"/>
        </w:tabs>
        <w:suppressAutoHyphens/>
        <w:spacing w:line="227" w:lineRule="auto"/>
        <w:rPr>
          <w:spacing w:val="-2"/>
        </w:rPr>
      </w:pPr>
      <w:r>
        <w:rPr>
          <w:b/>
          <w:spacing w:val="-2"/>
        </w:rPr>
        <w:t xml:space="preserve">Adopted:  </w:t>
      </w:r>
      <w:r w:rsidR="00D818DE">
        <w:rPr>
          <w:b/>
          <w:spacing w:val="-2"/>
        </w:rPr>
        <w:t>August</w:t>
      </w:r>
      <w:r w:rsidR="007307BD">
        <w:rPr>
          <w:b/>
          <w:spacing w:val="-2"/>
        </w:rPr>
        <w:t xml:space="preserve"> </w:t>
      </w:r>
      <w:r w:rsidR="00D818DE">
        <w:rPr>
          <w:b/>
          <w:spacing w:val="-2"/>
        </w:rPr>
        <w:t>23</w:t>
      </w:r>
      <w:r w:rsidR="00753D62">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818DE">
        <w:rPr>
          <w:b/>
          <w:spacing w:val="-2"/>
        </w:rPr>
        <w:t>August</w:t>
      </w:r>
      <w:r w:rsidR="007307BD">
        <w:rPr>
          <w:b/>
          <w:spacing w:val="-2"/>
        </w:rPr>
        <w:t xml:space="preserve"> </w:t>
      </w:r>
      <w:r w:rsidR="00D818DE">
        <w:rPr>
          <w:b/>
          <w:spacing w:val="-2"/>
        </w:rPr>
        <w:t>24</w:t>
      </w:r>
      <w:r w:rsidR="00753D62">
        <w:rPr>
          <w:b/>
          <w:spacing w:val="-2"/>
        </w:rPr>
        <w:t>, 2021</w:t>
      </w:r>
    </w:p>
    <w:p w:rsidR="001F012D" w14:paraId="46A9F1C2" w14:textId="77777777"/>
    <w:p w:rsidR="004C2EE3" w14:paraId="6042ECD2" w14:textId="7AEF3AA6">
      <w:pPr>
        <w:rPr>
          <w:spacing w:val="-2"/>
        </w:rPr>
      </w:pPr>
      <w:r>
        <w:t xml:space="preserve">By </w:t>
      </w:r>
      <w:r w:rsidR="004E4A22">
        <w:t>the</w:t>
      </w:r>
      <w:r w:rsidR="002A2D2E">
        <w:t xml:space="preserve"> </w:t>
      </w:r>
      <w:r w:rsidRPr="00F555E0" w:rsidR="000F1FEC">
        <w:rPr>
          <w:spacing w:val="-2"/>
        </w:rPr>
        <w:t xml:space="preserve">Chief, Video Division, Media </w:t>
      </w:r>
      <w:r w:rsidR="00105057">
        <w:t>Bureau</w:t>
      </w:r>
      <w:r>
        <w:rPr>
          <w:spacing w:val="-2"/>
        </w:rPr>
        <w:t>:</w:t>
      </w:r>
    </w:p>
    <w:p w:rsidR="00822CE0" w:rsidP="000F1FEC" w14:paraId="02841480" w14:textId="77777777">
      <w:pPr>
        <w:rPr>
          <w:spacing w:val="-2"/>
        </w:rPr>
      </w:pPr>
    </w:p>
    <w:p w:rsidR="000F1FEC" w:rsidP="00FC522F" w14:paraId="20132EAB" w14:textId="77777777">
      <w:pPr>
        <w:pStyle w:val="Heading1"/>
        <w:keepNext w:val="0"/>
        <w:suppressAutoHyphens w:val="0"/>
      </w:pPr>
      <w:r>
        <w:t>INTRODUCTION</w:t>
      </w:r>
    </w:p>
    <w:p w:rsidR="000F1FEC" w:rsidRPr="000A1733" w:rsidP="00FC522F" w14:paraId="1AF22A7F" w14:textId="5353FB7B">
      <w:pPr>
        <w:pStyle w:val="ParaNum"/>
        <w:tabs>
          <w:tab w:val="clear" w:pos="1440"/>
        </w:tabs>
        <w:rPr>
          <w:szCs w:val="22"/>
        </w:rPr>
      </w:pPr>
      <w:r w:rsidRPr="009E0FCB">
        <w:rPr>
          <w:szCs w:val="22"/>
        </w:rPr>
        <w:t>The Video Division</w:t>
      </w:r>
      <w:r w:rsidRPr="009E0FCB" w:rsidR="000C3790">
        <w:rPr>
          <w:szCs w:val="22"/>
        </w:rPr>
        <w:t>, Media Bureau</w:t>
      </w:r>
      <w:r w:rsidRPr="009E0FCB">
        <w:rPr>
          <w:szCs w:val="22"/>
        </w:rPr>
        <w:t xml:space="preserve"> (</w:t>
      </w:r>
      <w:r w:rsidRPr="009E0FCB" w:rsidR="000C3790">
        <w:rPr>
          <w:szCs w:val="22"/>
        </w:rPr>
        <w:t>Bureau</w:t>
      </w:r>
      <w:r w:rsidRPr="009E0FCB">
        <w:rPr>
          <w:szCs w:val="22"/>
        </w:rPr>
        <w:t>)</w:t>
      </w:r>
      <w:r w:rsidRPr="009E0FCB">
        <w:rPr>
          <w:spacing w:val="-3"/>
          <w:szCs w:val="22"/>
        </w:rPr>
        <w:t xml:space="preserve"> has before it a </w:t>
      </w:r>
      <w:r w:rsidRPr="009E0FCB" w:rsidR="000C3790">
        <w:rPr>
          <w:spacing w:val="-3"/>
          <w:szCs w:val="22"/>
        </w:rPr>
        <w:t>Notice of Proposed Rulemaking</w:t>
      </w:r>
      <w:r>
        <w:rPr>
          <w:rStyle w:val="FootnoteReference"/>
          <w:spacing w:val="-3"/>
          <w:sz w:val="22"/>
          <w:szCs w:val="22"/>
        </w:rPr>
        <w:footnoteReference w:id="3"/>
      </w:r>
      <w:r w:rsidRPr="009E0FCB" w:rsidR="001610B7">
        <w:rPr>
          <w:spacing w:val="-3"/>
          <w:szCs w:val="22"/>
        </w:rPr>
        <w:t xml:space="preserve"> issued in response to a P</w:t>
      </w:r>
      <w:r w:rsidRPr="009E0FCB">
        <w:rPr>
          <w:spacing w:val="-3"/>
          <w:szCs w:val="22"/>
        </w:rPr>
        <w:t xml:space="preserve">etition for </w:t>
      </w:r>
      <w:r w:rsidRPr="009E0FCB" w:rsidR="001610B7">
        <w:rPr>
          <w:spacing w:val="-3"/>
          <w:szCs w:val="22"/>
        </w:rPr>
        <w:t>R</w:t>
      </w:r>
      <w:r w:rsidRPr="009E0FCB">
        <w:rPr>
          <w:spacing w:val="-3"/>
          <w:szCs w:val="22"/>
        </w:rPr>
        <w:t>ulemaking filed by Gray Television Licensee, LLC (Gray or Licensee), the licensee of KSNB-TV, channel 4 (NBC/</w:t>
      </w:r>
      <w:r w:rsidRPr="009E0FCB">
        <w:rPr>
          <w:spacing w:val="-3"/>
          <w:szCs w:val="22"/>
        </w:rPr>
        <w:t>MyNetwork</w:t>
      </w:r>
      <w:r w:rsidRPr="009E0FCB">
        <w:rPr>
          <w:spacing w:val="-3"/>
          <w:szCs w:val="22"/>
        </w:rPr>
        <w:t>), Superior, Nebraska</w:t>
      </w:r>
      <w:r w:rsidRPr="009E0FCB" w:rsidR="001F32E5">
        <w:rPr>
          <w:spacing w:val="-3"/>
          <w:szCs w:val="22"/>
        </w:rPr>
        <w:t xml:space="preserve"> (Superior)</w:t>
      </w:r>
      <w:r w:rsidRPr="009E0FCB">
        <w:rPr>
          <w:spacing w:val="-3"/>
          <w:szCs w:val="22"/>
        </w:rPr>
        <w:t xml:space="preserve">. </w:t>
      </w:r>
      <w:r w:rsidRPr="009E0FCB" w:rsidR="00DA7F8C">
        <w:rPr>
          <w:spacing w:val="-3"/>
          <w:szCs w:val="22"/>
        </w:rPr>
        <w:t xml:space="preserve"> </w:t>
      </w:r>
      <w:r w:rsidRPr="009E0FCB">
        <w:rPr>
          <w:spacing w:val="-3"/>
          <w:szCs w:val="22"/>
        </w:rPr>
        <w:t xml:space="preserve">Gray </w:t>
      </w:r>
      <w:r w:rsidRPr="009E0FCB" w:rsidR="001610B7">
        <w:rPr>
          <w:spacing w:val="-3"/>
          <w:szCs w:val="22"/>
        </w:rPr>
        <w:t xml:space="preserve">has </w:t>
      </w:r>
      <w:r w:rsidRPr="009E0FCB">
        <w:rPr>
          <w:spacing w:val="-3"/>
          <w:szCs w:val="22"/>
        </w:rPr>
        <w:t>request</w:t>
      </w:r>
      <w:r w:rsidRPr="009E0FCB" w:rsidR="001610B7">
        <w:rPr>
          <w:spacing w:val="-3"/>
          <w:szCs w:val="22"/>
        </w:rPr>
        <w:t>ed</w:t>
      </w:r>
      <w:r w:rsidRPr="009E0FCB">
        <w:rPr>
          <w:spacing w:val="-3"/>
          <w:szCs w:val="22"/>
        </w:rPr>
        <w:t xml:space="preserve"> that the Commission (1) delete channel 4 from Superior and allot it to York, Nebraska</w:t>
      </w:r>
      <w:r w:rsidRPr="009E0FCB" w:rsidR="001F32E5">
        <w:rPr>
          <w:spacing w:val="-3"/>
          <w:szCs w:val="22"/>
        </w:rPr>
        <w:t xml:space="preserve"> (York)</w:t>
      </w:r>
      <w:r w:rsidRPr="009E0FCB">
        <w:rPr>
          <w:spacing w:val="-3"/>
          <w:szCs w:val="22"/>
        </w:rPr>
        <w:t xml:space="preserve"> in the DTV Table of Allotments</w:t>
      </w:r>
      <w:r>
        <w:rPr>
          <w:rStyle w:val="FootnoteReference"/>
          <w:spacing w:val="-3"/>
          <w:sz w:val="22"/>
          <w:szCs w:val="22"/>
        </w:rPr>
        <w:footnoteReference w:id="4"/>
      </w:r>
      <w:r w:rsidRPr="009E0FCB">
        <w:rPr>
          <w:spacing w:val="-3"/>
          <w:szCs w:val="22"/>
        </w:rPr>
        <w:t xml:space="preserve"> and (2) substitute channel 24 for channel 4 at York in the Table consistent with the technical parameters set forth in </w:t>
      </w:r>
      <w:r w:rsidRPr="009E0FCB" w:rsidR="00C72C40">
        <w:rPr>
          <w:spacing w:val="-3"/>
          <w:szCs w:val="22"/>
        </w:rPr>
        <w:t>its</w:t>
      </w:r>
      <w:r w:rsidRPr="009E0FCB">
        <w:rPr>
          <w:spacing w:val="-3"/>
          <w:szCs w:val="22"/>
        </w:rPr>
        <w:t xml:space="preserve"> Amended Petition.</w:t>
      </w:r>
      <w:r w:rsidRPr="00B27C44" w:rsidR="00CD30C3">
        <w:rPr>
          <w:rStyle w:val="FootnoteReference"/>
          <w:spacing w:val="-3"/>
          <w:sz w:val="22"/>
          <w:szCs w:val="22"/>
        </w:rPr>
        <w:t xml:space="preserve"> </w:t>
      </w:r>
      <w:r>
        <w:rPr>
          <w:rStyle w:val="FootnoteReference"/>
          <w:spacing w:val="-3"/>
          <w:sz w:val="22"/>
          <w:szCs w:val="22"/>
        </w:rPr>
        <w:footnoteReference w:id="5"/>
      </w:r>
      <w:r w:rsidRPr="009E0FCB">
        <w:rPr>
          <w:spacing w:val="-3"/>
          <w:szCs w:val="22"/>
        </w:rPr>
        <w:t xml:space="preserve"> </w:t>
      </w:r>
      <w:r w:rsidRPr="005D7047">
        <w:rPr>
          <w:szCs w:val="22"/>
        </w:rPr>
        <w:t xml:space="preserve"> As discussed below, because Gray’s proposal that the </w:t>
      </w:r>
      <w:r w:rsidRPr="005D7047" w:rsidR="002849EB">
        <w:rPr>
          <w:szCs w:val="22"/>
        </w:rPr>
        <w:t xml:space="preserve">Bureau </w:t>
      </w:r>
      <w:r w:rsidRPr="005D7047">
        <w:rPr>
          <w:szCs w:val="22"/>
        </w:rPr>
        <w:t>allot channel 24 to York is not mutually exclusive with its existing channel 4 allotment at Superior, and would result in removal of Superior’s sole local transmission outlet,</w:t>
      </w:r>
      <w:r w:rsidRPr="000A1733" w:rsidR="0087459D">
        <w:rPr>
          <w:szCs w:val="22"/>
        </w:rPr>
        <w:t xml:space="preserve"> the </w:t>
      </w:r>
      <w:r w:rsidRPr="000A1733" w:rsidR="0087459D">
        <w:rPr>
          <w:i/>
          <w:iCs/>
          <w:szCs w:val="22"/>
        </w:rPr>
        <w:t>NPRM</w:t>
      </w:r>
      <w:r w:rsidRPr="000A1733" w:rsidR="0087459D">
        <w:rPr>
          <w:szCs w:val="22"/>
        </w:rPr>
        <w:t xml:space="preserve"> sought comment on whether to waive</w:t>
      </w:r>
      <w:r w:rsidRPr="000C5835">
        <w:rPr>
          <w:szCs w:val="22"/>
        </w:rPr>
        <w:t xml:space="preserve"> section 1.420(</w:t>
      </w:r>
      <w:r w:rsidRPr="000C5835">
        <w:rPr>
          <w:szCs w:val="22"/>
        </w:rPr>
        <w:t>i</w:t>
      </w:r>
      <w:r w:rsidRPr="000C5835">
        <w:rPr>
          <w:szCs w:val="22"/>
        </w:rPr>
        <w:t>) of the Commission’s rules</w:t>
      </w:r>
      <w:r w:rsidRPr="000C5835" w:rsidR="00A0113B">
        <w:rPr>
          <w:szCs w:val="22"/>
        </w:rPr>
        <w:t xml:space="preserve"> (rules)</w:t>
      </w:r>
      <w:r w:rsidRPr="00B27C44" w:rsidR="00383C61">
        <w:rPr>
          <w:szCs w:val="22"/>
        </w:rPr>
        <w:t xml:space="preserve"> regarding mutual exclusivity,</w:t>
      </w:r>
      <w:r>
        <w:rPr>
          <w:rStyle w:val="FootnoteReference"/>
          <w:sz w:val="22"/>
          <w:szCs w:val="22"/>
        </w:rPr>
        <w:footnoteReference w:id="6"/>
      </w:r>
      <w:r w:rsidRPr="009E0FCB">
        <w:rPr>
          <w:szCs w:val="22"/>
        </w:rPr>
        <w:t xml:space="preserve"> and </w:t>
      </w:r>
      <w:r w:rsidRPr="005D7047" w:rsidR="00A0113B">
        <w:rPr>
          <w:szCs w:val="22"/>
        </w:rPr>
        <w:t>the Commission’s allotment</w:t>
      </w:r>
      <w:r w:rsidRPr="005D7047">
        <w:rPr>
          <w:szCs w:val="22"/>
        </w:rPr>
        <w:t xml:space="preserve"> polic</w:t>
      </w:r>
      <w:r w:rsidRPr="005D7047" w:rsidR="00A0113B">
        <w:rPr>
          <w:szCs w:val="22"/>
        </w:rPr>
        <w:t>y disfavoring the removal of a community’s sole first local service.</w:t>
      </w:r>
      <w:r w:rsidRPr="000A1733">
        <w:rPr>
          <w:szCs w:val="22"/>
        </w:rPr>
        <w:t xml:space="preserve"> </w:t>
      </w:r>
    </w:p>
    <w:p w:rsidR="0087459D" w:rsidRPr="005D7047" w:rsidP="00FC522F" w14:paraId="49CEA13F" w14:textId="025FD2B1">
      <w:pPr>
        <w:pStyle w:val="ParaNum"/>
        <w:tabs>
          <w:tab w:val="clear" w:pos="1440"/>
        </w:tabs>
        <w:rPr>
          <w:szCs w:val="22"/>
        </w:rPr>
      </w:pPr>
      <w:r w:rsidRPr="000A1733">
        <w:rPr>
          <w:szCs w:val="22"/>
        </w:rPr>
        <w:t xml:space="preserve">Gray filed comments in </w:t>
      </w:r>
      <w:r w:rsidRPr="000C5835">
        <w:rPr>
          <w:szCs w:val="22"/>
        </w:rPr>
        <w:t>support of the petition, as required by the rules,</w:t>
      </w:r>
      <w:r>
        <w:rPr>
          <w:rStyle w:val="FootnoteReference"/>
          <w:sz w:val="22"/>
          <w:szCs w:val="22"/>
        </w:rPr>
        <w:footnoteReference w:id="7"/>
      </w:r>
      <w:r w:rsidRPr="009E0FCB">
        <w:rPr>
          <w:szCs w:val="22"/>
        </w:rPr>
        <w:t xml:space="preserve"> reaffirming its commitment to file for channel 24 at York, Nebraska.  Gray subsequent</w:t>
      </w:r>
      <w:r w:rsidRPr="005D7047" w:rsidR="00CD30C3">
        <w:rPr>
          <w:szCs w:val="22"/>
        </w:rPr>
        <w:t>ly</w:t>
      </w:r>
      <w:r w:rsidRPr="005D7047">
        <w:rPr>
          <w:szCs w:val="22"/>
        </w:rPr>
        <w:t xml:space="preserve"> filed </w:t>
      </w:r>
      <w:r w:rsidRPr="005D7047" w:rsidR="00DA7F8C">
        <w:rPr>
          <w:szCs w:val="22"/>
        </w:rPr>
        <w:t>A</w:t>
      </w:r>
      <w:r w:rsidRPr="005D7047">
        <w:rPr>
          <w:szCs w:val="22"/>
        </w:rPr>
        <w:t xml:space="preserve">mended </w:t>
      </w:r>
      <w:r w:rsidRPr="000A1733" w:rsidR="00DA7F8C">
        <w:rPr>
          <w:szCs w:val="22"/>
        </w:rPr>
        <w:t>C</w:t>
      </w:r>
      <w:r w:rsidRPr="000A1733">
        <w:rPr>
          <w:szCs w:val="22"/>
        </w:rPr>
        <w:t xml:space="preserve">omments at the Bureau’s request to </w:t>
      </w:r>
      <w:r w:rsidRPr="000A1733">
        <w:rPr>
          <w:szCs w:val="22"/>
        </w:rPr>
        <w:t xml:space="preserve">more fully </w:t>
      </w:r>
      <w:r w:rsidRPr="000A1733" w:rsidR="00CD30C3">
        <w:rPr>
          <w:szCs w:val="22"/>
        </w:rPr>
        <w:t xml:space="preserve">justify </w:t>
      </w:r>
      <w:r w:rsidRPr="000C5835" w:rsidR="00DA7F8C">
        <w:rPr>
          <w:szCs w:val="22"/>
        </w:rPr>
        <w:t>Gray’s</w:t>
      </w:r>
      <w:r w:rsidRPr="000C5835" w:rsidR="002849EB">
        <w:rPr>
          <w:szCs w:val="22"/>
        </w:rPr>
        <w:t xml:space="preserve"> waiver </w:t>
      </w:r>
      <w:r w:rsidRPr="00B27C44" w:rsidR="00CD30C3">
        <w:rPr>
          <w:szCs w:val="22"/>
        </w:rPr>
        <w:t>requests</w:t>
      </w:r>
      <w:r w:rsidRPr="00B27C44" w:rsidR="002849EB">
        <w:rPr>
          <w:szCs w:val="22"/>
        </w:rPr>
        <w:t>.</w:t>
      </w:r>
      <w:r>
        <w:rPr>
          <w:rStyle w:val="FootnoteReference"/>
          <w:sz w:val="22"/>
          <w:szCs w:val="22"/>
        </w:rPr>
        <w:footnoteReference w:id="8"/>
      </w:r>
      <w:r w:rsidRPr="009E0FCB" w:rsidR="002849EB">
        <w:rPr>
          <w:szCs w:val="22"/>
        </w:rPr>
        <w:t xml:space="preserve">  For the reasons set forth belo</w:t>
      </w:r>
      <w:r w:rsidRPr="005D7047" w:rsidR="002849EB">
        <w:rPr>
          <w:szCs w:val="22"/>
        </w:rPr>
        <w:t xml:space="preserve">w we </w:t>
      </w:r>
      <w:r w:rsidRPr="005D7047" w:rsidR="002849EB">
        <w:rPr>
          <w:szCs w:val="22"/>
        </w:rPr>
        <w:t xml:space="preserve">will grant the requested waivers and </w:t>
      </w:r>
      <w:r w:rsidRPr="009E0FCB" w:rsidR="002849EB">
        <w:rPr>
          <w:spacing w:val="-3"/>
          <w:szCs w:val="22"/>
        </w:rPr>
        <w:t>(1) delete channel 4 from Superior and allot it to York, Nebraska, in the DTV Table of Allotments and (2) substitute channel 24 for channel 4 at York in the Table consistent with the technical parameters set forth in the Amended Petition.</w:t>
      </w:r>
    </w:p>
    <w:p w:rsidR="000F1FEC" w:rsidRPr="00B27C44" w:rsidP="00FC522F" w14:paraId="5755027B" w14:textId="77777777">
      <w:pPr>
        <w:pStyle w:val="Heading1"/>
        <w:keepNext w:val="0"/>
        <w:suppressAutoHyphens w:val="0"/>
        <w:rPr>
          <w:rFonts w:ascii="Times New Roman" w:hAnsi="Times New Roman"/>
          <w:szCs w:val="22"/>
        </w:rPr>
      </w:pPr>
      <w:r w:rsidRPr="00B27C44">
        <w:rPr>
          <w:rFonts w:ascii="Times New Roman" w:hAnsi="Times New Roman"/>
          <w:szCs w:val="22"/>
        </w:rPr>
        <w:t>BACKGROUND</w:t>
      </w:r>
    </w:p>
    <w:p w:rsidR="000F1FEC" w:rsidRPr="005D7047" w:rsidP="00FC522F" w14:paraId="734D194C" w14:textId="172AD645">
      <w:pPr>
        <w:pStyle w:val="ParaNum"/>
        <w:rPr>
          <w:szCs w:val="22"/>
        </w:rPr>
      </w:pPr>
      <w:bookmarkStart w:id="0" w:name="_Hlk501539640"/>
      <w:r w:rsidRPr="009E0FCB">
        <w:rPr>
          <w:szCs w:val="22"/>
        </w:rPr>
        <w:t>In addition to KSNB-TV, Gray is the licensee of KOLN</w:t>
      </w:r>
      <w:r w:rsidR="00B27C44">
        <w:rPr>
          <w:szCs w:val="22"/>
        </w:rPr>
        <w:t>,</w:t>
      </w:r>
      <w:r w:rsidRPr="009E0FCB">
        <w:rPr>
          <w:szCs w:val="22"/>
        </w:rPr>
        <w:t xml:space="preserve"> </w:t>
      </w:r>
      <w:r w:rsidRPr="00B27C44">
        <w:rPr>
          <w:szCs w:val="22"/>
        </w:rPr>
        <w:t>Lincoln, Nebraska</w:t>
      </w:r>
      <w:r w:rsidRPr="00B27C44" w:rsidR="00C25D55">
        <w:rPr>
          <w:szCs w:val="22"/>
        </w:rPr>
        <w:t xml:space="preserve"> (CBS)</w:t>
      </w:r>
      <w:r w:rsidRPr="00B27C44">
        <w:rPr>
          <w:szCs w:val="22"/>
        </w:rPr>
        <w:t xml:space="preserve"> and </w:t>
      </w:r>
      <w:r w:rsidRPr="00B27C44" w:rsidR="00511F5F">
        <w:rPr>
          <w:szCs w:val="22"/>
        </w:rPr>
        <w:t>explained</w:t>
      </w:r>
      <w:r w:rsidRPr="00B27C44">
        <w:rPr>
          <w:szCs w:val="22"/>
        </w:rPr>
        <w:t xml:space="preserve"> that its rulemaking petition “is part of a coordinated effort by Gray to improve service to viewers in the Lincoln &amp; Hastings-Kearney designated market area . . .</w:t>
      </w:r>
      <w:r w:rsidRPr="00B27C44" w:rsidR="00076244">
        <w:rPr>
          <w:szCs w:val="22"/>
        </w:rPr>
        <w:t xml:space="preserve"> </w:t>
      </w:r>
      <w:r w:rsidRPr="00B27C44">
        <w:rPr>
          <w:szCs w:val="22"/>
        </w:rPr>
        <w:t>.”</w:t>
      </w:r>
      <w:r>
        <w:rPr>
          <w:rStyle w:val="FootnoteReference"/>
          <w:sz w:val="22"/>
          <w:szCs w:val="22"/>
        </w:rPr>
        <w:footnoteReference w:id="9"/>
      </w:r>
      <w:r w:rsidRPr="009E0FCB">
        <w:rPr>
          <w:szCs w:val="22"/>
        </w:rPr>
        <w:t xml:space="preserve">  KOLN’s </w:t>
      </w:r>
      <w:r w:rsidRPr="005D7047" w:rsidR="00AD0236">
        <w:rPr>
          <w:szCs w:val="22"/>
        </w:rPr>
        <w:t>tower collapsed</w:t>
      </w:r>
      <w:r w:rsidRPr="005D7047" w:rsidR="009066E3">
        <w:rPr>
          <w:szCs w:val="22"/>
        </w:rPr>
        <w:t xml:space="preserve"> </w:t>
      </w:r>
      <w:r w:rsidRPr="005D7047" w:rsidR="008D75CE">
        <w:rPr>
          <w:szCs w:val="22"/>
        </w:rPr>
        <w:t xml:space="preserve">in 2020 </w:t>
      </w:r>
      <w:r w:rsidRPr="000A1733">
        <w:rPr>
          <w:szCs w:val="22"/>
        </w:rPr>
        <w:t xml:space="preserve">and according to Gray, given “the imminent failure of KSNB’s existing technical facility,” rebuilding KSNB-TV on channel 24 at the new KOLN tower </w:t>
      </w:r>
      <w:r w:rsidRPr="000C5835" w:rsidR="00AD0236">
        <w:rPr>
          <w:szCs w:val="22"/>
        </w:rPr>
        <w:t>would</w:t>
      </w:r>
      <w:r w:rsidRPr="000C5835">
        <w:rPr>
          <w:szCs w:val="22"/>
        </w:rPr>
        <w:t xml:space="preserve"> resolve VHF-related reception issues in certain areas of KSNB-TV’s current predicted service area, </w:t>
      </w:r>
      <w:r w:rsidRPr="00B27C44" w:rsidR="00AD0236">
        <w:rPr>
          <w:szCs w:val="22"/>
        </w:rPr>
        <w:t>and</w:t>
      </w:r>
      <w:r w:rsidRPr="00B27C44">
        <w:rPr>
          <w:szCs w:val="22"/>
        </w:rPr>
        <w:t xml:space="preserve"> save several hundred thousand dollars in construction costs.</w:t>
      </w:r>
      <w:r>
        <w:rPr>
          <w:rStyle w:val="FootnoteReference"/>
          <w:sz w:val="22"/>
          <w:szCs w:val="22"/>
        </w:rPr>
        <w:footnoteReference w:id="10"/>
      </w:r>
      <w:r w:rsidRPr="009E0FCB">
        <w:rPr>
          <w:szCs w:val="22"/>
        </w:rPr>
        <w:t xml:space="preserve"> </w:t>
      </w:r>
    </w:p>
    <w:p w:rsidR="00EA7DF2" w:rsidRPr="009E0FCB" w:rsidP="00FC522F" w14:paraId="0DAED325" w14:textId="0B8397C2">
      <w:pPr>
        <w:pStyle w:val="ParaNum"/>
        <w:rPr>
          <w:szCs w:val="22"/>
        </w:rPr>
      </w:pPr>
      <w:r w:rsidRPr="005D7047">
        <w:rPr>
          <w:i/>
          <w:iCs/>
          <w:szCs w:val="22"/>
        </w:rPr>
        <w:t>Proposed Change of Community of License</w:t>
      </w:r>
      <w:r w:rsidRPr="005D7047">
        <w:rPr>
          <w:szCs w:val="22"/>
        </w:rPr>
        <w:t>.  A change in community of license for KSNB-TV is necessary because Gray’s proposed operation on channel 24 at the authorized KOLN tower (a relocation of 23.5 km) cannot provide the required 48 dBu principal city signal to Superior.</w:t>
      </w:r>
      <w:r>
        <w:rPr>
          <w:rStyle w:val="FootnoteReference"/>
          <w:sz w:val="22"/>
          <w:szCs w:val="22"/>
        </w:rPr>
        <w:footnoteReference w:id="11"/>
      </w:r>
      <w:r w:rsidRPr="009E0FCB">
        <w:rPr>
          <w:szCs w:val="22"/>
        </w:rPr>
        <w:t xml:space="preserve">  Gray states that York</w:t>
      </w:r>
      <w:r w:rsidRPr="005D7047" w:rsidR="00AE68EF">
        <w:rPr>
          <w:szCs w:val="22"/>
        </w:rPr>
        <w:t>, which currently has no local television allotment, qualifie</w:t>
      </w:r>
      <w:r w:rsidRPr="005D7047" w:rsidR="004A409B">
        <w:rPr>
          <w:szCs w:val="22"/>
        </w:rPr>
        <w:t>s</w:t>
      </w:r>
      <w:r w:rsidRPr="005D7047" w:rsidR="00AE68EF">
        <w:rPr>
          <w:szCs w:val="22"/>
        </w:rPr>
        <w:t xml:space="preserve"> as a community for allotment purposes.</w:t>
      </w:r>
      <w:r>
        <w:rPr>
          <w:rStyle w:val="FootnoteReference"/>
          <w:sz w:val="22"/>
          <w:szCs w:val="22"/>
        </w:rPr>
        <w:footnoteReference w:id="12"/>
      </w:r>
      <w:r w:rsidRPr="009E0FCB">
        <w:rPr>
          <w:szCs w:val="22"/>
        </w:rPr>
        <w:t xml:space="preserve">  </w:t>
      </w:r>
      <w:r w:rsidRPr="005D7047" w:rsidR="007342E7">
        <w:rPr>
          <w:szCs w:val="22"/>
        </w:rPr>
        <w:t>Gray also asserted that its proposed change of community of license represented a preferential arrangement of allotments under the Commission’s second allotment priority because it would result in a first local television station for York, and that while Superior would lose its only local television station, York is more deserving of an allotment.</w:t>
      </w:r>
      <w:r>
        <w:rPr>
          <w:rStyle w:val="FootnoteReference"/>
          <w:sz w:val="22"/>
          <w:szCs w:val="22"/>
        </w:rPr>
        <w:footnoteReference w:id="13"/>
      </w:r>
      <w:r w:rsidRPr="009E0FCB" w:rsidR="007342E7">
        <w:rPr>
          <w:szCs w:val="22"/>
        </w:rPr>
        <w:t xml:space="preserve"> </w:t>
      </w:r>
      <w:r w:rsidRPr="005D7047">
        <w:rPr>
          <w:szCs w:val="22"/>
        </w:rPr>
        <w:t xml:space="preserve"> </w:t>
      </w:r>
      <w:r w:rsidRPr="005D7047" w:rsidR="00A957B1">
        <w:rPr>
          <w:szCs w:val="22"/>
        </w:rPr>
        <w:t>Finally, while Gray’s proposal to operate on channel 24 at York is not mutually exclusive with its current operations on channel 4 at Superior, which is required under section 1.420 of the rules</w:t>
      </w:r>
      <w:r w:rsidRPr="000A1733" w:rsidR="00336F87">
        <w:rPr>
          <w:szCs w:val="22"/>
        </w:rPr>
        <w:t xml:space="preserve"> </w:t>
      </w:r>
      <w:r w:rsidRPr="000A1733" w:rsidR="00DA7F8C">
        <w:rPr>
          <w:szCs w:val="22"/>
        </w:rPr>
        <w:t xml:space="preserve">in order </w:t>
      </w:r>
      <w:r w:rsidRPr="000A1733" w:rsidR="00336F87">
        <w:rPr>
          <w:szCs w:val="22"/>
        </w:rPr>
        <w:t>for a proposed community of license change to be pro</w:t>
      </w:r>
      <w:r w:rsidRPr="000C5835" w:rsidR="00336F87">
        <w:rPr>
          <w:szCs w:val="22"/>
        </w:rPr>
        <w:t>tected from competi</w:t>
      </w:r>
      <w:r w:rsidRPr="000C5835" w:rsidR="00DA7F8C">
        <w:rPr>
          <w:szCs w:val="22"/>
        </w:rPr>
        <w:t>ng</w:t>
      </w:r>
      <w:r w:rsidRPr="00B27C44" w:rsidR="00336F87">
        <w:rPr>
          <w:szCs w:val="22"/>
        </w:rPr>
        <w:t xml:space="preserve"> expressions of interest</w:t>
      </w:r>
      <w:r w:rsidRPr="00B27C44" w:rsidR="00A957B1">
        <w:rPr>
          <w:szCs w:val="22"/>
        </w:rPr>
        <w:t>,</w:t>
      </w:r>
      <w:r w:rsidRPr="00B27C44" w:rsidR="007342E7">
        <w:rPr>
          <w:szCs w:val="22"/>
        </w:rPr>
        <w:t xml:space="preserve"> </w:t>
      </w:r>
      <w:r w:rsidRPr="00B27C44" w:rsidR="00A957B1">
        <w:rPr>
          <w:szCs w:val="22"/>
        </w:rPr>
        <w:t>Gray demonstrated that there were numerous channels available for future allotments in and around Superior.</w:t>
      </w:r>
      <w:r>
        <w:rPr>
          <w:rStyle w:val="FootnoteReference"/>
          <w:sz w:val="22"/>
          <w:szCs w:val="22"/>
        </w:rPr>
        <w:footnoteReference w:id="14"/>
      </w:r>
    </w:p>
    <w:p w:rsidR="000F1FEC" w:rsidRPr="00B63F6E" w:rsidP="00FC522F" w14:paraId="2BC034FF" w14:textId="0826F0C4">
      <w:pPr>
        <w:pStyle w:val="ParaNum"/>
        <w:widowControl/>
        <w:rPr>
          <w:szCs w:val="22"/>
        </w:rPr>
      </w:pPr>
      <w:r w:rsidRPr="005D7047">
        <w:rPr>
          <w:szCs w:val="22"/>
        </w:rPr>
        <w:t>In its Amended Comments, Gray asserts again that substituting channel 24 at York</w:t>
      </w:r>
      <w:r w:rsidRPr="005D7047" w:rsidR="0006174D">
        <w:rPr>
          <w:szCs w:val="22"/>
        </w:rPr>
        <w:t xml:space="preserve"> for channel 4 at Superior would serve the public interest in that it would resolve significant over the air reception problems in KSNB</w:t>
      </w:r>
      <w:r w:rsidRPr="005D7047" w:rsidR="00DA7F8C">
        <w:rPr>
          <w:szCs w:val="22"/>
        </w:rPr>
        <w:t>-TV</w:t>
      </w:r>
      <w:r w:rsidRPr="000A1733" w:rsidR="0006174D">
        <w:rPr>
          <w:szCs w:val="22"/>
        </w:rPr>
        <w:t xml:space="preserve">’s current </w:t>
      </w:r>
      <w:r w:rsidRPr="000A1733" w:rsidR="00A957B1">
        <w:rPr>
          <w:szCs w:val="22"/>
        </w:rPr>
        <w:t xml:space="preserve">service </w:t>
      </w:r>
      <w:r w:rsidRPr="000A1733" w:rsidR="0006174D">
        <w:rPr>
          <w:szCs w:val="22"/>
        </w:rPr>
        <w:t>area.</w:t>
      </w:r>
      <w:r>
        <w:rPr>
          <w:rStyle w:val="FootnoteReference"/>
          <w:sz w:val="22"/>
          <w:szCs w:val="22"/>
        </w:rPr>
        <w:footnoteReference w:id="15"/>
      </w:r>
      <w:r w:rsidRPr="009E0FCB" w:rsidR="0006174D">
        <w:rPr>
          <w:szCs w:val="22"/>
        </w:rPr>
        <w:t xml:space="preserve">  </w:t>
      </w:r>
      <w:r w:rsidRPr="00B27C44" w:rsidR="00782041">
        <w:rPr>
          <w:szCs w:val="22"/>
        </w:rPr>
        <w:t xml:space="preserve"> Gray explains that given the known problems with low VHF channel reception and KSNB</w:t>
      </w:r>
      <w:r w:rsidRPr="00B27C44" w:rsidR="00DA7F8C">
        <w:rPr>
          <w:szCs w:val="22"/>
        </w:rPr>
        <w:t>-TV</w:t>
      </w:r>
      <w:r w:rsidRPr="00B27C44" w:rsidR="00782041">
        <w:rPr>
          <w:szCs w:val="22"/>
        </w:rPr>
        <w:t>’s current substandard facilities, it does not place a reliable over-the-air signal to the residents of Superior, who receive service from four other stations and will receive better service from KSNB</w:t>
      </w:r>
      <w:r w:rsidRPr="00B27C44" w:rsidR="00DA7F8C">
        <w:rPr>
          <w:szCs w:val="22"/>
        </w:rPr>
        <w:t>-TV</w:t>
      </w:r>
      <w:r w:rsidRPr="00B27C44" w:rsidR="00782041">
        <w:rPr>
          <w:szCs w:val="22"/>
        </w:rPr>
        <w:t xml:space="preserve"> and KOLN as a result of the technical changes.</w:t>
      </w:r>
      <w:r>
        <w:rPr>
          <w:rStyle w:val="FootnoteReference"/>
          <w:sz w:val="22"/>
          <w:szCs w:val="22"/>
        </w:rPr>
        <w:footnoteReference w:id="16"/>
      </w:r>
      <w:r w:rsidRPr="009E0FCB" w:rsidR="00336F87">
        <w:rPr>
          <w:szCs w:val="22"/>
        </w:rPr>
        <w:t xml:space="preserve">  </w:t>
      </w:r>
      <w:r w:rsidRPr="005D7047" w:rsidR="001F32E5">
        <w:rPr>
          <w:szCs w:val="22"/>
        </w:rPr>
        <w:t>In addition, Gray states that as the larger community York is more deserving of a first local channel.</w:t>
      </w:r>
      <w:r>
        <w:rPr>
          <w:rStyle w:val="FootnoteReference"/>
          <w:sz w:val="22"/>
          <w:szCs w:val="22"/>
        </w:rPr>
        <w:footnoteReference w:id="17"/>
      </w:r>
      <w:r w:rsidRPr="009E0FCB" w:rsidR="001F32E5">
        <w:rPr>
          <w:szCs w:val="22"/>
        </w:rPr>
        <w:t xml:space="preserve">  </w:t>
      </w:r>
      <w:r w:rsidRPr="00B63F6E" w:rsidR="00336F87">
        <w:rPr>
          <w:szCs w:val="22"/>
        </w:rPr>
        <w:t xml:space="preserve">Finally, </w:t>
      </w:r>
      <w:r w:rsidRPr="005D7047" w:rsidR="00336F87">
        <w:rPr>
          <w:szCs w:val="22"/>
        </w:rPr>
        <w:t xml:space="preserve">Gray </w:t>
      </w:r>
      <w:r w:rsidRPr="005D7047" w:rsidR="00336F87">
        <w:rPr>
          <w:szCs w:val="22"/>
        </w:rPr>
        <w:t xml:space="preserve">noted again that </w:t>
      </w:r>
      <w:r w:rsidR="00252AEC">
        <w:rPr>
          <w:szCs w:val="22"/>
        </w:rPr>
        <w:t xml:space="preserve">there </w:t>
      </w:r>
      <w:r w:rsidRPr="005D7047" w:rsidR="00336F87">
        <w:rPr>
          <w:szCs w:val="22"/>
        </w:rPr>
        <w:t>were numerous VHF and UHF channels available</w:t>
      </w:r>
      <w:r w:rsidRPr="000A1733" w:rsidR="00C61F79">
        <w:rPr>
          <w:szCs w:val="22"/>
        </w:rPr>
        <w:t xml:space="preserve"> for future allotment in the Superior/York/Lincoln, Nebraska area</w:t>
      </w:r>
      <w:r w:rsidRPr="000A1733" w:rsidR="00336F87">
        <w:rPr>
          <w:szCs w:val="22"/>
        </w:rPr>
        <w:t>.</w:t>
      </w:r>
      <w:r>
        <w:rPr>
          <w:rStyle w:val="FootnoteReference"/>
          <w:sz w:val="22"/>
          <w:szCs w:val="22"/>
        </w:rPr>
        <w:footnoteReference w:id="18"/>
      </w:r>
      <w:r w:rsidRPr="009E0FCB" w:rsidR="00C1749C">
        <w:rPr>
          <w:szCs w:val="22"/>
        </w:rPr>
        <w:t xml:space="preserve"> </w:t>
      </w:r>
    </w:p>
    <w:p w:rsidR="000F1FEC" w:rsidRPr="00B63F6E" w:rsidP="00FC522F" w14:paraId="07BDF5AE" w14:textId="4227A527">
      <w:pPr>
        <w:pStyle w:val="ParaNum"/>
        <w:tabs>
          <w:tab w:val="num" w:pos="1080"/>
          <w:tab w:val="clear" w:pos="1440"/>
        </w:tabs>
        <w:rPr>
          <w:szCs w:val="22"/>
        </w:rPr>
      </w:pPr>
      <w:r w:rsidRPr="009E0FCB">
        <w:rPr>
          <w:i/>
          <w:iCs/>
          <w:szCs w:val="22"/>
        </w:rPr>
        <w:t xml:space="preserve">   Proposed Channel Substitution</w:t>
      </w:r>
      <w:r w:rsidRPr="009E0FCB">
        <w:rPr>
          <w:szCs w:val="22"/>
        </w:rPr>
        <w:t xml:space="preserve">.  </w:t>
      </w:r>
      <w:r w:rsidRPr="009E0FCB">
        <w:rPr>
          <w:snapToGrid/>
          <w:kern w:val="0"/>
          <w:szCs w:val="22"/>
        </w:rPr>
        <w:t>According to Gray,</w:t>
      </w:r>
      <w:r w:rsidRPr="009E0FCB">
        <w:rPr>
          <w:i/>
          <w:iCs/>
          <w:snapToGrid/>
          <w:kern w:val="0"/>
          <w:szCs w:val="22"/>
        </w:rPr>
        <w:t xml:space="preserve"> </w:t>
      </w:r>
      <w:r w:rsidRPr="009E0FCB">
        <w:rPr>
          <w:snapToGrid/>
          <w:kern w:val="0"/>
          <w:szCs w:val="22"/>
        </w:rPr>
        <w:t>since acquiring KSNB-TV, Gray has determined that many viewers experience significant difficulty in receiving the station’s signal</w:t>
      </w:r>
      <w:r w:rsidRPr="009E0FCB" w:rsidR="000A6FE7">
        <w:rPr>
          <w:snapToGrid/>
          <w:kern w:val="0"/>
          <w:szCs w:val="22"/>
        </w:rPr>
        <w:t xml:space="preserve">, including </w:t>
      </w:r>
      <w:r w:rsidRPr="009E0FCB">
        <w:rPr>
          <w:snapToGrid/>
          <w:kern w:val="0"/>
          <w:szCs w:val="22"/>
        </w:rPr>
        <w:t>in Superior.</w:t>
      </w:r>
      <w:r>
        <w:rPr>
          <w:rStyle w:val="FootnoteReference"/>
          <w:sz w:val="22"/>
          <w:szCs w:val="22"/>
        </w:rPr>
        <w:footnoteReference w:id="19"/>
      </w:r>
      <w:r w:rsidRPr="009E0FCB" w:rsidR="0063074E">
        <w:rPr>
          <w:snapToGrid/>
          <w:kern w:val="0"/>
          <w:szCs w:val="22"/>
        </w:rPr>
        <w:t xml:space="preserve">  As a result, Gray conclude</w:t>
      </w:r>
      <w:r w:rsidRPr="00B63F6E" w:rsidR="000A6FE7">
        <w:rPr>
          <w:snapToGrid/>
          <w:kern w:val="0"/>
          <w:szCs w:val="22"/>
        </w:rPr>
        <w:t>d</w:t>
      </w:r>
      <w:r w:rsidRPr="009E0FCB" w:rsidR="0063074E">
        <w:rPr>
          <w:snapToGrid/>
          <w:kern w:val="0"/>
          <w:szCs w:val="22"/>
        </w:rPr>
        <w:t xml:space="preserve"> that moving from channel 4 to channel 24 will enable KSNB “to deliver a more reliable over-the-air signal to viewers throughout its coverage area.”</w:t>
      </w:r>
      <w:r>
        <w:rPr>
          <w:rStyle w:val="FootnoteReference"/>
          <w:snapToGrid/>
          <w:kern w:val="0"/>
          <w:sz w:val="22"/>
          <w:szCs w:val="22"/>
        </w:rPr>
        <w:footnoteReference w:id="20"/>
      </w:r>
      <w:r w:rsidRPr="009E0FCB" w:rsidR="0063074E">
        <w:rPr>
          <w:snapToGrid/>
          <w:kern w:val="0"/>
          <w:szCs w:val="22"/>
        </w:rPr>
        <w:t xml:space="preserve"> </w:t>
      </w:r>
    </w:p>
    <w:p w:rsidR="000F1FEC" w:rsidRPr="009E0FCB" w:rsidP="00FC522F" w14:paraId="1D86BBED" w14:textId="5E561722">
      <w:pPr>
        <w:pStyle w:val="ParaNum"/>
        <w:tabs>
          <w:tab w:val="num" w:pos="1080"/>
          <w:tab w:val="clear" w:pos="1440"/>
        </w:tabs>
        <w:rPr>
          <w:szCs w:val="22"/>
        </w:rPr>
      </w:pPr>
      <w:r w:rsidRPr="009E0FCB">
        <w:rPr>
          <w:szCs w:val="22"/>
        </w:rPr>
        <w:t xml:space="preserve">  Gray’s proposal to change channel and relocate to the KOLN tower would result in </w:t>
      </w:r>
      <w:r w:rsidRPr="009E0FCB" w:rsidR="00C61F79">
        <w:rPr>
          <w:szCs w:val="22"/>
        </w:rPr>
        <w:t>a</w:t>
      </w:r>
      <w:r w:rsidRPr="009E0FCB">
        <w:rPr>
          <w:szCs w:val="22"/>
        </w:rPr>
        <w:t xml:space="preserve"> predicted loss of service to 8,920 persons, including a loss of first television service to 14 persons and second television service to 523 persons.</w:t>
      </w:r>
      <w:r>
        <w:rPr>
          <w:rStyle w:val="FootnoteReference"/>
          <w:sz w:val="22"/>
          <w:szCs w:val="22"/>
        </w:rPr>
        <w:footnoteReference w:id="21"/>
      </w:r>
      <w:r w:rsidRPr="009E0FCB">
        <w:rPr>
          <w:szCs w:val="22"/>
        </w:rPr>
        <w:t xml:space="preserve">  According to Gray, however, taking into account both KSNB-TV’s proposal and KOLN’s authorized expanded contours, most of the loss area will continue to receive four or more television services, and there will be an overall gain of 202,654 persons, including a first local service for 150 persons, an additional second service to 4,816 persons, and an additional third service to 5,860 persons.</w:t>
      </w:r>
      <w:r>
        <w:rPr>
          <w:rStyle w:val="FootnoteReference"/>
          <w:sz w:val="22"/>
          <w:szCs w:val="22"/>
        </w:rPr>
        <w:footnoteReference w:id="22"/>
      </w:r>
    </w:p>
    <w:p w:rsidR="00201DDD" w:rsidRPr="009E0FCB" w:rsidP="00FC522F" w14:paraId="2517B3EA" w14:textId="48FD33A5">
      <w:pPr>
        <w:pStyle w:val="ParaNum"/>
        <w:tabs>
          <w:tab w:val="num" w:pos="1080"/>
          <w:tab w:val="clear" w:pos="1440"/>
        </w:tabs>
        <w:rPr>
          <w:szCs w:val="22"/>
        </w:rPr>
      </w:pPr>
      <w:r w:rsidRPr="009E0FCB">
        <w:rPr>
          <w:szCs w:val="22"/>
        </w:rPr>
        <w:t>In its Amended Comments, Gray once again reiterated that the channel change would greatly improve KSNB</w:t>
      </w:r>
      <w:r w:rsidRPr="009E0FCB" w:rsidR="00C61F79">
        <w:rPr>
          <w:szCs w:val="22"/>
        </w:rPr>
        <w:t>-TV</w:t>
      </w:r>
      <w:r w:rsidRPr="009E0FCB">
        <w:rPr>
          <w:szCs w:val="22"/>
        </w:rPr>
        <w:t xml:space="preserve">’s </w:t>
      </w:r>
      <w:r w:rsidRPr="009E0FCB" w:rsidR="00C61F79">
        <w:rPr>
          <w:szCs w:val="22"/>
        </w:rPr>
        <w:t xml:space="preserve">current </w:t>
      </w:r>
      <w:r w:rsidRPr="009E0FCB">
        <w:rPr>
          <w:szCs w:val="22"/>
        </w:rPr>
        <w:t>reception problems on low VHF channel 4</w:t>
      </w:r>
      <w:r w:rsidRPr="009E0FCB" w:rsidR="009E41FC">
        <w:rPr>
          <w:szCs w:val="22"/>
        </w:rPr>
        <w:t xml:space="preserve">, create a new gain of 186,317 </w:t>
      </w:r>
      <w:r w:rsidRPr="009E0FCB" w:rsidR="001F32E5">
        <w:rPr>
          <w:szCs w:val="22"/>
        </w:rPr>
        <w:t>persons</w:t>
      </w:r>
      <w:r w:rsidRPr="009E0FCB" w:rsidR="009E41FC">
        <w:rPr>
          <w:szCs w:val="22"/>
        </w:rPr>
        <w:t>, and result in a substantial improvement in service in the Lincoln DMA with no negative effects.</w:t>
      </w:r>
      <w:r>
        <w:rPr>
          <w:rStyle w:val="FootnoteReference"/>
          <w:sz w:val="22"/>
          <w:szCs w:val="22"/>
        </w:rPr>
        <w:footnoteReference w:id="23"/>
      </w:r>
    </w:p>
    <w:p w:rsidR="000F1FEC" w:rsidRPr="00B27C44" w:rsidP="00FC522F" w14:paraId="54E430EA" w14:textId="77777777">
      <w:pPr>
        <w:pStyle w:val="Heading1"/>
        <w:keepNext w:val="0"/>
        <w:suppressAutoHyphens w:val="0"/>
        <w:rPr>
          <w:rFonts w:ascii="Times New Roman" w:hAnsi="Times New Roman"/>
          <w:szCs w:val="22"/>
        </w:rPr>
      </w:pPr>
      <w:r w:rsidRPr="00B27C44">
        <w:rPr>
          <w:rFonts w:ascii="Times New Roman" w:hAnsi="Times New Roman"/>
          <w:szCs w:val="22"/>
        </w:rPr>
        <w:t>DISCUSSION</w:t>
      </w:r>
    </w:p>
    <w:p w:rsidR="000F1FEC" w:rsidRPr="009E0FCB" w:rsidP="00FC522F" w14:paraId="5135553A" w14:textId="77777777">
      <w:pPr>
        <w:pStyle w:val="ParaNum"/>
        <w:rPr>
          <w:szCs w:val="22"/>
        </w:rPr>
      </w:pPr>
      <w:bookmarkStart w:id="1" w:name="_Hlk506449115"/>
      <w:r w:rsidRPr="009E0FCB">
        <w:rPr>
          <w:szCs w:val="22"/>
        </w:rPr>
        <w:t>Section 1.420(i) of the rules provides that the Commission, during a rulemaking proceeding to amend the Table of Allotments, may modify a station’s license to specify a ne</w:t>
      </w:r>
      <w:r w:rsidRPr="005D7047">
        <w:rPr>
          <w:szCs w:val="22"/>
        </w:rPr>
        <w:t>w community o</w:t>
      </w:r>
      <w:r w:rsidRPr="000A1733">
        <w:rPr>
          <w:szCs w:val="22"/>
        </w:rPr>
        <w:t>f license without affording other interested parties an opportunity to file competing expressions of interest.</w:t>
      </w:r>
      <w:r>
        <w:rPr>
          <w:rStyle w:val="FootnoteReference"/>
          <w:sz w:val="22"/>
          <w:szCs w:val="22"/>
        </w:rPr>
        <w:footnoteReference w:id="24"/>
      </w:r>
      <w:r w:rsidRPr="009E0FCB">
        <w:rPr>
          <w:szCs w:val="22"/>
        </w:rPr>
        <w:t xml:space="preserve">  The Commission will apply this procedure in the limited circumstances in which: (1) the new allotment will be mutually exclusive </w:t>
      </w:r>
      <w:r w:rsidRPr="005D7047">
        <w:rPr>
          <w:szCs w:val="22"/>
        </w:rPr>
        <w:t>with a station’s existing allotment; (2) the new allotment will result in a preferential arrangement of the allotments accord</w:t>
      </w:r>
      <w:r w:rsidRPr="000A1733">
        <w:rPr>
          <w:szCs w:val="22"/>
        </w:rPr>
        <w:t>ing to the Commission’s television allotment priorities; and (3) the new allotment will not deprive a community of its sole local transmission outlet.</w:t>
      </w:r>
      <w:r>
        <w:rPr>
          <w:rStyle w:val="FootnoteReference"/>
          <w:sz w:val="22"/>
          <w:szCs w:val="22"/>
        </w:rPr>
        <w:footnoteReference w:id="25"/>
      </w:r>
      <w:r w:rsidRPr="009E0FCB">
        <w:rPr>
          <w:szCs w:val="22"/>
        </w:rPr>
        <w:t xml:space="preserve">  Generally, the Commission believes that its prohibition on the removal of a community’s first local service is justified because such removal is presumptively inconsistent with the public interest.</w:t>
      </w:r>
      <w:r>
        <w:rPr>
          <w:rStyle w:val="FootnoteReference"/>
          <w:sz w:val="22"/>
          <w:szCs w:val="22"/>
        </w:rPr>
        <w:footnoteReference w:id="26"/>
      </w:r>
      <w:r w:rsidRPr="009E0FCB">
        <w:rPr>
          <w:szCs w:val="22"/>
        </w:rPr>
        <w:t xml:space="preserve">  The Commission, however, will en</w:t>
      </w:r>
      <w:r w:rsidRPr="005D7047">
        <w:rPr>
          <w:szCs w:val="22"/>
        </w:rPr>
        <w:t>tertain a request to waive its general prohibition on the removal of a community’s sole first local service in the rare circu</w:t>
      </w:r>
      <w:r w:rsidRPr="000A1733">
        <w:rPr>
          <w:szCs w:val="22"/>
        </w:rPr>
        <w:t>mstance where such a removal might serve the public interest, for example, providing a first reception service to a significantly sized population.</w:t>
      </w:r>
      <w:r>
        <w:rPr>
          <w:rStyle w:val="FootnoteReference"/>
          <w:sz w:val="22"/>
          <w:szCs w:val="22"/>
        </w:rPr>
        <w:footnoteReference w:id="27"/>
      </w:r>
    </w:p>
    <w:p w:rsidR="000F1FEC" w:rsidRPr="009E0FCB" w:rsidP="00FC522F" w14:paraId="33111074" w14:textId="23B0BB2E">
      <w:pPr>
        <w:pStyle w:val="ParaNum"/>
        <w:widowControl/>
        <w:rPr>
          <w:szCs w:val="22"/>
        </w:rPr>
      </w:pPr>
      <w:r w:rsidRPr="009E0FCB">
        <w:rPr>
          <w:szCs w:val="22"/>
        </w:rPr>
        <w:t xml:space="preserve"> The Commission determines a preferential arrangement of allotments based on the following five priorities: (1) provide at least one television service to all parts of the United States; (2) provide each community with at least one telev</w:t>
      </w:r>
      <w:r w:rsidRPr="005D7047">
        <w:rPr>
          <w:szCs w:val="22"/>
        </w:rPr>
        <w:t>ision broadcast station; (3) provide a choice of at least two television services to all parts of the United States; (4) prov</w:t>
      </w:r>
      <w:r w:rsidRPr="000A1733">
        <w:rPr>
          <w:szCs w:val="22"/>
        </w:rPr>
        <w:t>ide each community with at least two television broadcast st</w:t>
      </w:r>
      <w:r w:rsidRPr="000C5835">
        <w:rPr>
          <w:szCs w:val="22"/>
        </w:rPr>
        <w:t>ations; and (5) assign any remaining channels to communities based on population, geographic location, and the number of television services available to the community from stations located in other communities.</w:t>
      </w:r>
      <w:r>
        <w:rPr>
          <w:rStyle w:val="FootnoteReference"/>
          <w:sz w:val="22"/>
          <w:szCs w:val="22"/>
        </w:rPr>
        <w:footnoteReference w:id="28"/>
      </w:r>
    </w:p>
    <w:p w:rsidR="000F1FEC" w:rsidRPr="009E0FCB" w:rsidP="00FC522F" w14:paraId="30B10AA2" w14:textId="77777777">
      <w:pPr>
        <w:pStyle w:val="ParaNum"/>
        <w:rPr>
          <w:szCs w:val="22"/>
        </w:rPr>
      </w:pPr>
      <w:r w:rsidRPr="00B63F6E">
        <w:rPr>
          <w:i/>
          <w:iCs/>
          <w:spacing w:val="-3"/>
          <w:szCs w:val="22"/>
        </w:rPr>
        <w:t xml:space="preserve">Waiver Standard. </w:t>
      </w:r>
      <w:r w:rsidRPr="009E0FCB">
        <w:rPr>
          <w:i/>
          <w:iCs/>
          <w:spacing w:val="-3"/>
          <w:szCs w:val="22"/>
        </w:rPr>
        <w:t xml:space="preserve"> </w:t>
      </w:r>
      <w:r w:rsidRPr="009E0FCB">
        <w:rPr>
          <w:spacing w:val="-3"/>
          <w:szCs w:val="22"/>
        </w:rPr>
        <w:t>The Commission may waive a rule for good cause shown.</w:t>
      </w:r>
      <w:r>
        <w:rPr>
          <w:szCs w:val="22"/>
          <w:vertAlign w:val="superscript"/>
        </w:rPr>
        <w:footnoteReference w:id="29"/>
      </w:r>
      <w:r w:rsidRPr="009E0FCB">
        <w:rPr>
          <w:spacing w:val="-3"/>
          <w:szCs w:val="22"/>
        </w:rPr>
        <w:t xml:space="preserve">  The Commission may grant a request for waiver 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szCs w:val="22"/>
          <w:vertAlign w:val="superscript"/>
        </w:rPr>
        <w:footnoteReference w:id="30"/>
      </w:r>
      <w:r w:rsidRPr="009E0FCB">
        <w:rPr>
          <w:spacing w:val="-3"/>
          <w:szCs w:val="22"/>
        </w:rPr>
        <w:t xml:space="preserve">  Waiver is appropriate where the particular facts make </w:t>
      </w:r>
      <w:r w:rsidRPr="00B63F6E">
        <w:rPr>
          <w:spacing w:val="-3"/>
          <w:szCs w:val="22"/>
        </w:rPr>
        <w:t xml:space="preserve">strict compliance inconsistent with the public interest.  In making this determination, we may </w:t>
      </w:r>
      <w:r w:rsidRPr="00B63F6E">
        <w:rPr>
          <w:spacing w:val="-3"/>
          <w:szCs w:val="22"/>
        </w:rPr>
        <w:t>take into account</w:t>
      </w:r>
      <w:r w:rsidRPr="00B63F6E">
        <w:rPr>
          <w:spacing w:val="-3"/>
          <w:szCs w:val="22"/>
        </w:rPr>
        <w:t xml:space="preserve"> considerations of hardship, equity, or more effective implementation of overall policy on an individual basis.</w:t>
      </w:r>
      <w:r>
        <w:rPr>
          <w:szCs w:val="22"/>
          <w:vertAlign w:val="superscript"/>
        </w:rPr>
        <w:footnoteReference w:id="31"/>
      </w:r>
      <w:r w:rsidRPr="009E0FCB">
        <w:rPr>
          <w:spacing w:val="-3"/>
          <w:szCs w:val="22"/>
        </w:rPr>
        <w:t xml:space="preserve">  Waiver is therefore appropriate if special circumstances warrant a deviation from the general rule and such deviation will serve the public interest.</w:t>
      </w:r>
      <w:r>
        <w:rPr>
          <w:szCs w:val="22"/>
          <w:vertAlign w:val="superscript"/>
        </w:rPr>
        <w:footnoteReference w:id="32"/>
      </w:r>
    </w:p>
    <w:p w:rsidR="000F1FEC" w:rsidRPr="005D7047" w:rsidP="00FC522F" w14:paraId="12F1B030" w14:textId="211E8398">
      <w:pPr>
        <w:pStyle w:val="ParaNum"/>
        <w:rPr>
          <w:szCs w:val="22"/>
        </w:rPr>
      </w:pPr>
      <w:r w:rsidRPr="005D7047">
        <w:rPr>
          <w:szCs w:val="22"/>
        </w:rPr>
        <w:t xml:space="preserve"> </w:t>
      </w:r>
      <w:r w:rsidRPr="005D7047">
        <w:rPr>
          <w:i/>
          <w:iCs/>
          <w:szCs w:val="22"/>
        </w:rPr>
        <w:t>Mutual Exclusivity Requirement</w:t>
      </w:r>
      <w:r w:rsidRPr="005D7047" w:rsidR="001F32E5">
        <w:rPr>
          <w:i/>
          <w:iCs/>
          <w:szCs w:val="22"/>
        </w:rPr>
        <w:t xml:space="preserve"> Waiver</w:t>
      </w:r>
      <w:r w:rsidRPr="005D7047">
        <w:rPr>
          <w:szCs w:val="22"/>
        </w:rPr>
        <w:t xml:space="preserve">.  </w:t>
      </w:r>
      <w:r w:rsidRPr="005D7047" w:rsidR="000F33E6">
        <w:rPr>
          <w:szCs w:val="22"/>
        </w:rPr>
        <w:t>T</w:t>
      </w:r>
      <w:r w:rsidRPr="005D7047">
        <w:rPr>
          <w:szCs w:val="22"/>
        </w:rPr>
        <w:t>he Commission adopted section 1.420 in 1989 to provide a procedure whereby a television station could request a new community of license in a rulemaking petition to amend the television table of allotments without su</w:t>
      </w:r>
      <w:r w:rsidRPr="000A1733">
        <w:rPr>
          <w:szCs w:val="22"/>
        </w:rPr>
        <w:t>bjecting the station to the risk of losing its license to competing applications.</w:t>
      </w:r>
      <w:r>
        <w:rPr>
          <w:rStyle w:val="FootnoteReference"/>
          <w:sz w:val="22"/>
          <w:szCs w:val="22"/>
        </w:rPr>
        <w:footnoteReference w:id="33"/>
      </w:r>
      <w:r w:rsidRPr="009E0FCB">
        <w:rPr>
          <w:szCs w:val="22"/>
        </w:rPr>
        <w:t xml:space="preserve">  Because the Commission</w:t>
      </w:r>
      <w:r w:rsidRPr="00B63F6E">
        <w:rPr>
          <w:szCs w:val="22"/>
        </w:rPr>
        <w:t xml:space="preserve"> did not, however, wish to preclude future applicants from having an opportunity to apply for a new station to serve the area, it adopted the mutual exclusivity requirement – that a proposed change in community of license must be mutually exclusive with th</w:t>
      </w:r>
      <w:r w:rsidRPr="005D7047">
        <w:rPr>
          <w:szCs w:val="22"/>
        </w:rPr>
        <w:t xml:space="preserve">e station’s current allotment in order to be shielded from competing expressions of interest </w:t>
      </w:r>
      <w:r w:rsidRPr="000A1733" w:rsidR="00302F37">
        <w:rPr>
          <w:szCs w:val="22"/>
        </w:rPr>
        <w:t>–</w:t>
      </w:r>
      <w:r w:rsidRPr="000A1733">
        <w:rPr>
          <w:szCs w:val="22"/>
        </w:rPr>
        <w:t xml:space="preserve"> so only petitions that did not “deprive potential [future] applicants of opportunities” would be accepted.</w:t>
      </w:r>
      <w:r>
        <w:rPr>
          <w:rStyle w:val="FootnoteReference"/>
          <w:sz w:val="22"/>
          <w:szCs w:val="22"/>
        </w:rPr>
        <w:footnoteReference w:id="34"/>
      </w:r>
      <w:r w:rsidRPr="009E0FCB" w:rsidR="00AF5744">
        <w:rPr>
          <w:szCs w:val="22"/>
        </w:rPr>
        <w:t xml:space="preserve">  I</w:t>
      </w:r>
      <w:r w:rsidRPr="00B63F6E">
        <w:rPr>
          <w:szCs w:val="22"/>
        </w:rPr>
        <w:t>n this case, Gray has demonstrated that if we gran</w:t>
      </w:r>
      <w:r w:rsidRPr="009E0FCB">
        <w:rPr>
          <w:szCs w:val="22"/>
        </w:rPr>
        <w:t xml:space="preserve">t a waiver and adopt its proposed amendments to the DTV Table of Allotments, multiple channels are </w:t>
      </w:r>
      <w:r w:rsidRPr="005D7047" w:rsidR="000F33E6">
        <w:rPr>
          <w:szCs w:val="22"/>
        </w:rPr>
        <w:t>currently</w:t>
      </w:r>
      <w:r w:rsidRPr="005D7047">
        <w:rPr>
          <w:szCs w:val="22"/>
        </w:rPr>
        <w:t xml:space="preserve"> available for future allotment in </w:t>
      </w:r>
      <w:r w:rsidRPr="005D7047" w:rsidR="000F33E6">
        <w:rPr>
          <w:szCs w:val="22"/>
        </w:rPr>
        <w:t xml:space="preserve">the </w:t>
      </w:r>
      <w:r w:rsidRPr="005D7047">
        <w:rPr>
          <w:szCs w:val="22"/>
        </w:rPr>
        <w:t>Superior</w:t>
      </w:r>
      <w:r w:rsidRPr="005D7047" w:rsidR="000F33E6">
        <w:rPr>
          <w:szCs w:val="22"/>
        </w:rPr>
        <w:t>/York</w:t>
      </w:r>
      <w:r w:rsidRPr="005D7047" w:rsidR="00A24181">
        <w:rPr>
          <w:szCs w:val="22"/>
        </w:rPr>
        <w:t>/</w:t>
      </w:r>
      <w:r w:rsidRPr="005D7047" w:rsidR="000F33E6">
        <w:rPr>
          <w:szCs w:val="22"/>
        </w:rPr>
        <w:t>Lincoln, Nebraska area</w:t>
      </w:r>
      <w:r w:rsidRPr="000A1733">
        <w:rPr>
          <w:szCs w:val="22"/>
        </w:rPr>
        <w:t>.</w:t>
      </w:r>
      <w:r>
        <w:rPr>
          <w:rStyle w:val="FootnoteReference"/>
          <w:sz w:val="22"/>
          <w:szCs w:val="22"/>
        </w:rPr>
        <w:footnoteReference w:id="35"/>
      </w:r>
      <w:r w:rsidRPr="009E0FCB">
        <w:rPr>
          <w:szCs w:val="22"/>
        </w:rPr>
        <w:t xml:space="preserve">  Thus, because the underlying</w:t>
      </w:r>
      <w:r w:rsidRPr="00B63F6E">
        <w:rPr>
          <w:spacing w:val="-3"/>
          <w:szCs w:val="22"/>
        </w:rPr>
        <w:t xml:space="preserve"> purpose of the rule would not be frustr</w:t>
      </w:r>
      <w:r w:rsidRPr="009E0FCB">
        <w:rPr>
          <w:spacing w:val="-3"/>
          <w:szCs w:val="22"/>
        </w:rPr>
        <w:t xml:space="preserve">ated by the instant rulemaking petition to change KSNB-TV’s community of license without allowing competing expressions of interest, we </w:t>
      </w:r>
      <w:r w:rsidRPr="009E0FCB" w:rsidR="000F33E6">
        <w:rPr>
          <w:spacing w:val="-3"/>
          <w:szCs w:val="22"/>
        </w:rPr>
        <w:t>will</w:t>
      </w:r>
      <w:r w:rsidRPr="009E0FCB">
        <w:rPr>
          <w:spacing w:val="-3"/>
          <w:szCs w:val="22"/>
        </w:rPr>
        <w:t xml:space="preserve"> waive this requirement of section 1.420</w:t>
      </w:r>
      <w:r w:rsidRPr="009E0FCB" w:rsidR="000F33E6">
        <w:rPr>
          <w:spacing w:val="-3"/>
          <w:szCs w:val="22"/>
        </w:rPr>
        <w:t xml:space="preserve"> of the rules</w:t>
      </w:r>
      <w:r w:rsidRPr="009E0FCB">
        <w:rPr>
          <w:spacing w:val="-3"/>
          <w:szCs w:val="22"/>
        </w:rPr>
        <w:t xml:space="preserve">. </w:t>
      </w:r>
    </w:p>
    <w:p w:rsidR="000F1FEC" w:rsidRPr="00B27C44" w:rsidP="00FC522F" w14:paraId="0381EBDB" w14:textId="1970B2C9">
      <w:pPr>
        <w:pStyle w:val="ParaNum"/>
        <w:rPr>
          <w:szCs w:val="22"/>
        </w:rPr>
      </w:pPr>
      <w:r w:rsidRPr="000A1733">
        <w:rPr>
          <w:i/>
          <w:iCs/>
          <w:szCs w:val="22"/>
        </w:rPr>
        <w:t xml:space="preserve">Removal of Sole Local Service </w:t>
      </w:r>
      <w:r w:rsidRPr="000A1733">
        <w:rPr>
          <w:i/>
          <w:iCs/>
          <w:szCs w:val="22"/>
        </w:rPr>
        <w:t>From</w:t>
      </w:r>
      <w:r w:rsidRPr="000A1733">
        <w:rPr>
          <w:i/>
          <w:iCs/>
          <w:szCs w:val="22"/>
        </w:rPr>
        <w:t xml:space="preserve"> Superior</w:t>
      </w:r>
      <w:r w:rsidRPr="000A1733">
        <w:rPr>
          <w:szCs w:val="22"/>
        </w:rPr>
        <w:t xml:space="preserve">.  We also waive the Commission’s policy disfavoring the removal of a sole local service allotted to a community.  As Gray has demonstrated, York </w:t>
      </w:r>
      <w:r w:rsidRPr="000A1733">
        <w:rPr>
          <w:szCs w:val="22"/>
        </w:rPr>
        <w:t xml:space="preserve">is </w:t>
      </w:r>
      <w:r w:rsidRPr="000A1733" w:rsidR="00A24181">
        <w:rPr>
          <w:szCs w:val="22"/>
        </w:rPr>
        <w:t>significantly larger</w:t>
      </w:r>
      <w:r w:rsidRPr="000C5835">
        <w:rPr>
          <w:szCs w:val="22"/>
        </w:rPr>
        <w:t xml:space="preserve"> than Superior,</w:t>
      </w:r>
      <w:r>
        <w:rPr>
          <w:rStyle w:val="FootnoteReference"/>
          <w:sz w:val="22"/>
          <w:szCs w:val="22"/>
        </w:rPr>
        <w:footnoteReference w:id="36"/>
      </w:r>
      <w:r w:rsidRPr="009E0FCB">
        <w:rPr>
          <w:szCs w:val="22"/>
        </w:rPr>
        <w:t xml:space="preserve"> and grant of a waiver to allow KSNB-TV to co</w:t>
      </w:r>
      <w:r w:rsidRPr="00B63F6E" w:rsidR="009E0FCB">
        <w:rPr>
          <w:szCs w:val="22"/>
        </w:rPr>
        <w:t>-</w:t>
      </w:r>
      <w:r w:rsidRPr="00B27C44">
        <w:rPr>
          <w:szCs w:val="22"/>
        </w:rPr>
        <w:t xml:space="preserve">locate with KOLN would result in the provision of first, second, and third television service to a substantial number of persons.  Moreover, other important public interest benefits would accrue by permitting KSNB-TV to change its channel and community, and </w:t>
      </w:r>
      <w:r w:rsidRPr="00B27C44" w:rsidR="00C14944">
        <w:rPr>
          <w:szCs w:val="22"/>
        </w:rPr>
        <w:t>co</w:t>
      </w:r>
      <w:r w:rsidRPr="00B27C44" w:rsidR="009E0FCB">
        <w:rPr>
          <w:szCs w:val="22"/>
        </w:rPr>
        <w:t>-</w:t>
      </w:r>
      <w:r w:rsidRPr="00B27C44" w:rsidR="00C14944">
        <w:rPr>
          <w:szCs w:val="22"/>
        </w:rPr>
        <w:t>locate</w:t>
      </w:r>
      <w:r w:rsidRPr="00B27C44">
        <w:rPr>
          <w:szCs w:val="22"/>
        </w:rPr>
        <w:t xml:space="preserve"> with KOLN, including operational and economic efficiencies and resolving low VHF reception problems for KSNB-TV.  Finally, Gray has demonstrated that there are a number of channels that may be allotted </w:t>
      </w:r>
      <w:r w:rsidRPr="00B27C44" w:rsidR="00AF09FA">
        <w:rPr>
          <w:szCs w:val="22"/>
        </w:rPr>
        <w:t>to Superior</w:t>
      </w:r>
      <w:r w:rsidRPr="00B27C44">
        <w:rPr>
          <w:szCs w:val="22"/>
        </w:rPr>
        <w:t xml:space="preserve"> if an interested party wishes to pursue acquiring a construction permit for a new station in the area.  </w:t>
      </w:r>
      <w:bookmarkEnd w:id="0"/>
      <w:bookmarkEnd w:id="1"/>
      <w:r w:rsidRPr="00B27C44" w:rsidR="00AF09FA">
        <w:rPr>
          <w:szCs w:val="22"/>
        </w:rPr>
        <w:t>In addition, we find that Superior will receive improved service from KSN</w:t>
      </w:r>
      <w:r w:rsidRPr="00B27C44" w:rsidR="00BF27C9">
        <w:rPr>
          <w:szCs w:val="22"/>
        </w:rPr>
        <w:t>B</w:t>
      </w:r>
      <w:r w:rsidRPr="00B27C44" w:rsidR="00AF09FA">
        <w:rPr>
          <w:szCs w:val="22"/>
        </w:rPr>
        <w:t>-TV’s operation on channel 24 on the KOLN tower.</w:t>
      </w:r>
    </w:p>
    <w:p w:rsidR="000F1FEC" w:rsidRPr="005D7047" w:rsidP="00FC522F" w14:paraId="4839ECEB" w14:textId="1DD659F9">
      <w:pPr>
        <w:pStyle w:val="ParaNum"/>
        <w:rPr>
          <w:szCs w:val="22"/>
        </w:rPr>
      </w:pPr>
      <w:r w:rsidRPr="00B27C44">
        <w:rPr>
          <w:spacing w:val="-7"/>
          <w:szCs w:val="22"/>
        </w:rPr>
        <w:t>As proposed, channel 24 can be allotted to York, Nebraska</w:t>
      </w:r>
      <w:r w:rsidRPr="00B27C44" w:rsidR="009E0FCB">
        <w:rPr>
          <w:spacing w:val="-7"/>
          <w:szCs w:val="22"/>
        </w:rPr>
        <w:t>,</w:t>
      </w:r>
      <w:r w:rsidRPr="00B27C44">
        <w:rPr>
          <w:spacing w:val="-7"/>
          <w:szCs w:val="22"/>
        </w:rPr>
        <w:t xml:space="preserve"> </w:t>
      </w:r>
      <w:r w:rsidRPr="00B27C44">
        <w:rPr>
          <w:szCs w:val="22"/>
        </w:rPr>
        <w:t>in compliance with the principal community coverage requirements</w:t>
      </w:r>
      <w:r w:rsidRPr="00B27C44">
        <w:rPr>
          <w:spacing w:val="-7"/>
          <w:szCs w:val="22"/>
        </w:rPr>
        <w:t xml:space="preserve"> </w:t>
      </w:r>
      <w:r w:rsidRPr="00B27C44">
        <w:rPr>
          <w:spacing w:val="-3"/>
          <w:szCs w:val="22"/>
        </w:rPr>
        <w:t>of</w:t>
      </w:r>
      <w:r w:rsidRPr="00B27C44">
        <w:rPr>
          <w:spacing w:val="-6"/>
          <w:szCs w:val="22"/>
        </w:rPr>
        <w:t xml:space="preserve"> </w:t>
      </w:r>
      <w:r w:rsidRPr="00B27C44">
        <w:rPr>
          <w:spacing w:val="-3"/>
          <w:szCs w:val="22"/>
        </w:rPr>
        <w:t>section</w:t>
      </w:r>
      <w:r w:rsidRPr="00B27C44">
        <w:rPr>
          <w:szCs w:val="22"/>
        </w:rPr>
        <w:t xml:space="preserve"> </w:t>
      </w:r>
      <w:r w:rsidRPr="00B27C44">
        <w:rPr>
          <w:spacing w:val="-4"/>
          <w:szCs w:val="22"/>
        </w:rPr>
        <w:t>73.625(a)</w:t>
      </w:r>
      <w:r w:rsidRPr="00B27C44">
        <w:rPr>
          <w:spacing w:val="-7"/>
          <w:szCs w:val="22"/>
        </w:rPr>
        <w:t xml:space="preserve"> </w:t>
      </w:r>
      <w:r w:rsidRPr="00B27C44">
        <w:rPr>
          <w:spacing w:val="-2"/>
          <w:szCs w:val="22"/>
        </w:rPr>
        <w:t>of</w:t>
      </w:r>
      <w:r w:rsidRPr="00B27C44">
        <w:rPr>
          <w:spacing w:val="-7"/>
          <w:szCs w:val="22"/>
        </w:rPr>
        <w:t xml:space="preserve"> </w:t>
      </w:r>
      <w:r w:rsidRPr="00B27C44">
        <w:rPr>
          <w:spacing w:val="-3"/>
          <w:szCs w:val="22"/>
        </w:rPr>
        <w:t>the</w:t>
      </w:r>
      <w:r w:rsidRPr="00B27C44" w:rsidR="006715B2">
        <w:rPr>
          <w:szCs w:val="22"/>
        </w:rPr>
        <w:t xml:space="preserve"> </w:t>
      </w:r>
      <w:r w:rsidRPr="00B27C44">
        <w:rPr>
          <w:spacing w:val="-3"/>
          <w:szCs w:val="22"/>
        </w:rPr>
        <w:t>rules,</w:t>
      </w:r>
      <w:r>
        <w:rPr>
          <w:rStyle w:val="FootnoteReference"/>
          <w:spacing w:val="-3"/>
          <w:sz w:val="22"/>
          <w:szCs w:val="22"/>
        </w:rPr>
        <w:footnoteReference w:id="37"/>
      </w:r>
      <w:r w:rsidRPr="005D7047">
        <w:rPr>
          <w:spacing w:val="17"/>
          <w:position w:val="8"/>
          <w:szCs w:val="22"/>
        </w:rPr>
        <w:t xml:space="preserve"> </w:t>
      </w:r>
      <w:r w:rsidRPr="005D7047">
        <w:rPr>
          <w:spacing w:val="-3"/>
          <w:szCs w:val="22"/>
        </w:rPr>
        <w:t xml:space="preserve">at </w:t>
      </w:r>
      <w:r w:rsidRPr="005D7047">
        <w:rPr>
          <w:spacing w:val="-4"/>
          <w:szCs w:val="22"/>
        </w:rPr>
        <w:t>coordinates</w:t>
      </w:r>
      <w:r w:rsidRPr="005D7047">
        <w:rPr>
          <w:spacing w:val="-7"/>
          <w:szCs w:val="22"/>
        </w:rPr>
        <w:t xml:space="preserve"> </w:t>
      </w:r>
      <w:r w:rsidRPr="005D7047">
        <w:rPr>
          <w:szCs w:val="22"/>
        </w:rPr>
        <w:t>40-48-11.0 N and 97-10-53.0 W</w:t>
      </w:r>
      <w:r w:rsidRPr="005D7047">
        <w:rPr>
          <w:spacing w:val="-2"/>
          <w:szCs w:val="22"/>
        </w:rPr>
        <w:t xml:space="preserve">.  </w:t>
      </w:r>
      <w:r w:rsidRPr="005D7047">
        <w:rPr>
          <w:szCs w:val="22"/>
        </w:rPr>
        <w:t xml:space="preserve">Although the Petitioner’s proposal would result in a loss of service to a small number of persons, we find such a loss to be </w:t>
      </w:r>
      <w:r w:rsidRPr="005D7047">
        <w:rPr>
          <w:i/>
          <w:iCs/>
          <w:szCs w:val="22"/>
        </w:rPr>
        <w:t>de</w:t>
      </w:r>
      <w:r w:rsidRPr="005D7047">
        <w:rPr>
          <w:szCs w:val="22"/>
        </w:rPr>
        <w:t xml:space="preserve"> </w:t>
      </w:r>
      <w:r w:rsidRPr="000A1733">
        <w:rPr>
          <w:i/>
          <w:iCs/>
          <w:szCs w:val="22"/>
        </w:rPr>
        <w:t>minimis</w:t>
      </w:r>
      <w:r w:rsidRPr="000A1733">
        <w:rPr>
          <w:szCs w:val="22"/>
        </w:rPr>
        <w:t>.</w:t>
      </w:r>
      <w:r>
        <w:rPr>
          <w:rStyle w:val="FootnoteReference"/>
          <w:sz w:val="22"/>
          <w:szCs w:val="22"/>
        </w:rPr>
        <w:footnoteReference w:id="38"/>
      </w:r>
      <w:r w:rsidRPr="005D7047">
        <w:rPr>
          <w:szCs w:val="22"/>
        </w:rPr>
        <w:t xml:space="preserve">  </w:t>
      </w:r>
      <w:r w:rsidRPr="005D7047" w:rsidR="00C14944">
        <w:rPr>
          <w:szCs w:val="22"/>
        </w:rPr>
        <w:t xml:space="preserve">Furthermore, </w:t>
      </w:r>
      <w:r w:rsidRPr="005D7047" w:rsidR="00C1749C">
        <w:rPr>
          <w:szCs w:val="22"/>
        </w:rPr>
        <w:t>we find that this channel change meets the technical requirements set forth in sections 73.616 and 73.623 of the rules</w:t>
      </w:r>
      <w:r w:rsidRPr="005D7047">
        <w:rPr>
          <w:szCs w:val="22"/>
        </w:rPr>
        <w:t xml:space="preserve"> with the following specifications:</w:t>
      </w:r>
      <w:r>
        <w:rPr>
          <w:szCs w:val="22"/>
          <w:vertAlign w:val="superscript"/>
        </w:rPr>
        <w:footnoteReference w:id="39"/>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530"/>
        <w:gridCol w:w="1890"/>
        <w:gridCol w:w="2070"/>
        <w:gridCol w:w="1615"/>
      </w:tblGrid>
      <w:tr w14:paraId="66D664F9" w14:textId="77777777" w:rsidTr="00A21DAE">
        <w:tblPrEx>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620" w:type="dxa"/>
          </w:tcPr>
          <w:p w:rsidR="00177849" w:rsidRPr="006F23AA" w:rsidP="00FC522F" w14:paraId="34E90396" w14:textId="77777777">
            <w:pPr>
              <w:pStyle w:val="ParaNum"/>
              <w:numPr>
                <w:ilvl w:val="0"/>
                <w:numId w:val="0"/>
              </w:numPr>
              <w:spacing w:after="220"/>
              <w:rPr>
                <w:rFonts w:ascii="Times New Roman" w:hAnsi="Times New Roman" w:cs="Times New Roman"/>
                <w:u w:val="single"/>
              </w:rPr>
            </w:pPr>
            <w:r w:rsidRPr="006F23AA">
              <w:rPr>
                <w:rFonts w:ascii="Times New Roman" w:hAnsi="Times New Roman" w:cs="Times New Roman"/>
                <w:u w:val="single"/>
              </w:rPr>
              <w:t>City and State</w:t>
            </w:r>
          </w:p>
        </w:tc>
        <w:tc>
          <w:tcPr>
            <w:tcW w:w="1530" w:type="dxa"/>
          </w:tcPr>
          <w:p w:rsidR="00177849" w:rsidRPr="006F23AA" w:rsidP="00FC522F" w14:paraId="6A3B5BAB" w14:textId="77777777">
            <w:pPr>
              <w:pStyle w:val="ParaNum"/>
              <w:numPr>
                <w:ilvl w:val="0"/>
                <w:numId w:val="0"/>
              </w:numPr>
              <w:spacing w:after="220"/>
              <w:rPr>
                <w:rFonts w:ascii="Times New Roman" w:hAnsi="Times New Roman" w:cs="Times New Roman"/>
                <w:u w:val="single"/>
              </w:rPr>
            </w:pPr>
            <w:r w:rsidRPr="006F23AA">
              <w:rPr>
                <w:rFonts w:ascii="Times New Roman" w:hAnsi="Times New Roman" w:cs="Times New Roman"/>
                <w:u w:val="single"/>
              </w:rPr>
              <w:t>DTV Channel</w:t>
            </w:r>
          </w:p>
        </w:tc>
        <w:tc>
          <w:tcPr>
            <w:tcW w:w="1890" w:type="dxa"/>
          </w:tcPr>
          <w:p w:rsidR="00177849" w:rsidRPr="006F23AA" w:rsidP="00FC522F" w14:paraId="0238A895" w14:textId="77777777">
            <w:pPr>
              <w:pStyle w:val="ParaNum"/>
              <w:numPr>
                <w:ilvl w:val="0"/>
                <w:numId w:val="0"/>
              </w:numPr>
              <w:spacing w:after="220"/>
              <w:rPr>
                <w:rFonts w:ascii="Times New Roman" w:hAnsi="Times New Roman" w:cs="Times New Roman"/>
                <w:u w:val="single"/>
              </w:rPr>
            </w:pPr>
            <w:r w:rsidRPr="006F23AA">
              <w:rPr>
                <w:rFonts w:ascii="Times New Roman" w:hAnsi="Times New Roman" w:cs="Times New Roman"/>
                <w:u w:val="single"/>
              </w:rPr>
              <w:t>DTV Power (kW)</w:t>
            </w:r>
          </w:p>
        </w:tc>
        <w:tc>
          <w:tcPr>
            <w:tcW w:w="2070" w:type="dxa"/>
          </w:tcPr>
          <w:p w:rsidR="00177849" w:rsidRPr="006F23AA" w:rsidP="00FC522F" w14:paraId="52A82076" w14:textId="77777777">
            <w:pPr>
              <w:pStyle w:val="ParaNum"/>
              <w:numPr>
                <w:ilvl w:val="0"/>
                <w:numId w:val="0"/>
              </w:numPr>
              <w:spacing w:after="220"/>
              <w:rPr>
                <w:rFonts w:ascii="Times New Roman" w:hAnsi="Times New Roman" w:cs="Times New Roman"/>
                <w:u w:val="single"/>
              </w:rPr>
            </w:pPr>
            <w:r w:rsidRPr="006F23AA">
              <w:rPr>
                <w:rFonts w:ascii="Times New Roman" w:hAnsi="Times New Roman" w:cs="Times New Roman"/>
                <w:u w:val="single"/>
              </w:rPr>
              <w:t>Antenna HAAT (m)</w:t>
            </w:r>
          </w:p>
        </w:tc>
        <w:tc>
          <w:tcPr>
            <w:tcW w:w="1615" w:type="dxa"/>
          </w:tcPr>
          <w:p w:rsidR="00177849" w:rsidRPr="006F23AA" w:rsidP="00FC522F" w14:paraId="16F241E3" w14:textId="77777777">
            <w:pPr>
              <w:pStyle w:val="ParaNum"/>
              <w:numPr>
                <w:ilvl w:val="0"/>
                <w:numId w:val="0"/>
              </w:numPr>
              <w:spacing w:after="220"/>
              <w:rPr>
                <w:rFonts w:ascii="Times New Roman" w:hAnsi="Times New Roman" w:cs="Times New Roman"/>
                <w:u w:val="single"/>
              </w:rPr>
            </w:pPr>
            <w:r w:rsidRPr="006F23AA">
              <w:rPr>
                <w:rFonts w:ascii="Times New Roman" w:hAnsi="Times New Roman" w:cs="Times New Roman"/>
                <w:u w:val="single"/>
              </w:rPr>
              <w:t>DTV Service Population</w:t>
            </w:r>
          </w:p>
        </w:tc>
      </w:tr>
      <w:tr w14:paraId="6C52C4D5" w14:textId="77777777" w:rsidTr="00A21DAE">
        <w:tblPrEx>
          <w:tblW w:w="0" w:type="auto"/>
          <w:tblInd w:w="625" w:type="dxa"/>
          <w:tblLook w:val="04A0"/>
        </w:tblPrEx>
        <w:tc>
          <w:tcPr>
            <w:tcW w:w="1620" w:type="dxa"/>
          </w:tcPr>
          <w:p w:rsidR="00177849" w:rsidRPr="006F23AA" w:rsidP="00FC522F" w14:paraId="49EC978C" w14:textId="7BB15CD6">
            <w:pPr>
              <w:pStyle w:val="ParaNum"/>
              <w:numPr>
                <w:ilvl w:val="0"/>
                <w:numId w:val="0"/>
              </w:numPr>
              <w:spacing w:after="220"/>
              <w:rPr>
                <w:rFonts w:ascii="Times New Roman" w:hAnsi="Times New Roman" w:cs="Times New Roman"/>
              </w:rPr>
            </w:pPr>
            <w:r w:rsidRPr="006F23AA">
              <w:rPr>
                <w:rFonts w:ascii="Times New Roman" w:hAnsi="Times New Roman" w:cs="Times New Roman"/>
              </w:rPr>
              <w:t>York, Nebraska</w:t>
            </w:r>
          </w:p>
        </w:tc>
        <w:tc>
          <w:tcPr>
            <w:tcW w:w="1530" w:type="dxa"/>
          </w:tcPr>
          <w:p w:rsidR="00177849" w:rsidRPr="006F23AA" w:rsidP="00FC522F" w14:paraId="147EAFB4" w14:textId="1DCAF0A2">
            <w:pPr>
              <w:pStyle w:val="ParaNum"/>
              <w:numPr>
                <w:ilvl w:val="0"/>
                <w:numId w:val="0"/>
              </w:numPr>
              <w:spacing w:after="220"/>
              <w:rPr>
                <w:rFonts w:ascii="Times New Roman" w:hAnsi="Times New Roman" w:cs="Times New Roman"/>
              </w:rPr>
            </w:pPr>
            <w:r w:rsidRPr="006F23AA">
              <w:rPr>
                <w:rFonts w:ascii="Times New Roman" w:hAnsi="Times New Roman" w:cs="Times New Roman"/>
              </w:rPr>
              <w:t>24</w:t>
            </w:r>
          </w:p>
        </w:tc>
        <w:tc>
          <w:tcPr>
            <w:tcW w:w="1890" w:type="dxa"/>
          </w:tcPr>
          <w:p w:rsidR="00177849" w:rsidRPr="006F23AA" w:rsidP="00FC522F" w14:paraId="5B2737B3" w14:textId="7D517754">
            <w:pPr>
              <w:pStyle w:val="ParaNum"/>
              <w:numPr>
                <w:ilvl w:val="0"/>
                <w:numId w:val="0"/>
              </w:numPr>
              <w:spacing w:after="220"/>
              <w:rPr>
                <w:rFonts w:ascii="Times New Roman" w:hAnsi="Times New Roman" w:cs="Times New Roman"/>
              </w:rPr>
            </w:pPr>
            <w:r w:rsidRPr="006F23AA">
              <w:rPr>
                <w:rFonts w:ascii="Times New Roman" w:hAnsi="Times New Roman" w:cs="Times New Roman"/>
              </w:rPr>
              <w:t>260</w:t>
            </w:r>
          </w:p>
        </w:tc>
        <w:tc>
          <w:tcPr>
            <w:tcW w:w="2070" w:type="dxa"/>
          </w:tcPr>
          <w:p w:rsidR="00177849" w:rsidRPr="006F23AA" w:rsidP="00FC522F" w14:paraId="0A90A76C" w14:textId="2018D71D">
            <w:pPr>
              <w:pStyle w:val="ParaNum"/>
              <w:numPr>
                <w:ilvl w:val="0"/>
                <w:numId w:val="0"/>
              </w:numPr>
              <w:spacing w:after="220"/>
              <w:rPr>
                <w:rFonts w:ascii="Times New Roman" w:hAnsi="Times New Roman" w:cs="Times New Roman"/>
              </w:rPr>
            </w:pPr>
            <w:r w:rsidRPr="006F23AA">
              <w:rPr>
                <w:rFonts w:ascii="Times New Roman" w:hAnsi="Times New Roman" w:cs="Times New Roman"/>
              </w:rPr>
              <w:t>429.7</w:t>
            </w:r>
          </w:p>
        </w:tc>
        <w:tc>
          <w:tcPr>
            <w:tcW w:w="1615" w:type="dxa"/>
          </w:tcPr>
          <w:p w:rsidR="00177849" w:rsidRPr="006F23AA" w:rsidP="00FC522F" w14:paraId="6A738218" w14:textId="2585E281">
            <w:pPr>
              <w:pStyle w:val="ParaNum"/>
              <w:numPr>
                <w:ilvl w:val="0"/>
                <w:numId w:val="0"/>
              </w:numPr>
              <w:spacing w:after="220"/>
              <w:rPr>
                <w:rFonts w:ascii="Times New Roman" w:hAnsi="Times New Roman" w:cs="Times New Roman"/>
              </w:rPr>
            </w:pPr>
            <w:r w:rsidRPr="006F23AA">
              <w:rPr>
                <w:rFonts w:ascii="Times New Roman" w:hAnsi="Times New Roman" w:cs="Times New Roman"/>
              </w:rPr>
              <w:t>664,078</w:t>
            </w:r>
          </w:p>
        </w:tc>
      </w:tr>
    </w:tbl>
    <w:p w:rsidR="00F45A0C" w:rsidRPr="005D7047" w:rsidP="00FC522F" w14:paraId="7E5631AE" w14:textId="3E5032BC">
      <w:pPr>
        <w:pStyle w:val="ParaNum"/>
        <w:rPr>
          <w:szCs w:val="22"/>
        </w:rPr>
      </w:pPr>
      <w:r w:rsidRPr="000A1733">
        <w:rPr>
          <w:szCs w:val="22"/>
        </w:rPr>
        <w:t>We also conclude that good cause exists to make this channel change effective immediately upon publication in the Federal Register, pursuant to section 553(d)(3) of the Administrative</w:t>
      </w:r>
      <w:r w:rsidRPr="000C5835" w:rsidR="006F21BC">
        <w:rPr>
          <w:szCs w:val="22"/>
        </w:rPr>
        <w:t xml:space="preserve"> Procedure Act.</w:t>
      </w:r>
      <w:r>
        <w:rPr>
          <w:rStyle w:val="FootnoteReference"/>
          <w:sz w:val="22"/>
          <w:szCs w:val="22"/>
        </w:rPr>
        <w:footnoteReference w:id="40"/>
      </w:r>
      <w:r w:rsidRPr="005D7047" w:rsidR="006F21BC">
        <w:rPr>
          <w:szCs w:val="22"/>
        </w:rPr>
        <w:t xml:space="preserve">  An expedited effective date is necessary in this case to ensure that KSNB-TV can operate with improved service to its viewers as quickly as possible.</w:t>
      </w:r>
    </w:p>
    <w:p w:rsidR="000F1FEC" w:rsidRPr="00B27C44" w:rsidP="00FC522F" w14:paraId="6B2747FD" w14:textId="4346649F">
      <w:pPr>
        <w:pStyle w:val="Heading1"/>
        <w:keepNext w:val="0"/>
        <w:suppressAutoHyphens w:val="0"/>
        <w:rPr>
          <w:rFonts w:ascii="Times New Roman" w:hAnsi="Times New Roman"/>
          <w:szCs w:val="22"/>
        </w:rPr>
      </w:pPr>
      <w:r w:rsidRPr="00B27C44">
        <w:rPr>
          <w:rFonts w:ascii="Times New Roman" w:hAnsi="Times New Roman"/>
          <w:szCs w:val="22"/>
        </w:rPr>
        <w:t>ordering clauses.</w:t>
      </w:r>
    </w:p>
    <w:p w:rsidR="00F45A0C" w:rsidRPr="00B27C44" w:rsidP="00FC522F" w14:paraId="40C1857C" w14:textId="690EF668">
      <w:pPr>
        <w:pStyle w:val="ParaNum"/>
        <w:rPr>
          <w:szCs w:val="22"/>
        </w:rPr>
      </w:pPr>
      <w:r w:rsidRPr="005D7047">
        <w:rPr>
          <w:b/>
          <w:bCs/>
          <w:szCs w:val="22"/>
        </w:rPr>
        <w:t>IT IS ORDERED</w:t>
      </w:r>
      <w:r w:rsidRPr="005D7047">
        <w:rPr>
          <w:szCs w:val="22"/>
        </w:rPr>
        <w:t xml:space="preserve"> that, pursuant to authority found in 47 U.S.C. sections 4(</w:t>
      </w:r>
      <w:r w:rsidRPr="005D7047">
        <w:rPr>
          <w:szCs w:val="22"/>
        </w:rPr>
        <w:t>i</w:t>
      </w:r>
      <w:r w:rsidRPr="005D7047">
        <w:rPr>
          <w:szCs w:val="22"/>
        </w:rPr>
        <w:t>), 5(c)(1), 303(g) and (r), and 307(b) of the Communications Act of 1934, as amended, 47 U.S.C. §§ 154(</w:t>
      </w:r>
      <w:r w:rsidRPr="005D7047">
        <w:rPr>
          <w:szCs w:val="22"/>
        </w:rPr>
        <w:t>i</w:t>
      </w:r>
      <w:r w:rsidRPr="005D7047">
        <w:rPr>
          <w:szCs w:val="22"/>
        </w:rPr>
        <w:t>), 155(c)(1), 303</w:t>
      </w:r>
      <w:r w:rsidRPr="000A1733">
        <w:rPr>
          <w:szCs w:val="22"/>
        </w:rPr>
        <w:t xml:space="preserve">(g), (r), and 307(b), and sections 0.61, 0.204(b), and 0.283 of the rules, 47 CFR §§ 0.61, 0.204(b), and 0.283, the waivers of the Commission’s </w:t>
      </w:r>
      <w:r w:rsidRPr="000A1733" w:rsidR="00AB2B4D">
        <w:rPr>
          <w:szCs w:val="22"/>
        </w:rPr>
        <w:t>r</w:t>
      </w:r>
      <w:r w:rsidRPr="000C5835">
        <w:rPr>
          <w:szCs w:val="22"/>
        </w:rPr>
        <w:t>ules</w:t>
      </w:r>
      <w:r w:rsidRPr="005D7047" w:rsidR="009E0FCB">
        <w:rPr>
          <w:szCs w:val="22"/>
        </w:rPr>
        <w:t xml:space="preserve"> under section 1.3 of the rules, 47 CFR § 1.3,</w:t>
      </w:r>
      <w:r w:rsidRPr="005D7047">
        <w:rPr>
          <w:szCs w:val="22"/>
        </w:rPr>
        <w:t xml:space="preserve"> and </w:t>
      </w:r>
      <w:r w:rsidRPr="005D7047" w:rsidR="00AB2B4D">
        <w:rPr>
          <w:szCs w:val="22"/>
        </w:rPr>
        <w:t>p</w:t>
      </w:r>
      <w:r w:rsidRPr="005D7047">
        <w:rPr>
          <w:szCs w:val="22"/>
        </w:rPr>
        <w:t>olicies to Amend the Post-Transition Table of DTV Allotments, section 73.622(</w:t>
      </w:r>
      <w:r w:rsidRPr="005D7047">
        <w:rPr>
          <w:szCs w:val="22"/>
        </w:rPr>
        <w:t>i</w:t>
      </w:r>
      <w:r w:rsidRPr="005D7047">
        <w:rPr>
          <w:szCs w:val="22"/>
        </w:rPr>
        <w:t>) of the rules, 47 CFR § 73.622(</w:t>
      </w:r>
      <w:r w:rsidRPr="005D7047">
        <w:rPr>
          <w:szCs w:val="22"/>
        </w:rPr>
        <w:t>i</w:t>
      </w:r>
      <w:r w:rsidRPr="005D7047">
        <w:rPr>
          <w:szCs w:val="22"/>
        </w:rPr>
        <w:t xml:space="preserve">), </w:t>
      </w:r>
      <w:r w:rsidRPr="005D7047">
        <w:rPr>
          <w:b/>
          <w:bCs/>
          <w:szCs w:val="22"/>
        </w:rPr>
        <w:t>ARE GRANTED</w:t>
      </w:r>
      <w:r w:rsidRPr="005D7047">
        <w:rPr>
          <w:szCs w:val="22"/>
        </w:rPr>
        <w:t xml:space="preserve">, and this </w:t>
      </w:r>
      <w:r w:rsidRPr="005D7047">
        <w:rPr>
          <w:i/>
          <w:iCs/>
          <w:szCs w:val="22"/>
        </w:rPr>
        <w:t>Report and Order</w:t>
      </w:r>
      <w:r w:rsidRPr="005D7047">
        <w:rPr>
          <w:szCs w:val="22"/>
        </w:rPr>
        <w:t xml:space="preserve"> </w:t>
      </w:r>
      <w:r w:rsidRPr="005D7047">
        <w:rPr>
          <w:b/>
          <w:szCs w:val="22"/>
        </w:rPr>
        <w:t>IS ADOPTED.</w:t>
      </w:r>
      <w:r w:rsidRPr="006F23AA">
        <w:rPr>
          <w:szCs w:val="22"/>
        </w:rPr>
        <w:t xml:space="preserve"> </w:t>
      </w:r>
      <w:r w:rsidR="006F23AA">
        <w:rPr>
          <w:szCs w:val="22"/>
        </w:rPr>
        <w:t xml:space="preserve"> </w:t>
      </w:r>
      <w:r w:rsidRPr="006F23AA">
        <w:rPr>
          <w:b/>
          <w:bCs/>
          <w:szCs w:val="22"/>
        </w:rPr>
        <w:t xml:space="preserve">IT IS </w:t>
      </w:r>
      <w:r w:rsidRPr="006F23AA" w:rsidR="00B27C44">
        <w:rPr>
          <w:b/>
          <w:bCs/>
          <w:szCs w:val="22"/>
        </w:rPr>
        <w:t xml:space="preserve">FURTHER </w:t>
      </w:r>
      <w:r w:rsidRPr="006F23AA">
        <w:rPr>
          <w:b/>
          <w:bCs/>
          <w:szCs w:val="22"/>
        </w:rPr>
        <w:t>ORDERED</w:t>
      </w:r>
      <w:r w:rsidRPr="006F23AA">
        <w:rPr>
          <w:szCs w:val="22"/>
        </w:rPr>
        <w:t xml:space="preserve">, </w:t>
      </w:r>
      <w:r w:rsidRPr="006F23AA">
        <w:rPr>
          <w:szCs w:val="22"/>
        </w:rPr>
        <w:t>That</w:t>
      </w:r>
      <w:r w:rsidRPr="006F23AA">
        <w:rPr>
          <w:szCs w:val="22"/>
        </w:rPr>
        <w:t xml:space="preserve"> effective immediately upon the date of publication in the Federal Register, the DTV Table of Allotments, section 73.622(</w:t>
      </w:r>
      <w:r w:rsidRPr="006F23AA">
        <w:rPr>
          <w:szCs w:val="22"/>
        </w:rPr>
        <w:t>i</w:t>
      </w:r>
      <w:r w:rsidRPr="006F23AA">
        <w:rPr>
          <w:szCs w:val="22"/>
        </w:rPr>
        <w:t>) of the Commission’s rules, 47 CFR § 73.622(</w:t>
      </w:r>
      <w:r w:rsidRPr="006F23AA">
        <w:rPr>
          <w:szCs w:val="22"/>
        </w:rPr>
        <w:t>i</w:t>
      </w:r>
      <w:r w:rsidRPr="006F23AA">
        <w:rPr>
          <w:szCs w:val="22"/>
        </w:rPr>
        <w:t xml:space="preserve">), </w:t>
      </w:r>
      <w:r w:rsidRPr="006F23AA">
        <w:rPr>
          <w:b/>
          <w:bCs/>
          <w:szCs w:val="22"/>
        </w:rPr>
        <w:t>IS AMENDED</w:t>
      </w:r>
      <w:r w:rsidRPr="006F23AA">
        <w:rPr>
          <w:szCs w:val="22"/>
        </w:rPr>
        <w:t>, with respect to the communit</w:t>
      </w:r>
      <w:r w:rsidRPr="006F23AA" w:rsidR="00157C7B">
        <w:rPr>
          <w:szCs w:val="22"/>
        </w:rPr>
        <w:t>ies</w:t>
      </w:r>
      <w:r w:rsidRPr="006F23AA">
        <w:rPr>
          <w:szCs w:val="22"/>
        </w:rPr>
        <w:t xml:space="preserve"> listed below, to read as follows:</w:t>
      </w:r>
    </w:p>
    <w:p w:rsidR="00F45A0C" w:rsidRPr="00B27C44" w:rsidP="00FC522F" w14:paraId="2ADEE2A3" w14:textId="0EED26D5">
      <w:pPr>
        <w:pStyle w:val="ParaNum"/>
        <w:numPr>
          <w:ilvl w:val="0"/>
          <w:numId w:val="0"/>
        </w:numPr>
        <w:ind w:left="720"/>
        <w:rPr>
          <w:szCs w:val="22"/>
        </w:rPr>
      </w:pPr>
      <w:r w:rsidRPr="000C5835">
        <w:rPr>
          <w:szCs w:val="22"/>
          <w:u w:val="single"/>
        </w:rPr>
        <w:t>City and State</w:t>
      </w:r>
      <w:r w:rsidRPr="00B27C44">
        <w:rPr>
          <w:szCs w:val="22"/>
        </w:rPr>
        <w:tab/>
      </w:r>
      <w:r w:rsidRPr="00B27C44">
        <w:rPr>
          <w:szCs w:val="22"/>
        </w:rPr>
        <w:tab/>
      </w:r>
      <w:r w:rsidRPr="00B27C44">
        <w:rPr>
          <w:szCs w:val="22"/>
        </w:rPr>
        <w:tab/>
      </w:r>
      <w:r w:rsidRPr="00B27C44">
        <w:rPr>
          <w:szCs w:val="22"/>
        </w:rPr>
        <w:tab/>
      </w:r>
      <w:r w:rsidRPr="00B27C44">
        <w:rPr>
          <w:szCs w:val="22"/>
          <w:u w:val="single"/>
        </w:rPr>
        <w:t>Channel</w:t>
      </w:r>
    </w:p>
    <w:p w:rsidR="00F45A0C" w:rsidRPr="00B27C44" w:rsidP="00FC522F" w14:paraId="686239F6" w14:textId="1B5DF2C0">
      <w:pPr>
        <w:pStyle w:val="ParaNum"/>
        <w:numPr>
          <w:ilvl w:val="0"/>
          <w:numId w:val="0"/>
        </w:numPr>
        <w:ind w:left="720"/>
        <w:rPr>
          <w:szCs w:val="22"/>
        </w:rPr>
      </w:pPr>
      <w:r w:rsidRPr="00B27C44">
        <w:rPr>
          <w:szCs w:val="22"/>
        </w:rPr>
        <w:t>York, Nebraska</w:t>
      </w:r>
      <w:r w:rsidRPr="00B27C44">
        <w:rPr>
          <w:szCs w:val="22"/>
        </w:rPr>
        <w:tab/>
      </w:r>
      <w:r w:rsidRPr="00B27C44">
        <w:rPr>
          <w:szCs w:val="22"/>
        </w:rPr>
        <w:tab/>
      </w:r>
      <w:r w:rsidRPr="00B27C44">
        <w:rPr>
          <w:szCs w:val="22"/>
        </w:rPr>
        <w:tab/>
      </w:r>
      <w:r w:rsidRPr="00B27C44">
        <w:rPr>
          <w:szCs w:val="22"/>
        </w:rPr>
        <w:tab/>
        <w:t xml:space="preserve">    24</w:t>
      </w:r>
    </w:p>
    <w:p w:rsidR="00157C7B" w:rsidRPr="00B27C44" w:rsidP="00FC522F" w14:paraId="7E367E6C" w14:textId="2C02240F">
      <w:pPr>
        <w:pStyle w:val="ParaNum"/>
        <w:numPr>
          <w:ilvl w:val="0"/>
          <w:numId w:val="0"/>
        </w:numPr>
        <w:ind w:left="720"/>
        <w:rPr>
          <w:szCs w:val="22"/>
        </w:rPr>
      </w:pPr>
      <w:r w:rsidRPr="00B27C44">
        <w:rPr>
          <w:szCs w:val="22"/>
        </w:rPr>
        <w:t>Superior, Nebraska</w:t>
      </w:r>
      <w:r w:rsidRPr="00B27C44">
        <w:rPr>
          <w:szCs w:val="22"/>
        </w:rPr>
        <w:tab/>
      </w:r>
      <w:r w:rsidRPr="00B27C44">
        <w:rPr>
          <w:szCs w:val="22"/>
        </w:rPr>
        <w:tab/>
      </w:r>
      <w:r w:rsidRPr="00B27C44">
        <w:rPr>
          <w:szCs w:val="22"/>
        </w:rPr>
        <w:tab/>
        <w:t xml:space="preserve">      -</w:t>
      </w:r>
    </w:p>
    <w:p w:rsidR="000F1FEC" w:rsidRPr="009E0FCB" w:rsidP="00FC522F" w14:paraId="179BE75A" w14:textId="3BB42728">
      <w:pPr>
        <w:pStyle w:val="ParaNum"/>
        <w:rPr>
          <w:szCs w:val="22"/>
        </w:rPr>
      </w:pPr>
      <w:r w:rsidRPr="00B27C44">
        <w:rPr>
          <w:szCs w:val="22"/>
        </w:rPr>
        <w:t xml:space="preserve"> </w:t>
      </w:r>
      <w:r w:rsidRPr="00B27C44">
        <w:rPr>
          <w:b/>
          <w:bCs/>
          <w:szCs w:val="22"/>
        </w:rPr>
        <w:t>IT IS</w:t>
      </w:r>
      <w:r w:rsidRPr="00B27C44">
        <w:rPr>
          <w:szCs w:val="22"/>
        </w:rPr>
        <w:t xml:space="preserve"> </w:t>
      </w:r>
      <w:r w:rsidRPr="00B27C44">
        <w:rPr>
          <w:b/>
          <w:bCs/>
          <w:szCs w:val="22"/>
        </w:rPr>
        <w:t>FURTHER ORDERED</w:t>
      </w:r>
      <w:r w:rsidRPr="00B27C44">
        <w:rPr>
          <w:szCs w:val="22"/>
        </w:rPr>
        <w:t xml:space="preserve">, </w:t>
      </w:r>
      <w:r w:rsidRPr="00B27C44" w:rsidR="00AB2B4D">
        <w:rPr>
          <w:szCs w:val="22"/>
        </w:rPr>
        <w:t>That</w:t>
      </w:r>
      <w:r w:rsidRPr="00B27C44" w:rsidR="00AB2B4D">
        <w:rPr>
          <w:szCs w:val="22"/>
        </w:rPr>
        <w:t xml:space="preserve"> effective immediately upon the date of publication in the Federal Register, channel 4 is deleted from Superior, Nebraska and channel 24 is allotted to York, Nebraska.  </w:t>
      </w:r>
      <w:r w:rsidRPr="00B27C44" w:rsidR="00AB2B4D">
        <w:rPr>
          <w:b/>
          <w:bCs/>
          <w:szCs w:val="22"/>
        </w:rPr>
        <w:t>IT IS</w:t>
      </w:r>
      <w:r w:rsidRPr="00B27C44" w:rsidR="00AB2B4D">
        <w:rPr>
          <w:szCs w:val="22"/>
        </w:rPr>
        <w:t xml:space="preserve"> </w:t>
      </w:r>
      <w:r w:rsidRPr="00B27C44" w:rsidR="00AB2B4D">
        <w:rPr>
          <w:b/>
          <w:bCs/>
          <w:szCs w:val="22"/>
        </w:rPr>
        <w:t xml:space="preserve">FURTHER </w:t>
      </w:r>
      <w:r w:rsidRPr="00B27C44" w:rsidR="00AB2B4D">
        <w:rPr>
          <w:b/>
          <w:bCs/>
          <w:szCs w:val="22"/>
        </w:rPr>
        <w:t>ORDERED</w:t>
      </w:r>
      <w:r w:rsidRPr="00B27C44" w:rsidR="00AB2B4D">
        <w:rPr>
          <w:szCs w:val="22"/>
        </w:rPr>
        <w:t>,</w:t>
      </w:r>
      <w:r w:rsidRPr="00B27C44" w:rsidR="00AB2B4D">
        <w:rPr>
          <w:szCs w:val="22"/>
        </w:rPr>
        <w:t xml:space="preserve"> That Gray Television Licensee, LLC </w:t>
      </w:r>
      <w:r w:rsidRPr="00B27C44" w:rsidR="00AB2B4D">
        <w:rPr>
          <w:b/>
          <w:bCs/>
          <w:szCs w:val="22"/>
        </w:rPr>
        <w:t>SHALL FILE</w:t>
      </w:r>
      <w:r w:rsidRPr="00B27C44" w:rsidR="00AB2B4D">
        <w:rPr>
          <w:szCs w:val="22"/>
        </w:rPr>
        <w:t xml:space="preserve"> an application requesting a modification of its license, and pending the grant of aforementioned application, </w:t>
      </w:r>
      <w:r w:rsidRPr="00B27C44" w:rsidR="00AB2B4D">
        <w:rPr>
          <w:szCs w:val="22"/>
        </w:rPr>
        <w:t>KSN</w:t>
      </w:r>
      <w:r w:rsidRPr="00B27C44" w:rsidR="009E7011">
        <w:rPr>
          <w:szCs w:val="22"/>
        </w:rPr>
        <w:t>B</w:t>
      </w:r>
      <w:r w:rsidRPr="00B27C44" w:rsidR="00AB2B4D">
        <w:rPr>
          <w:szCs w:val="22"/>
        </w:rPr>
        <w:t xml:space="preserve">-TV’s community of license </w:t>
      </w:r>
      <w:r w:rsidRPr="00B27C44" w:rsidR="00AB2B4D">
        <w:rPr>
          <w:b/>
          <w:bCs/>
          <w:szCs w:val="22"/>
        </w:rPr>
        <w:t>SHALL BE</w:t>
      </w:r>
      <w:r w:rsidRPr="00B27C44" w:rsidR="00AB2B4D">
        <w:rPr>
          <w:szCs w:val="22"/>
        </w:rPr>
        <w:t xml:space="preserve"> </w:t>
      </w:r>
      <w:r w:rsidRPr="00B27C44" w:rsidR="00AB2B4D">
        <w:rPr>
          <w:b/>
          <w:bCs/>
          <w:szCs w:val="22"/>
        </w:rPr>
        <w:t>MODIFIED</w:t>
      </w:r>
      <w:r w:rsidRPr="00B27C44" w:rsidR="00AB2B4D">
        <w:rPr>
          <w:szCs w:val="22"/>
        </w:rPr>
        <w:t xml:space="preserve"> to York, Nebraska.  </w:t>
      </w:r>
      <w:r w:rsidRPr="00B27C44" w:rsidR="00AB2B4D">
        <w:rPr>
          <w:b/>
          <w:bCs/>
          <w:szCs w:val="22"/>
        </w:rPr>
        <w:t>IT IS FURTHER</w:t>
      </w:r>
      <w:r w:rsidRPr="00B27C44" w:rsidR="00AB2B4D">
        <w:rPr>
          <w:szCs w:val="22"/>
        </w:rPr>
        <w:t xml:space="preserve"> </w:t>
      </w:r>
      <w:r w:rsidRPr="00B27C44" w:rsidR="00AB2B4D">
        <w:rPr>
          <w:b/>
          <w:bCs/>
          <w:szCs w:val="22"/>
        </w:rPr>
        <w:t>ORDERED</w:t>
      </w:r>
      <w:r w:rsidRPr="00B27C44" w:rsidR="00AB2B4D">
        <w:rPr>
          <w:szCs w:val="22"/>
        </w:rPr>
        <w:t xml:space="preserve">, </w:t>
      </w:r>
      <w:r w:rsidRPr="00B27C44" w:rsidR="00AB2B4D">
        <w:rPr>
          <w:szCs w:val="22"/>
        </w:rPr>
        <w:t>That</w:t>
      </w:r>
      <w:r w:rsidRPr="00B27C44" w:rsidR="00AB2B4D">
        <w:rPr>
          <w:szCs w:val="22"/>
        </w:rPr>
        <w:t xml:space="preserve"> </w:t>
      </w:r>
      <w:r w:rsidRPr="00B27C44" w:rsidR="00FD235C">
        <w:rPr>
          <w:szCs w:val="22"/>
        </w:rPr>
        <w:t xml:space="preserve">within 30 days of the effective date of this Order, </w:t>
      </w:r>
      <w:r w:rsidRPr="00B27C44" w:rsidR="00AB2B4D">
        <w:rPr>
          <w:szCs w:val="22"/>
        </w:rPr>
        <w:t xml:space="preserve">Gray Television Licensee, LLC </w:t>
      </w:r>
      <w:r w:rsidRPr="00B27C44">
        <w:rPr>
          <w:b/>
          <w:bCs/>
          <w:szCs w:val="22"/>
        </w:rPr>
        <w:t>SHALL FILE</w:t>
      </w:r>
      <w:r w:rsidRPr="00B27C44">
        <w:rPr>
          <w:szCs w:val="22"/>
        </w:rPr>
        <w:t xml:space="preserve"> </w:t>
      </w:r>
      <w:r w:rsidRPr="00B27C44" w:rsidR="00D85756">
        <w:rPr>
          <w:szCs w:val="22"/>
        </w:rPr>
        <w:t xml:space="preserve"> a minor change application for a construction permit (Form 2100, Schedule A) specifying channel 24 in lieu of channel 4</w:t>
      </w:r>
      <w:r w:rsidRPr="00B27C44" w:rsidR="00AB2B4D">
        <w:rPr>
          <w:szCs w:val="22"/>
        </w:rPr>
        <w:t xml:space="preserve"> with the technical parameters adopted in this Order</w:t>
      </w:r>
      <w:r w:rsidRPr="00B27C44" w:rsidR="00D85756">
        <w:rPr>
          <w:szCs w:val="22"/>
        </w:rPr>
        <w:t>.</w:t>
      </w:r>
    </w:p>
    <w:p w:rsidR="000F1FEC" w:rsidRPr="009E0FCB" w:rsidP="00FC522F" w14:paraId="435CBDC6" w14:textId="55B4E410">
      <w:pPr>
        <w:pStyle w:val="ParaNum"/>
        <w:rPr>
          <w:szCs w:val="22"/>
        </w:rPr>
      </w:pPr>
      <w:r w:rsidRPr="005D7047">
        <w:rPr>
          <w:b/>
          <w:szCs w:val="22"/>
        </w:rPr>
        <w:t>IT IS FURTHER ORDERED</w:t>
      </w:r>
      <w:r w:rsidRPr="005D7047">
        <w:rPr>
          <w:bCs/>
          <w:szCs w:val="22"/>
        </w:rPr>
        <w:t>,</w:t>
      </w:r>
      <w:r w:rsidRPr="005D7047">
        <w:rPr>
          <w:szCs w:val="22"/>
        </w:rPr>
        <w:t xml:space="preserve"> </w:t>
      </w:r>
      <w:r w:rsidRPr="005D7047">
        <w:rPr>
          <w:szCs w:val="22"/>
        </w:rPr>
        <w:t>That</w:t>
      </w:r>
      <w:r w:rsidRPr="005D7047">
        <w:rPr>
          <w:szCs w:val="22"/>
        </w:rPr>
        <w:t xml:space="preserve"> pursuant to section 801(a)(1)(A) of the Congressional Review Act, 5 U.S.C. § 801(a)(1)(A), the Commission </w:t>
      </w:r>
      <w:r w:rsidRPr="000A1733">
        <w:rPr>
          <w:b/>
          <w:szCs w:val="22"/>
        </w:rPr>
        <w:t>SHALL SEND</w:t>
      </w:r>
      <w:r w:rsidRPr="000A1733">
        <w:rPr>
          <w:szCs w:val="22"/>
        </w:rPr>
        <w:t xml:space="preserve"> a copy of the Order to Congress and to the Government Accountability Office</w:t>
      </w:r>
      <w:r w:rsidRPr="009E0FCB" w:rsidR="00C1749C">
        <w:rPr>
          <w:b/>
          <w:szCs w:val="22"/>
        </w:rPr>
        <w:t xml:space="preserve">.  </w:t>
      </w:r>
    </w:p>
    <w:p w:rsidR="000F1FEC" w:rsidRPr="009E0FCB" w:rsidP="00FC522F" w14:paraId="57E93895" w14:textId="493F4786">
      <w:pPr>
        <w:pStyle w:val="ParaNum"/>
        <w:rPr>
          <w:szCs w:val="22"/>
        </w:rPr>
      </w:pPr>
      <w:r w:rsidRPr="009E0FCB">
        <w:rPr>
          <w:b/>
          <w:szCs w:val="22"/>
        </w:rPr>
        <w:t>IT IS FURTHER ORDERED</w:t>
      </w:r>
      <w:r w:rsidRPr="009E0FCB" w:rsidR="006F21BC">
        <w:rPr>
          <w:b/>
          <w:szCs w:val="22"/>
        </w:rPr>
        <w:t xml:space="preserve">, </w:t>
      </w:r>
      <w:r w:rsidRPr="005D7047" w:rsidR="006F21BC">
        <w:rPr>
          <w:szCs w:val="22"/>
        </w:rPr>
        <w:t>That</w:t>
      </w:r>
      <w:r w:rsidRPr="005D7047" w:rsidR="006F21BC">
        <w:rPr>
          <w:b/>
          <w:bCs/>
          <w:szCs w:val="22"/>
        </w:rPr>
        <w:t xml:space="preserve"> </w:t>
      </w:r>
      <w:r w:rsidRPr="005D7047" w:rsidR="006F21BC">
        <w:rPr>
          <w:szCs w:val="22"/>
        </w:rPr>
        <w:t>should no petitions for reconsideration or petitions for judicial review be timely filed,</w:t>
      </w:r>
      <w:r w:rsidRPr="000A1733" w:rsidR="006F21BC">
        <w:rPr>
          <w:b/>
          <w:bCs/>
          <w:szCs w:val="22"/>
        </w:rPr>
        <w:t xml:space="preserve"> </w:t>
      </w:r>
      <w:r w:rsidRPr="000A1733" w:rsidR="006F21BC">
        <w:rPr>
          <w:szCs w:val="22"/>
        </w:rPr>
        <w:t xml:space="preserve">MB Docket No. 21-60 and RM-11884 </w:t>
      </w:r>
      <w:r w:rsidRPr="000A1733" w:rsidR="006F21BC">
        <w:rPr>
          <w:b/>
          <w:bCs/>
          <w:szCs w:val="22"/>
        </w:rPr>
        <w:t xml:space="preserve">SHALL BE TERMINATED </w:t>
      </w:r>
      <w:r w:rsidRPr="000C5835" w:rsidR="006F21BC">
        <w:rPr>
          <w:szCs w:val="22"/>
        </w:rPr>
        <w:t>and its docket closed.</w:t>
      </w:r>
    </w:p>
    <w:p w:rsidR="00F45A0C" w:rsidRPr="00B63F6E" w:rsidP="00FC522F" w14:paraId="2C7B4FC5" w14:textId="11B00FF0">
      <w:pPr>
        <w:pStyle w:val="ParaNum"/>
        <w:rPr>
          <w:szCs w:val="22"/>
        </w:rPr>
      </w:pPr>
      <w:r w:rsidRPr="005D7047">
        <w:rPr>
          <w:i/>
          <w:iCs/>
          <w:szCs w:val="22"/>
        </w:rPr>
        <w:t>Additional Information</w:t>
      </w:r>
      <w:r w:rsidRPr="005D7047">
        <w:rPr>
          <w:szCs w:val="22"/>
        </w:rPr>
        <w:t xml:space="preserve">.  For further information concerning the proceeding listed above, contact Joyce L. Bernstein, Video Division, Media Bureau, (202) 418-1647, </w:t>
      </w:r>
      <w:hyperlink r:id="rId5" w:history="1">
        <w:r w:rsidRPr="00B63F6E">
          <w:rPr>
            <w:rStyle w:val="Hyperlink"/>
            <w:szCs w:val="22"/>
          </w:rPr>
          <w:t>Joyce.Bernstein@fcc.gov</w:t>
        </w:r>
      </w:hyperlink>
      <w:r w:rsidRPr="009E0FCB">
        <w:rPr>
          <w:rStyle w:val="Hyperlink"/>
          <w:szCs w:val="22"/>
        </w:rPr>
        <w:t>.</w:t>
      </w:r>
    </w:p>
    <w:p w:rsidR="000F1FEC" w:rsidRPr="005D7047" w:rsidP="00FC522F" w14:paraId="292C9C4C" w14:textId="77777777">
      <w:pPr>
        <w:rPr>
          <w:szCs w:val="22"/>
        </w:rPr>
      </w:pPr>
      <w:r w:rsidRPr="005D7047">
        <w:rPr>
          <w:szCs w:val="22"/>
        </w:rPr>
        <w:tab/>
      </w:r>
      <w:r w:rsidRPr="005D7047">
        <w:rPr>
          <w:szCs w:val="22"/>
        </w:rPr>
        <w:tab/>
      </w:r>
      <w:r w:rsidRPr="005D7047">
        <w:rPr>
          <w:szCs w:val="22"/>
        </w:rPr>
        <w:tab/>
      </w:r>
      <w:r w:rsidRPr="005D7047">
        <w:rPr>
          <w:szCs w:val="22"/>
        </w:rPr>
        <w:tab/>
      </w:r>
      <w:r w:rsidRPr="005D7047">
        <w:rPr>
          <w:szCs w:val="22"/>
        </w:rPr>
        <w:tab/>
      </w:r>
      <w:r w:rsidRPr="005D7047">
        <w:rPr>
          <w:szCs w:val="22"/>
        </w:rPr>
        <w:tab/>
        <w:t>FEDERAL COMMUNICATIONS COMMISSION</w:t>
      </w:r>
    </w:p>
    <w:p w:rsidR="000F1FEC" w:rsidRPr="000A1733" w:rsidP="00FC522F" w14:paraId="2F74E63A" w14:textId="77777777">
      <w:pPr>
        <w:rPr>
          <w:szCs w:val="22"/>
        </w:rPr>
      </w:pPr>
    </w:p>
    <w:p w:rsidR="000F1FEC" w:rsidRPr="000A1733" w:rsidP="00FC522F" w14:paraId="32B11803" w14:textId="77777777">
      <w:pPr>
        <w:rPr>
          <w:szCs w:val="22"/>
        </w:rPr>
      </w:pPr>
    </w:p>
    <w:p w:rsidR="000F1FEC" w:rsidRPr="000C5835" w:rsidP="00FC522F" w14:paraId="4EF2F5DE" w14:textId="77777777">
      <w:pPr>
        <w:rPr>
          <w:szCs w:val="22"/>
        </w:rPr>
      </w:pPr>
    </w:p>
    <w:p w:rsidR="000F1FEC" w:rsidRPr="00B27C44" w:rsidP="00FC522F" w14:paraId="59CF2A20" w14:textId="77777777">
      <w:pPr>
        <w:rPr>
          <w:szCs w:val="22"/>
        </w:rPr>
      </w:pPr>
    </w:p>
    <w:p w:rsidR="000F1FEC" w:rsidRPr="00B27C44" w:rsidP="00FC522F" w14:paraId="7B8FFDB7" w14:textId="77777777">
      <w:pPr>
        <w:rPr>
          <w:szCs w:val="22"/>
        </w:rPr>
      </w:pPr>
      <w:r w:rsidRPr="00B27C44">
        <w:rPr>
          <w:szCs w:val="22"/>
        </w:rPr>
        <w:tab/>
      </w:r>
      <w:r w:rsidRPr="00B27C44">
        <w:rPr>
          <w:szCs w:val="22"/>
        </w:rPr>
        <w:tab/>
      </w:r>
      <w:r w:rsidRPr="00B27C44">
        <w:rPr>
          <w:szCs w:val="22"/>
        </w:rPr>
        <w:tab/>
      </w:r>
      <w:r w:rsidRPr="00B27C44">
        <w:rPr>
          <w:szCs w:val="22"/>
        </w:rPr>
        <w:tab/>
      </w:r>
      <w:r w:rsidRPr="00B27C44">
        <w:rPr>
          <w:szCs w:val="22"/>
        </w:rPr>
        <w:tab/>
      </w:r>
      <w:r w:rsidRPr="00B27C44">
        <w:rPr>
          <w:szCs w:val="22"/>
        </w:rPr>
        <w:tab/>
        <w:t>Barbara A. Kreisman</w:t>
      </w:r>
    </w:p>
    <w:p w:rsidR="000F1FEC" w:rsidRPr="00B27C44" w:rsidP="00FC522F" w14:paraId="5E054B7E" w14:textId="77777777">
      <w:pPr>
        <w:rPr>
          <w:szCs w:val="22"/>
        </w:rPr>
      </w:pPr>
      <w:r w:rsidRPr="00B27C44">
        <w:rPr>
          <w:szCs w:val="22"/>
        </w:rPr>
        <w:tab/>
      </w:r>
      <w:r w:rsidRPr="00B27C44">
        <w:rPr>
          <w:szCs w:val="22"/>
        </w:rPr>
        <w:tab/>
      </w:r>
      <w:r w:rsidRPr="00B27C44">
        <w:rPr>
          <w:szCs w:val="22"/>
        </w:rPr>
        <w:tab/>
      </w:r>
      <w:r w:rsidRPr="00B27C44">
        <w:rPr>
          <w:szCs w:val="22"/>
        </w:rPr>
        <w:tab/>
      </w:r>
      <w:r w:rsidRPr="00B27C44">
        <w:rPr>
          <w:szCs w:val="22"/>
        </w:rPr>
        <w:tab/>
      </w:r>
      <w:r w:rsidRPr="00B27C44">
        <w:rPr>
          <w:szCs w:val="22"/>
        </w:rPr>
        <w:tab/>
        <w:t>Chief, Video Division</w:t>
      </w:r>
    </w:p>
    <w:p w:rsidR="00412FC5" w:rsidRPr="009E0FCB" w:rsidP="00FC522F" w14:paraId="0C2DFDEA" w14:textId="77777777">
      <w:pPr>
        <w:pStyle w:val="ParaNum"/>
        <w:numPr>
          <w:ilvl w:val="0"/>
          <w:numId w:val="0"/>
        </w:numPr>
        <w:ind w:left="3600" w:firstLine="720"/>
        <w:rPr>
          <w:spacing w:val="-3"/>
          <w:szCs w:val="22"/>
        </w:rPr>
      </w:pPr>
      <w:r w:rsidRPr="00B27C44">
        <w:rPr>
          <w:szCs w:val="22"/>
        </w:rPr>
        <w:t>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C1C3B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F7EFC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F1FEC" w14:paraId="030F548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07DE98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F10A0" w14:paraId="749FE486" w14:textId="77777777">
      <w:r>
        <w:separator/>
      </w:r>
    </w:p>
  </w:footnote>
  <w:footnote w:type="continuationSeparator" w:id="1">
    <w:p w:rsidR="005F10A0" w:rsidP="00C721AC" w14:paraId="16318D10" w14:textId="77777777">
      <w:pPr>
        <w:spacing w:before="120"/>
        <w:rPr>
          <w:sz w:val="20"/>
        </w:rPr>
      </w:pPr>
      <w:r>
        <w:rPr>
          <w:sz w:val="20"/>
        </w:rPr>
        <w:t xml:space="preserve">(Continued from previous page)  </w:t>
      </w:r>
      <w:r>
        <w:rPr>
          <w:sz w:val="20"/>
        </w:rPr>
        <w:separator/>
      </w:r>
    </w:p>
  </w:footnote>
  <w:footnote w:type="continuationNotice" w:id="2">
    <w:p w:rsidR="005F10A0" w:rsidP="00C721AC" w14:paraId="611160A6" w14:textId="77777777">
      <w:pPr>
        <w:jc w:val="right"/>
        <w:rPr>
          <w:sz w:val="20"/>
        </w:rPr>
      </w:pPr>
      <w:r>
        <w:rPr>
          <w:sz w:val="20"/>
        </w:rPr>
        <w:t>(continued….)</w:t>
      </w:r>
    </w:p>
  </w:footnote>
  <w:footnote w:id="3">
    <w:p w:rsidR="000C3790" w:rsidP="00FC522F" w14:paraId="040A458D" w14:textId="465EA087">
      <w:pPr>
        <w:pStyle w:val="FootnoteText"/>
        <w:widowControl w:val="0"/>
      </w:pPr>
      <w:r>
        <w:rPr>
          <w:rStyle w:val="FootnoteReference"/>
        </w:rPr>
        <w:footnoteRef/>
      </w:r>
      <w:r>
        <w:t xml:space="preserve"> Amendment of Section 73.622(</w:t>
      </w:r>
      <w:r>
        <w:t>i</w:t>
      </w:r>
      <w:r>
        <w:t xml:space="preserve">), Post-Transition Table of DTV Allotments, Television Broadcast Stations (Superior and York, Nebraska), 36 FCC </w:t>
      </w:r>
      <w:r>
        <w:t>Rcd</w:t>
      </w:r>
      <w:r>
        <w:t xml:space="preserve"> 4284 (Vid. Div. 2021)</w:t>
      </w:r>
      <w:r w:rsidR="001610B7">
        <w:t xml:space="preserve"> (</w:t>
      </w:r>
      <w:r w:rsidRPr="0087459D" w:rsidR="001610B7">
        <w:rPr>
          <w:i/>
          <w:iCs/>
        </w:rPr>
        <w:t>NPRM</w:t>
      </w:r>
      <w:r w:rsidR="001610B7">
        <w:t>)</w:t>
      </w:r>
      <w:r>
        <w:t>.</w:t>
      </w:r>
    </w:p>
  </w:footnote>
  <w:footnote w:id="4">
    <w:p w:rsidR="000F1FEC" w:rsidRPr="00F629D0" w:rsidP="00FC522F" w14:paraId="1D3BDF86" w14:textId="67ABE7A0">
      <w:pPr>
        <w:spacing w:after="120"/>
        <w:rPr>
          <w:sz w:val="20"/>
        </w:rPr>
      </w:pPr>
      <w:r w:rsidRPr="00D62C5A">
        <w:rPr>
          <w:rStyle w:val="FootnoteReference"/>
        </w:rPr>
        <w:footnoteRef/>
      </w:r>
      <w:r w:rsidRPr="00D62C5A">
        <w:rPr>
          <w:sz w:val="20"/>
        </w:rPr>
        <w:t xml:space="preserve"> </w:t>
      </w:r>
      <w:r w:rsidR="001610B7">
        <w:rPr>
          <w:sz w:val="20"/>
        </w:rPr>
        <w:t xml:space="preserve">As noted in the </w:t>
      </w:r>
      <w:r w:rsidRPr="002849EB" w:rsidR="001610B7">
        <w:rPr>
          <w:i/>
          <w:iCs/>
          <w:sz w:val="20"/>
        </w:rPr>
        <w:t>NP</w:t>
      </w:r>
      <w:r w:rsidRPr="002849EB" w:rsidR="00C91B27">
        <w:rPr>
          <w:i/>
          <w:iCs/>
          <w:sz w:val="20"/>
        </w:rPr>
        <w:t>RM</w:t>
      </w:r>
      <w:r w:rsidR="00C91B27">
        <w:rPr>
          <w:sz w:val="20"/>
        </w:rPr>
        <w:t>, o</w:t>
      </w:r>
      <w:r>
        <w:rPr>
          <w:sz w:val="20"/>
        </w:rPr>
        <w:t>n April 13, 2017, the Commission completed the incentive auction and broadcast television spectrum repacking authorized by the Spectrum Act</w:t>
      </w:r>
      <w:r w:rsidR="00C91B27">
        <w:rPr>
          <w:sz w:val="20"/>
        </w:rPr>
        <w:t xml:space="preserve"> and the</w:t>
      </w:r>
      <w:r w:rsidRPr="00D62C5A">
        <w:rPr>
          <w:sz w:val="20"/>
        </w:rPr>
        <w:t xml:space="preserve"> post-incentive auction transition period</w:t>
      </w:r>
      <w:r>
        <w:rPr>
          <w:sz w:val="20"/>
        </w:rPr>
        <w:t xml:space="preserve"> ended on July 13, 2020.</w:t>
      </w:r>
      <w:r w:rsidRPr="00D62C5A">
        <w:rPr>
          <w:sz w:val="20"/>
        </w:rPr>
        <w:t xml:space="preserve"> </w:t>
      </w:r>
      <w:r>
        <w:rPr>
          <w:sz w:val="20"/>
        </w:rPr>
        <w:t xml:space="preserve"> T</w:t>
      </w:r>
      <w:r w:rsidRPr="00D62C5A">
        <w:rPr>
          <w:sz w:val="20"/>
        </w:rPr>
        <w:t xml:space="preserve">he </w:t>
      </w:r>
      <w:r w:rsidR="00C91B27">
        <w:rPr>
          <w:sz w:val="20"/>
        </w:rPr>
        <w:t xml:space="preserve">Commission </w:t>
      </w:r>
      <w:r w:rsidRPr="00D62C5A">
        <w:rPr>
          <w:sz w:val="20"/>
        </w:rPr>
        <w:t>will amend the rules to reflect all new full power channel assignments in a revised Table of Allotments</w:t>
      </w:r>
      <w:r w:rsidR="0087459D">
        <w:rPr>
          <w:sz w:val="20"/>
        </w:rPr>
        <w:t>, but</w:t>
      </w:r>
      <w:r>
        <w:rPr>
          <w:sz w:val="20"/>
        </w:rPr>
        <w:t xml:space="preserve"> </w:t>
      </w:r>
      <w:r w:rsidR="0087459D">
        <w:rPr>
          <w:sz w:val="20"/>
        </w:rPr>
        <w:t>b</w:t>
      </w:r>
      <w:r>
        <w:rPr>
          <w:sz w:val="20"/>
        </w:rPr>
        <w:t xml:space="preserve">ecause the Table has not yet been amended, the Division </w:t>
      </w:r>
      <w:r w:rsidR="0087459D">
        <w:rPr>
          <w:sz w:val="20"/>
        </w:rPr>
        <w:t>has</w:t>
      </w:r>
      <w:r>
        <w:rPr>
          <w:sz w:val="20"/>
        </w:rPr>
        <w:t xml:space="preserve"> continue</w:t>
      </w:r>
      <w:r w:rsidR="0087459D">
        <w:rPr>
          <w:sz w:val="20"/>
        </w:rPr>
        <w:t>d</w:t>
      </w:r>
      <w:r>
        <w:rPr>
          <w:sz w:val="20"/>
        </w:rPr>
        <w:t xml:space="preserve"> to refer to the Post-Transition Table of DTV Allotments, 47 CFR § 73.622(i) (2018), for the purpose of this proceeding.</w:t>
      </w:r>
    </w:p>
  </w:footnote>
  <w:footnote w:id="5">
    <w:p w:rsidR="00CD30C3" w:rsidP="00FC522F" w14:paraId="033586E0" w14:textId="12C2BFB2">
      <w:pPr>
        <w:pStyle w:val="FootnoteText"/>
        <w:widowControl w:val="0"/>
      </w:pPr>
      <w:r>
        <w:rPr>
          <w:rStyle w:val="FootnoteReference"/>
        </w:rPr>
        <w:footnoteRef/>
      </w:r>
      <w:r>
        <w:t xml:space="preserve"> Gray Television Licensee, LLC Petition for Rulemaking (filed July 28,</w:t>
      </w:r>
      <w:r w:rsidR="00BE2D7E">
        <w:t xml:space="preserve"> </w:t>
      </w:r>
      <w:r>
        <w:t>2020), LMS File No. 0000118815.  Gray amended its Petition on October 13, 2020 to reduce the proposed tower height for its proposal (Amended Petition).</w:t>
      </w:r>
    </w:p>
  </w:footnote>
  <w:footnote w:id="6">
    <w:p w:rsidR="0087459D" w:rsidP="00FC522F" w14:paraId="2918B0F2" w14:textId="7086C643">
      <w:pPr>
        <w:pStyle w:val="FootnoteText"/>
        <w:widowControl w:val="0"/>
      </w:pPr>
      <w:r>
        <w:rPr>
          <w:rStyle w:val="FootnoteReference"/>
        </w:rPr>
        <w:footnoteRef/>
      </w:r>
      <w:r>
        <w:t xml:space="preserve"> 47 CFR § 1.420(</w:t>
      </w:r>
      <w:r>
        <w:t>i</w:t>
      </w:r>
      <w:r>
        <w:t>).</w:t>
      </w:r>
    </w:p>
  </w:footnote>
  <w:footnote w:id="7">
    <w:p w:rsidR="0087459D" w:rsidP="00FC522F" w14:paraId="7444B2FD" w14:textId="18DAC6CD">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t xml:space="preserve">MB Docket No. 07-729, </w:t>
      </w:r>
      <w:r w:rsidRPr="00C43C45">
        <w:t>Report and Order,</w:t>
      </w:r>
      <w:r>
        <w:t xml:space="preserve"> </w:t>
      </w:r>
      <w:r w:rsidRPr="00C43C45">
        <w:t xml:space="preserve">24 FCC </w:t>
      </w:r>
      <w:r w:rsidRPr="00C43C45">
        <w:t>Rcd</w:t>
      </w:r>
      <w:r w:rsidRPr="00C43C45">
        <w:t xml:space="preserve"> 8192, 8194</w:t>
      </w:r>
      <w:r>
        <w:t>, para. 9</w:t>
      </w:r>
      <w:r w:rsidRPr="00C43C45">
        <w:t xml:space="preserve"> (</w:t>
      </w:r>
      <w:r>
        <w:t>Aud. Div.</w:t>
      </w:r>
      <w:r w:rsidRPr="00C43C45">
        <w:t xml:space="preserve"> 2009)</w:t>
      </w:r>
      <w:r>
        <w:t>.  Comments of Gray Television Licensee, LLC (</w:t>
      </w:r>
      <w:r w:rsidR="00511F5F">
        <w:t>filed April 21</w:t>
      </w:r>
      <w:r>
        <w:t>, 2021) (Comments)</w:t>
      </w:r>
      <w:r w:rsidRPr="00C43C45">
        <w:t>.</w:t>
      </w:r>
      <w:r>
        <w:t xml:space="preserve">  </w:t>
      </w:r>
    </w:p>
  </w:footnote>
  <w:footnote w:id="8">
    <w:p w:rsidR="002849EB" w:rsidP="00FC522F" w14:paraId="7F8D787B" w14:textId="2CB9AC02">
      <w:pPr>
        <w:pStyle w:val="FootnoteText"/>
        <w:widowControl w:val="0"/>
      </w:pPr>
      <w:r>
        <w:rPr>
          <w:rStyle w:val="FootnoteReference"/>
        </w:rPr>
        <w:footnoteRef/>
      </w:r>
      <w:r>
        <w:t xml:space="preserve"> </w:t>
      </w:r>
      <w:r w:rsidR="00B666B7">
        <w:t>A</w:t>
      </w:r>
      <w:r w:rsidR="00511F5F">
        <w:t>mended Comments of Gray Television Licensee, LLC (filed May 18, 2021) (Amended Comments).</w:t>
      </w:r>
    </w:p>
  </w:footnote>
  <w:footnote w:id="9">
    <w:p w:rsidR="000F1FEC" w:rsidP="00FC522F" w14:paraId="1026B0F1" w14:textId="6A089992">
      <w:pPr>
        <w:pStyle w:val="FootnoteText"/>
        <w:widowControl w:val="0"/>
      </w:pPr>
      <w:r>
        <w:rPr>
          <w:rStyle w:val="FootnoteReference"/>
        </w:rPr>
        <w:footnoteRef/>
      </w:r>
      <w:r>
        <w:t xml:space="preserve"> </w:t>
      </w:r>
      <w:r w:rsidRPr="009066E3" w:rsidR="00AD0236">
        <w:rPr>
          <w:i/>
          <w:iCs/>
        </w:rPr>
        <w:t>NPRM</w:t>
      </w:r>
      <w:r w:rsidR="00AD0236">
        <w:t xml:space="preserve">, 36 FCC </w:t>
      </w:r>
      <w:r w:rsidR="00AD0236">
        <w:t>Rcd</w:t>
      </w:r>
      <w:r w:rsidR="00AD0236">
        <w:t xml:space="preserve"> at 4825, para. 2.</w:t>
      </w:r>
    </w:p>
  </w:footnote>
  <w:footnote w:id="10">
    <w:p w:rsidR="000F1FEC" w:rsidP="00FC522F" w14:paraId="4337DD99" w14:textId="251BE763">
      <w:pPr>
        <w:pStyle w:val="FootnoteText"/>
        <w:widowControl w:val="0"/>
      </w:pPr>
      <w:r>
        <w:rPr>
          <w:rStyle w:val="FootnoteReference"/>
        </w:rPr>
        <w:footnoteRef/>
      </w:r>
      <w:r>
        <w:t xml:space="preserve"> </w:t>
      </w:r>
      <w:r w:rsidRPr="005720AE">
        <w:rPr>
          <w:i/>
          <w:iCs/>
        </w:rPr>
        <w:t>Id</w:t>
      </w:r>
      <w:r>
        <w:t>.  Gray further state</w:t>
      </w:r>
      <w:r w:rsidR="00AD0236">
        <w:t>d</w:t>
      </w:r>
      <w:r>
        <w:t xml:space="preserve"> that although it discovered after acquiring KSNB-TV in 2013 that the station’s digital facilities were “grossly inadequate,” it could not pursue any meaningful upgrades because of various broadcast freezes then in effect, and that “in recent years, Gray’s engineering resources have been devoted fully to the [incentive auction] repack.”  </w:t>
      </w:r>
      <w:r w:rsidRPr="009066E3" w:rsidR="00AD0236">
        <w:rPr>
          <w:i/>
          <w:iCs/>
        </w:rPr>
        <w:t>Id</w:t>
      </w:r>
      <w:r w:rsidR="00AD0236">
        <w:t>. at n.1</w:t>
      </w:r>
      <w:r w:rsidR="004A409B">
        <w:t>1</w:t>
      </w:r>
      <w:r w:rsidR="00AD0236">
        <w:t>.</w:t>
      </w:r>
    </w:p>
  </w:footnote>
  <w:footnote w:id="11">
    <w:p w:rsidR="000F1FEC" w:rsidP="00FC522F" w14:paraId="513CFF43" w14:textId="3A8893D6">
      <w:pPr>
        <w:pStyle w:val="FootnoteText"/>
        <w:widowControl w:val="0"/>
      </w:pPr>
      <w:r>
        <w:rPr>
          <w:rStyle w:val="FootnoteReference"/>
        </w:rPr>
        <w:footnoteRef/>
      </w:r>
      <w:r>
        <w:t xml:space="preserve"> </w:t>
      </w:r>
      <w:r w:rsidRPr="00F45A0C" w:rsidR="00AE68EF">
        <w:rPr>
          <w:i/>
          <w:iCs/>
        </w:rPr>
        <w:t>Id</w:t>
      </w:r>
      <w:r w:rsidR="00AE68EF">
        <w:t xml:space="preserve">. at para. </w:t>
      </w:r>
      <w:r w:rsidR="004A409B">
        <w:t>3</w:t>
      </w:r>
      <w:r>
        <w:t>; 47 CFR § 73.625(a).</w:t>
      </w:r>
    </w:p>
  </w:footnote>
  <w:footnote w:id="12">
    <w:p w:rsidR="000F1FEC" w:rsidRPr="000805A3" w:rsidP="00FC522F" w14:paraId="2C198E86" w14:textId="56463D06">
      <w:pPr>
        <w:pStyle w:val="FootnoteText"/>
        <w:widowControl w:val="0"/>
      </w:pPr>
      <w:r>
        <w:rPr>
          <w:rStyle w:val="FootnoteReference"/>
        </w:rPr>
        <w:footnoteRef/>
      </w:r>
      <w:r>
        <w:t xml:space="preserve"> </w:t>
      </w:r>
      <w:r w:rsidRPr="005E19A4" w:rsidR="00AE68EF">
        <w:rPr>
          <w:i/>
          <w:iCs/>
        </w:rPr>
        <w:t>NPRM</w:t>
      </w:r>
      <w:r w:rsidR="00AE68EF">
        <w:t xml:space="preserve">, 36 FCC </w:t>
      </w:r>
      <w:r w:rsidR="00AE68EF">
        <w:t>Rcd</w:t>
      </w:r>
      <w:r w:rsidR="00AE68EF">
        <w:t xml:space="preserve"> at </w:t>
      </w:r>
      <w:r w:rsidR="004A409B">
        <w:t>4825-26</w:t>
      </w:r>
      <w:r w:rsidR="00AE68EF">
        <w:t xml:space="preserve">, para. </w:t>
      </w:r>
      <w:r w:rsidR="004A409B">
        <w:t>3</w:t>
      </w:r>
      <w:r w:rsidR="00AE68EF">
        <w:t>.</w:t>
      </w:r>
      <w:r>
        <w:t xml:space="preserve">  </w:t>
      </w:r>
      <w:r>
        <w:rPr>
          <w:i/>
          <w:iCs/>
        </w:rPr>
        <w:t xml:space="preserve">See also </w:t>
      </w:r>
      <w:r w:rsidRPr="00E84E40" w:rsidR="00965E0C">
        <w:rPr>
          <w:i/>
          <w:iCs/>
        </w:rPr>
        <w:t>Amendment of Section 73.202(b), Table of Allotments, FM Broadcast Stations (Willows and Dunnigan, California</w:t>
      </w:r>
      <w:r w:rsidR="00965E0C">
        <w:rPr>
          <w:i/>
          <w:iCs/>
        </w:rPr>
        <w:t>)</w:t>
      </w:r>
      <w:r w:rsidR="00965E0C">
        <w:t xml:space="preserve">, MM Docket No. 94-29, Report and Order, 10 FCC </w:t>
      </w:r>
      <w:r w:rsidR="00965E0C">
        <w:t>Rcd</w:t>
      </w:r>
      <w:r w:rsidR="00965E0C">
        <w:t xml:space="preserve"> 11522, 11523, paras. 7-10 (MMB 1995)</w:t>
      </w:r>
      <w:r w:rsidRPr="00BE2D7E" w:rsidR="00BE2D7E">
        <w:t xml:space="preserve"> </w:t>
      </w:r>
      <w:r w:rsidR="00BE2D7E">
        <w:t>(outlining test for community of license status under section 307(b) of the Communications Act, as amended, 47 U.S.C § 307(b))</w:t>
      </w:r>
      <w:r w:rsidR="00965E0C">
        <w:t xml:space="preserve">, </w:t>
      </w:r>
      <w:r w:rsidRPr="00E84E40" w:rsidR="00965E0C">
        <w:rPr>
          <w:i/>
          <w:iCs/>
        </w:rPr>
        <w:t>recon. denied on other grounds</w:t>
      </w:r>
      <w:r w:rsidR="00965E0C">
        <w:t xml:space="preserve">, 15 FCC </w:t>
      </w:r>
      <w:r w:rsidR="00965E0C">
        <w:t>Rcd</w:t>
      </w:r>
      <w:r w:rsidR="00965E0C">
        <w:t xml:space="preserve"> 23852 (MMB 2000)</w:t>
      </w:r>
      <w:r w:rsidR="00BE2D7E">
        <w:t>.</w:t>
      </w:r>
      <w:r w:rsidR="00965E0C">
        <w:t xml:space="preserve"> </w:t>
      </w:r>
    </w:p>
  </w:footnote>
  <w:footnote w:id="13">
    <w:p w:rsidR="007342E7" w:rsidP="00FC522F" w14:paraId="025B8D12" w14:textId="060642CC">
      <w:pPr>
        <w:pStyle w:val="FootnoteText"/>
        <w:widowControl w:val="0"/>
      </w:pPr>
      <w:r>
        <w:rPr>
          <w:rStyle w:val="FootnoteReference"/>
        </w:rPr>
        <w:footnoteRef/>
      </w:r>
      <w:r>
        <w:t xml:space="preserve"> </w:t>
      </w:r>
      <w:r w:rsidRPr="00515B80">
        <w:rPr>
          <w:i/>
          <w:iCs/>
        </w:rPr>
        <w:t>NPRM</w:t>
      </w:r>
      <w:r>
        <w:t xml:space="preserve">, 36 FCC </w:t>
      </w:r>
      <w:r>
        <w:t>Rcd</w:t>
      </w:r>
      <w:r>
        <w:t xml:space="preserve"> at </w:t>
      </w:r>
      <w:r w:rsidR="00457DB2">
        <w:t>4826</w:t>
      </w:r>
      <w:r>
        <w:t xml:space="preserve">, para. </w:t>
      </w:r>
      <w:r w:rsidR="00457DB2">
        <w:t>4</w:t>
      </w:r>
      <w:r w:rsidR="00515B80">
        <w:t>.</w:t>
      </w:r>
    </w:p>
  </w:footnote>
  <w:footnote w:id="14">
    <w:p w:rsidR="00A957B1" w:rsidP="00FC522F" w14:paraId="6C983B51" w14:textId="1F070B99">
      <w:pPr>
        <w:pStyle w:val="FootnoteText"/>
        <w:widowControl w:val="0"/>
      </w:pPr>
      <w:r>
        <w:rPr>
          <w:rStyle w:val="FootnoteReference"/>
        </w:rPr>
        <w:footnoteRef/>
      </w:r>
      <w:r>
        <w:t xml:space="preserve"> </w:t>
      </w:r>
      <w:r w:rsidR="00577281">
        <w:rPr>
          <w:i/>
          <w:iCs/>
        </w:rPr>
        <w:t>Id.</w:t>
      </w:r>
      <w:r w:rsidR="00577281">
        <w:t xml:space="preserve"> </w:t>
      </w:r>
      <w:r>
        <w:t>at 4828, para. 11 and n.40.</w:t>
      </w:r>
    </w:p>
  </w:footnote>
  <w:footnote w:id="15">
    <w:p w:rsidR="0006174D" w:rsidP="00FC522F" w14:paraId="68CA724D" w14:textId="13EFF745">
      <w:pPr>
        <w:pStyle w:val="FootnoteText"/>
        <w:widowControl w:val="0"/>
      </w:pPr>
      <w:r>
        <w:rPr>
          <w:rStyle w:val="FootnoteReference"/>
        </w:rPr>
        <w:footnoteRef/>
      </w:r>
      <w:r>
        <w:t xml:space="preserve"> Amended Comments at 2.</w:t>
      </w:r>
      <w:r w:rsidR="00782041">
        <w:t xml:space="preserve">  </w:t>
      </w:r>
    </w:p>
  </w:footnote>
  <w:footnote w:id="16">
    <w:p w:rsidR="00782041" w:rsidP="00FC522F" w14:paraId="6D4558B6" w14:textId="1DC88A0F">
      <w:pPr>
        <w:pStyle w:val="FootnoteText"/>
        <w:widowControl w:val="0"/>
      </w:pPr>
      <w:r>
        <w:rPr>
          <w:rStyle w:val="FootnoteReference"/>
        </w:rPr>
        <w:footnoteRef/>
      </w:r>
      <w:r>
        <w:t xml:space="preserve"> </w:t>
      </w:r>
      <w:r w:rsidRPr="00383C61">
        <w:rPr>
          <w:i/>
          <w:iCs/>
        </w:rPr>
        <w:t>Id</w:t>
      </w:r>
      <w:r>
        <w:t>. at 6.</w:t>
      </w:r>
    </w:p>
  </w:footnote>
  <w:footnote w:id="17">
    <w:p w:rsidR="001F32E5" w:rsidP="00FC522F" w14:paraId="76FCDEF2" w14:textId="77777777">
      <w:pPr>
        <w:pStyle w:val="FootnoteText"/>
        <w:widowControl w:val="0"/>
      </w:pPr>
      <w:r>
        <w:rPr>
          <w:rStyle w:val="FootnoteReference"/>
        </w:rPr>
        <w:footnoteRef/>
      </w:r>
      <w:r>
        <w:t xml:space="preserve"> </w:t>
      </w:r>
      <w:r w:rsidRPr="00383C61">
        <w:rPr>
          <w:i/>
          <w:iCs/>
        </w:rPr>
        <w:t>Id</w:t>
      </w:r>
      <w:r>
        <w:t>. at 5-6.</w:t>
      </w:r>
    </w:p>
  </w:footnote>
  <w:footnote w:id="18">
    <w:p w:rsidR="00336F87" w:rsidP="00FC522F" w14:paraId="5C4E3269" w14:textId="280ED868">
      <w:pPr>
        <w:pStyle w:val="FootnoteText"/>
        <w:widowControl w:val="0"/>
      </w:pPr>
      <w:r>
        <w:rPr>
          <w:rStyle w:val="FootnoteReference"/>
        </w:rPr>
        <w:footnoteRef/>
      </w:r>
      <w:r>
        <w:t xml:space="preserve"> </w:t>
      </w:r>
      <w:r w:rsidRPr="00383C61">
        <w:rPr>
          <w:i/>
          <w:iCs/>
        </w:rPr>
        <w:t>Id</w:t>
      </w:r>
      <w:r>
        <w:t xml:space="preserve">. at </w:t>
      </w:r>
      <w:r w:rsidR="00201DDD">
        <w:t>5 and n.17.</w:t>
      </w:r>
    </w:p>
  </w:footnote>
  <w:footnote w:id="19">
    <w:p w:rsidR="000F1FEC" w:rsidP="00FC522F" w14:paraId="10CD5B9F" w14:textId="3F85CB40">
      <w:pPr>
        <w:pStyle w:val="FootnoteText"/>
        <w:widowControl w:val="0"/>
      </w:pPr>
      <w:r>
        <w:rPr>
          <w:rStyle w:val="FootnoteReference"/>
        </w:rPr>
        <w:footnoteRef/>
      </w:r>
      <w:r>
        <w:t xml:space="preserve"> </w:t>
      </w:r>
      <w:r w:rsidRPr="00383C61" w:rsidR="00201DDD">
        <w:rPr>
          <w:i/>
          <w:iCs/>
        </w:rPr>
        <w:t>NPRM</w:t>
      </w:r>
      <w:r w:rsidR="00201DDD">
        <w:t xml:space="preserve">, 36 FCC </w:t>
      </w:r>
      <w:r w:rsidR="00201DDD">
        <w:t>Rcd</w:t>
      </w:r>
      <w:r w:rsidR="00201DDD">
        <w:t xml:space="preserve"> at 4826, para. 5.</w:t>
      </w:r>
    </w:p>
  </w:footnote>
  <w:footnote w:id="20">
    <w:p w:rsidR="0063074E" w:rsidP="00FC522F" w14:paraId="3140AC0B" w14:textId="77777777">
      <w:pPr>
        <w:pStyle w:val="FootnoteText"/>
        <w:widowControl w:val="0"/>
      </w:pPr>
      <w:r>
        <w:rPr>
          <w:rStyle w:val="FootnoteReference"/>
        </w:rPr>
        <w:footnoteRef/>
      </w:r>
      <w:r>
        <w:t xml:space="preserve"> </w:t>
      </w:r>
      <w:r w:rsidRPr="0063074E">
        <w:rPr>
          <w:i/>
          <w:iCs/>
        </w:rPr>
        <w:t>Id.</w:t>
      </w:r>
    </w:p>
  </w:footnote>
  <w:footnote w:id="21">
    <w:p w:rsidR="000F1FEC" w:rsidP="00FC522F" w14:paraId="1914EE33" w14:textId="648F4104">
      <w:pPr>
        <w:pStyle w:val="FootnoteText"/>
        <w:widowControl w:val="0"/>
      </w:pPr>
      <w:r>
        <w:rPr>
          <w:rStyle w:val="FootnoteReference"/>
        </w:rPr>
        <w:footnoteRef/>
      </w:r>
      <w:r>
        <w:t xml:space="preserve"> </w:t>
      </w:r>
      <w:r w:rsidRPr="000F1FEC">
        <w:rPr>
          <w:i/>
          <w:iCs/>
        </w:rPr>
        <w:t>Id.</w:t>
      </w:r>
      <w:r>
        <w:t xml:space="preserve"> at </w:t>
      </w:r>
      <w:r w:rsidR="00201DDD">
        <w:t>para. 6.</w:t>
      </w:r>
    </w:p>
  </w:footnote>
  <w:footnote w:id="22">
    <w:p w:rsidR="000F1FEC" w:rsidP="00FC522F" w14:paraId="5302E9F3" w14:textId="4FF25A78">
      <w:pPr>
        <w:pStyle w:val="FootnoteText"/>
        <w:widowControl w:val="0"/>
      </w:pPr>
      <w:r>
        <w:rPr>
          <w:rStyle w:val="FootnoteReference"/>
        </w:rPr>
        <w:footnoteRef/>
      </w:r>
      <w:r>
        <w:t xml:space="preserve"> </w:t>
      </w:r>
      <w:r w:rsidRPr="00383C61" w:rsidR="00201DDD">
        <w:rPr>
          <w:i/>
          <w:iCs/>
        </w:rPr>
        <w:t>Id</w:t>
      </w:r>
      <w:r w:rsidR="00201DDD">
        <w:t>.</w:t>
      </w:r>
      <w:r>
        <w:t xml:space="preserve">; </w:t>
      </w:r>
      <w:r w:rsidRPr="00EA2A05">
        <w:rPr>
          <w:i/>
          <w:iCs/>
        </w:rPr>
        <w:t>see also</w:t>
      </w:r>
      <w:r w:rsidR="00201DDD">
        <w:rPr>
          <w:i/>
        </w:rPr>
        <w:t xml:space="preserve"> id. </w:t>
      </w:r>
      <w:r w:rsidRPr="00383C61" w:rsidR="00201DDD">
        <w:rPr>
          <w:iCs/>
        </w:rPr>
        <w:t>at n.25</w:t>
      </w:r>
      <w:r>
        <w:t xml:space="preserve"> </w:t>
      </w:r>
      <w:r w:rsidR="00201DDD">
        <w:t>(</w:t>
      </w:r>
      <w:r>
        <w:t>“</w:t>
      </w:r>
      <w:r w:rsidR="00201DDD">
        <w:t>B</w:t>
      </w:r>
      <w:r>
        <w:t>ecause so few viewers are able to receive KSNB with an over-the-air antenna, Gray has been broadcasting KSNB’s programming on multicast channels for KOLN and satellite stations KGIN [CBS/NBC, Grand Island, Nebraska] and KNHL [</w:t>
      </w:r>
      <w:r>
        <w:t>MyNetwork</w:t>
      </w:r>
      <w:r>
        <w:t>/NBC/CW, Hastings, Nebraska</w:t>
      </w:r>
      <w:r w:rsidR="00201DDD">
        <w:t>.</w:t>
      </w:r>
      <w:r>
        <w:t>]”</w:t>
      </w:r>
      <w:r w:rsidR="009E0FCB">
        <w:t>).</w:t>
      </w:r>
      <w:r>
        <w:t xml:space="preserve"> </w:t>
      </w:r>
    </w:p>
  </w:footnote>
  <w:footnote w:id="23">
    <w:p w:rsidR="009E41FC" w:rsidP="00FC522F" w14:paraId="723616CA" w14:textId="5CD7C3CB">
      <w:pPr>
        <w:pStyle w:val="FootnoteText"/>
        <w:widowControl w:val="0"/>
      </w:pPr>
      <w:r>
        <w:rPr>
          <w:rStyle w:val="FootnoteReference"/>
        </w:rPr>
        <w:footnoteRef/>
      </w:r>
      <w:r>
        <w:t xml:space="preserve"> </w:t>
      </w:r>
      <w:r w:rsidRPr="00383C61">
        <w:rPr>
          <w:i/>
          <w:iCs/>
        </w:rPr>
        <w:t>Id</w:t>
      </w:r>
      <w:r>
        <w:t>. at 2.</w:t>
      </w:r>
    </w:p>
  </w:footnote>
  <w:footnote w:id="24">
    <w:p w:rsidR="000F1FEC" w:rsidRPr="00762A73" w:rsidP="00FC522F" w14:paraId="31D5FDCC" w14:textId="77777777">
      <w:pPr>
        <w:pStyle w:val="FootnoteText"/>
        <w:widowControl w:val="0"/>
      </w:pPr>
      <w:r w:rsidRPr="00762A73">
        <w:rPr>
          <w:rStyle w:val="FootnoteReference"/>
        </w:rPr>
        <w:footnoteRef/>
      </w:r>
      <w:r w:rsidRPr="00762A73">
        <w:t xml:space="preserve"> 47 CFR § 1.420(i)</w:t>
      </w:r>
      <w:r>
        <w:t xml:space="preserve">; </w:t>
      </w:r>
      <w:hyperlink r:id="rId1" w:history="1">
        <w:r w:rsidRPr="006D321A">
          <w:rPr>
            <w:i/>
            <w:iCs/>
            <w:snapToGrid w:val="0"/>
            <w:kern w:val="28"/>
          </w:rPr>
          <w:t>Modification of FM and TV Authorizations to Specify a New Community of License</w:t>
        </w:r>
        <w:r w:rsidRPr="006D321A">
          <w:rPr>
            <w:snapToGrid w:val="0"/>
            <w:kern w:val="28"/>
          </w:rPr>
          <w:t xml:space="preserve">, </w:t>
        </w:r>
        <w:r w:rsidR="004060C3">
          <w:rPr>
            <w:snapToGrid w:val="0"/>
            <w:kern w:val="28"/>
          </w:rPr>
          <w:t>MM Docket No. 88</w:t>
        </w:r>
        <w:r w:rsidR="00B51854">
          <w:rPr>
            <w:snapToGrid w:val="0"/>
            <w:kern w:val="28"/>
          </w:rPr>
          <w:t>-</w:t>
        </w:r>
        <w:r w:rsidR="004060C3">
          <w:rPr>
            <w:snapToGrid w:val="0"/>
            <w:kern w:val="28"/>
          </w:rPr>
          <w:t xml:space="preserve">526, </w:t>
        </w:r>
        <w:r w:rsidRPr="006D321A">
          <w:rPr>
            <w:snapToGrid w:val="0"/>
            <w:kern w:val="28"/>
          </w:rPr>
          <w:t>Report and Order, 4 FCC Rcd 4870</w:t>
        </w:r>
        <w:r>
          <w:rPr>
            <w:snapToGrid w:val="0"/>
            <w:kern w:val="28"/>
          </w:rPr>
          <w:t>, 4873, para. 22</w:t>
        </w:r>
        <w:r w:rsidRPr="006D321A">
          <w:rPr>
            <w:snapToGrid w:val="0"/>
            <w:kern w:val="28"/>
          </w:rPr>
          <w:t xml:space="preserve"> (1989)</w:t>
        </w:r>
      </w:hyperlink>
      <w:r>
        <w:rPr>
          <w:snapToGrid w:val="0"/>
          <w:kern w:val="28"/>
        </w:rPr>
        <w:t xml:space="preserve"> </w:t>
      </w:r>
      <w:r w:rsidRPr="00762A73">
        <w:t>(</w:t>
      </w:r>
      <w:r>
        <w:rPr>
          <w:i/>
        </w:rPr>
        <w:t>Change in Community R</w:t>
      </w:r>
      <w:r w:rsidRPr="00762A73">
        <w:rPr>
          <w:i/>
        </w:rPr>
        <w:t>&amp;O</w:t>
      </w:r>
      <w:r w:rsidRPr="00762A73">
        <w:t>)</w:t>
      </w:r>
      <w:r w:rsidRPr="006D321A">
        <w:rPr>
          <w:snapToGrid w:val="0"/>
          <w:kern w:val="28"/>
        </w:rPr>
        <w:t>, </w:t>
      </w:r>
      <w:r w:rsidRPr="006D321A">
        <w:rPr>
          <w:i/>
          <w:iCs/>
          <w:snapToGrid w:val="0"/>
          <w:kern w:val="28"/>
        </w:rPr>
        <w:t>recon. granted in part</w:t>
      </w:r>
      <w:r w:rsidRPr="006D321A">
        <w:rPr>
          <w:snapToGrid w:val="0"/>
          <w:kern w:val="28"/>
        </w:rPr>
        <w:t>, </w:t>
      </w:r>
      <w:hyperlink r:id="rId2" w:history="1">
        <w:r w:rsidRPr="006D321A">
          <w:rPr>
            <w:snapToGrid w:val="0"/>
            <w:kern w:val="28"/>
          </w:rPr>
          <w:t>5 FCC Rcd 7094 (1990)</w:t>
        </w:r>
      </w:hyperlink>
      <w:r>
        <w:rPr>
          <w:snapToGrid w:val="0"/>
          <w:kern w:val="28"/>
        </w:rPr>
        <w:t xml:space="preserve"> </w:t>
      </w:r>
      <w:r w:rsidRPr="00762A73">
        <w:t>(</w:t>
      </w:r>
      <w:r>
        <w:rPr>
          <w:i/>
        </w:rPr>
        <w:t>Recon M</w:t>
      </w:r>
      <w:r w:rsidRPr="00762A73">
        <w:rPr>
          <w:i/>
        </w:rPr>
        <w:t>O&amp;O</w:t>
      </w:r>
      <w:r w:rsidRPr="00762A73">
        <w:t>)</w:t>
      </w:r>
      <w:r w:rsidRPr="006D321A">
        <w:rPr>
          <w:snapToGrid w:val="0"/>
          <w:kern w:val="28"/>
        </w:rPr>
        <w:t>.</w:t>
      </w:r>
    </w:p>
  </w:footnote>
  <w:footnote w:id="25">
    <w:p w:rsidR="000F1FEC" w:rsidRPr="00762A73" w:rsidP="00FC522F" w14:paraId="797651E0" w14:textId="77777777">
      <w:pPr>
        <w:pStyle w:val="FootnoteText"/>
        <w:widowControl w:val="0"/>
      </w:pPr>
      <w:r w:rsidRPr="00762A73">
        <w:rPr>
          <w:rStyle w:val="FootnoteReference"/>
        </w:rPr>
        <w:footnoteRef/>
      </w:r>
      <w:r w:rsidRPr="0003403B">
        <w:rPr>
          <w:i/>
        </w:rPr>
        <w:t xml:space="preserve"> </w:t>
      </w:r>
      <w:r w:rsidRPr="00762A73">
        <w:rPr>
          <w:i/>
        </w:rPr>
        <w:t>Change in Community RO&amp;O</w:t>
      </w:r>
      <w:r>
        <w:t>,</w:t>
      </w:r>
      <w:r w:rsidRPr="00762A73">
        <w:rPr>
          <w:i/>
        </w:rPr>
        <w:t xml:space="preserve"> </w:t>
      </w:r>
      <w:r>
        <w:t xml:space="preserve">4 </w:t>
      </w:r>
      <w:r w:rsidRPr="00762A73">
        <w:t>FCC Rcd</w:t>
      </w:r>
      <w:r>
        <w:t xml:space="preserve"> at 4874, para. 28</w:t>
      </w:r>
      <w:r w:rsidRPr="00762A73">
        <w:rPr>
          <w:i/>
        </w:rPr>
        <w:t>.</w:t>
      </w:r>
    </w:p>
  </w:footnote>
  <w:footnote w:id="26">
    <w:p w:rsidR="000F1FEC" w:rsidP="00FC522F" w14:paraId="4B2FE540" w14:textId="77777777">
      <w:pPr>
        <w:pStyle w:val="FootnoteText"/>
        <w:widowControl w:val="0"/>
      </w:pPr>
      <w:r>
        <w:rPr>
          <w:rStyle w:val="FootnoteReference"/>
        </w:rPr>
        <w:footnoteRef/>
      </w:r>
      <w:r>
        <w:t xml:space="preserve"> </w:t>
      </w:r>
      <w:r w:rsidRPr="00E65D0E">
        <w:rPr>
          <w:i/>
          <w:iCs/>
        </w:rPr>
        <w:t>Recon MO&amp;O</w:t>
      </w:r>
      <w:r>
        <w:t>, 5 FCC Rcd at 7096, para. 17.</w:t>
      </w:r>
    </w:p>
  </w:footnote>
  <w:footnote w:id="27">
    <w:p w:rsidR="000F1FEC" w:rsidP="00FC522F" w14:paraId="077AB13A" w14:textId="77777777">
      <w:pPr>
        <w:pStyle w:val="FootnoteText"/>
        <w:widowControl w:val="0"/>
      </w:pPr>
      <w:r>
        <w:rPr>
          <w:rStyle w:val="FootnoteReference"/>
        </w:rPr>
        <w:footnoteRef/>
      </w:r>
      <w:r>
        <w:t xml:space="preserve"> </w:t>
      </w:r>
      <w:r w:rsidRPr="00E65D0E">
        <w:rPr>
          <w:i/>
          <w:iCs/>
        </w:rPr>
        <w:t>Id</w:t>
      </w:r>
      <w:r>
        <w:t>.</w:t>
      </w:r>
    </w:p>
  </w:footnote>
  <w:footnote w:id="28">
    <w:p w:rsidR="000F1FEC" w:rsidP="00FC522F" w14:paraId="08EDC3E8" w14:textId="77777777">
      <w:pPr>
        <w:pStyle w:val="FootnoteText"/>
        <w:widowControl w:val="0"/>
      </w:pPr>
      <w:r>
        <w:rPr>
          <w:rStyle w:val="FootnoteReference"/>
        </w:rPr>
        <w:footnoteRef/>
      </w:r>
      <w:r>
        <w:t xml:space="preserve"> </w:t>
      </w:r>
      <w:r w:rsidRPr="00762A73">
        <w:rPr>
          <w:i/>
        </w:rPr>
        <w:t xml:space="preserve">Amendment of Section 3.606 of the Commission’s Rules and Regulations, </w:t>
      </w:r>
      <w:r w:rsidRPr="00762A73">
        <w:t>Sixth Report and Order, 41 F.C.C. 148, 167-173 (1952) (</w:t>
      </w:r>
      <w:r w:rsidRPr="00762A73">
        <w:rPr>
          <w:i/>
        </w:rPr>
        <w:t xml:space="preserve">Sixth Report </w:t>
      </w:r>
      <w:r>
        <w:rPr>
          <w:i/>
        </w:rPr>
        <w:t>a</w:t>
      </w:r>
      <w:r w:rsidRPr="00762A73">
        <w:rPr>
          <w:i/>
        </w:rPr>
        <w:t>nd Order</w:t>
      </w:r>
      <w:r w:rsidRPr="00762A73">
        <w:t>)</w:t>
      </w:r>
      <w:r w:rsidRPr="00762A73">
        <w:rPr>
          <w:i/>
        </w:rPr>
        <w:t>.</w:t>
      </w:r>
    </w:p>
  </w:footnote>
  <w:footnote w:id="29">
    <w:p w:rsidR="000F1FEC" w:rsidRPr="00B961FD" w:rsidP="00FC522F" w14:paraId="7C3FB365" w14:textId="77777777">
      <w:pPr>
        <w:pStyle w:val="FootnoteText"/>
        <w:widowControl w:val="0"/>
      </w:pPr>
      <w:r w:rsidRPr="00B961FD">
        <w:rPr>
          <w:rStyle w:val="FootnoteReference"/>
        </w:rPr>
        <w:footnoteRef/>
      </w:r>
      <w:r w:rsidRPr="00B961FD">
        <w:t xml:space="preserve"> 47 CFR § 1.3</w:t>
      </w:r>
      <w:r w:rsidR="004060C3">
        <w:t>.</w:t>
      </w:r>
    </w:p>
  </w:footnote>
  <w:footnote w:id="30">
    <w:p w:rsidR="000F1FEC" w:rsidRPr="004060C3" w:rsidP="00FC522F" w14:paraId="32D22BB1" w14:textId="77777777">
      <w:pPr>
        <w:pStyle w:val="FootnoteText"/>
        <w:widowControl w:val="0"/>
      </w:pPr>
      <w:r w:rsidRPr="00B961FD">
        <w:rPr>
          <w:rStyle w:val="FootnoteReference"/>
        </w:rPr>
        <w:footnoteRef/>
      </w:r>
      <w:r w:rsidRPr="00B961FD">
        <w:t xml:space="preserve"> </w:t>
      </w:r>
      <w:r w:rsidRPr="004060C3" w:rsidR="004060C3">
        <w:rPr>
          <w:i/>
          <w:iCs/>
        </w:rPr>
        <w:t>Id</w:t>
      </w:r>
      <w:r w:rsidR="004060C3">
        <w:rPr>
          <w:i/>
          <w:iCs/>
        </w:rPr>
        <w:t>.</w:t>
      </w:r>
    </w:p>
  </w:footnote>
  <w:footnote w:id="31">
    <w:p w:rsidR="000F1FEC" w:rsidRPr="00B961FD" w:rsidP="00FC522F" w14:paraId="43E304D6" w14:textId="77777777">
      <w:pPr>
        <w:pStyle w:val="FootnoteText"/>
        <w:widowControl w:val="0"/>
      </w:pPr>
      <w:r w:rsidRPr="00B961FD">
        <w:rPr>
          <w:rStyle w:val="FootnoteReference"/>
        </w:rPr>
        <w:footnoteRef/>
      </w:r>
      <w:r w:rsidRPr="00B961FD">
        <w:t xml:space="preserve"> </w:t>
      </w:r>
      <w:r w:rsidRPr="0039000F">
        <w:rPr>
          <w:i/>
          <w:iCs/>
        </w:rPr>
        <w:t>See Northeast Cellular Tel. Co., LP v. FCC</w:t>
      </w:r>
      <w:r w:rsidRPr="0039000F">
        <w:t>, 897 F. 2d 1164, 1166 (D.C. Cir. 1990)</w:t>
      </w:r>
      <w:r w:rsidR="004060C3">
        <w:t>.</w:t>
      </w:r>
    </w:p>
  </w:footnote>
  <w:footnote w:id="32">
    <w:p w:rsidR="000F1FEC" w:rsidRPr="00B961FD" w:rsidP="00FC522F" w14:paraId="773D4FEB" w14:textId="77777777">
      <w:pPr>
        <w:pStyle w:val="FootnoteText"/>
        <w:widowControl w:val="0"/>
      </w:pPr>
      <w:r w:rsidRPr="00B961FD">
        <w:rPr>
          <w:rStyle w:val="FootnoteReference"/>
        </w:rPr>
        <w:footnoteRef/>
      </w:r>
      <w:r w:rsidRPr="00B961FD">
        <w:rPr>
          <w:rStyle w:val="FootnoteReference"/>
        </w:rPr>
        <w:t xml:space="preserve"> </w:t>
      </w:r>
      <w:r w:rsidR="004060C3">
        <w:rPr>
          <w:i/>
        </w:rPr>
        <w:t>Id.</w:t>
      </w:r>
      <w:r w:rsidRPr="00B961FD">
        <w:t xml:space="preserve"> at 1166.</w:t>
      </w:r>
      <w:r w:rsidRPr="004060C3" w:rsidR="004060C3">
        <w:rPr>
          <w:i/>
        </w:rPr>
        <w:t xml:space="preserve"> </w:t>
      </w:r>
      <w:r w:rsidRPr="00533AF9" w:rsidR="004060C3">
        <w:rPr>
          <w:i/>
        </w:rPr>
        <w:t>See</w:t>
      </w:r>
      <w:r w:rsidRPr="00533AF9" w:rsidR="004060C3">
        <w:t xml:space="preserve"> </w:t>
      </w:r>
      <w:r w:rsidRPr="00533AF9" w:rsidR="004060C3">
        <w:rPr>
          <w:i/>
        </w:rPr>
        <w:t>WAIT Radio v. FCC</w:t>
      </w:r>
      <w:r w:rsidRPr="00533AF9" w:rsidR="004060C3">
        <w:t>, 418 F.2d 1153, 1159 (D.C. Cir. 1969);</w:t>
      </w:r>
      <w:r w:rsidR="004060C3">
        <w:t xml:space="preserve"> </w:t>
      </w:r>
      <w:r w:rsidRPr="006318E3" w:rsidR="004060C3">
        <w:rPr>
          <w:i/>
        </w:rPr>
        <w:t>NetworkIP v. FCC</w:t>
      </w:r>
      <w:r w:rsidRPr="009402A3" w:rsidR="004060C3">
        <w:rPr>
          <w:iCs/>
        </w:rPr>
        <w:t>, 548 F.3d 116, 125-28 (D.C. Cir. 2008)</w:t>
      </w:r>
      <w:r w:rsidR="004060C3">
        <w:rPr>
          <w:iCs/>
        </w:rPr>
        <w:t>.</w:t>
      </w:r>
    </w:p>
  </w:footnote>
  <w:footnote w:id="33">
    <w:p w:rsidR="000F1FEC" w:rsidRPr="0063074E" w:rsidP="00FC522F" w14:paraId="062FE3D5" w14:textId="424A62AD">
      <w:pPr>
        <w:pStyle w:val="FootnoteText"/>
        <w:widowControl w:val="0"/>
        <w:rPr>
          <w:iCs/>
        </w:rPr>
      </w:pPr>
      <w:r>
        <w:rPr>
          <w:rStyle w:val="FootnoteReference"/>
        </w:rPr>
        <w:footnoteRef/>
      </w:r>
      <w:r>
        <w:t xml:space="preserve"> </w:t>
      </w:r>
      <w:r w:rsidRPr="000F33E6" w:rsidR="000F33E6">
        <w:rPr>
          <w:i/>
          <w:iCs/>
        </w:rPr>
        <w:t>NPRM</w:t>
      </w:r>
      <w:r w:rsidR="000F33E6">
        <w:t xml:space="preserve">, 36 FCC </w:t>
      </w:r>
      <w:r w:rsidR="000F33E6">
        <w:t>Rcd</w:t>
      </w:r>
      <w:r w:rsidR="000F33E6">
        <w:t xml:space="preserve"> at 4828, para 11.</w:t>
      </w:r>
    </w:p>
  </w:footnote>
  <w:footnote w:id="34">
    <w:p w:rsidR="000F1FEC" w:rsidP="00FC522F" w14:paraId="764426C9" w14:textId="4FD850C0">
      <w:pPr>
        <w:pStyle w:val="FootnoteText"/>
        <w:widowControl w:val="0"/>
      </w:pPr>
      <w:r>
        <w:rPr>
          <w:rStyle w:val="FootnoteReference"/>
        </w:rPr>
        <w:footnoteRef/>
      </w:r>
      <w:r>
        <w:t xml:space="preserve"> </w:t>
      </w:r>
      <w:r w:rsidRPr="000F33E6" w:rsidR="000F33E6">
        <w:rPr>
          <w:i/>
          <w:iCs/>
        </w:rPr>
        <w:t>Id</w:t>
      </w:r>
      <w:r w:rsidR="000F33E6">
        <w:t xml:space="preserve">. at </w:t>
      </w:r>
      <w:r w:rsidRPr="001F32E5" w:rsidR="001F32E5">
        <w:t>4828</w:t>
      </w:r>
      <w:r w:rsidR="001F32E5">
        <w:t xml:space="preserve">, </w:t>
      </w:r>
      <w:r w:rsidR="000F33E6">
        <w:t xml:space="preserve">para. 11 and n.39; </w:t>
      </w:r>
      <w:r w:rsidRPr="00871AA4">
        <w:rPr>
          <w:i/>
          <w:iCs/>
        </w:rPr>
        <w:t>Change in Community R&amp;O</w:t>
      </w:r>
      <w:r>
        <w:t>, 4 FCC Rcd at 487</w:t>
      </w:r>
      <w:r w:rsidR="0075008E">
        <w:t>2-7</w:t>
      </w:r>
      <w:r>
        <w:t>3, paras. 22, 24.</w:t>
      </w:r>
    </w:p>
  </w:footnote>
  <w:footnote w:id="35">
    <w:p w:rsidR="000F1FEC" w:rsidP="00FC522F" w14:paraId="2F90E701" w14:textId="77777777">
      <w:pPr>
        <w:pStyle w:val="FootnoteText"/>
        <w:widowControl w:val="0"/>
      </w:pPr>
      <w:r>
        <w:rPr>
          <w:rStyle w:val="FootnoteReference"/>
        </w:rPr>
        <w:footnoteRef/>
      </w:r>
      <w:r>
        <w:t xml:space="preserve"> Amended Petition, Engineering Exhibit</w:t>
      </w:r>
      <w:r w:rsidR="004060C3">
        <w:t xml:space="preserve"> (</w:t>
      </w:r>
      <w:r>
        <w:t>showing channels potentially available for allotment at Superior (Table 2 – five VHF and 13 UHF), York (Table 3 – four VHF and 10 UHF), and Lincoln, Nebraska (Table 4 – four VHF and five UHF)</w:t>
      </w:r>
      <w:r w:rsidR="004060C3">
        <w:t>)</w:t>
      </w:r>
      <w:r>
        <w:t xml:space="preserve">. </w:t>
      </w:r>
    </w:p>
  </w:footnote>
  <w:footnote w:id="36">
    <w:p w:rsidR="00A24181" w:rsidP="00FC522F" w14:paraId="7C1835E1" w14:textId="0AF71842">
      <w:pPr>
        <w:pStyle w:val="FootnoteText"/>
        <w:widowControl w:val="0"/>
      </w:pPr>
      <w:r>
        <w:rPr>
          <w:rStyle w:val="FootnoteReference"/>
        </w:rPr>
        <w:footnoteRef/>
      </w:r>
      <w:r>
        <w:t xml:space="preserve"> </w:t>
      </w:r>
      <w:r w:rsidRPr="00DB3047" w:rsidR="00DB3047">
        <w:rPr>
          <w:i/>
          <w:iCs/>
        </w:rPr>
        <w:t>See Amendment of 73.622(</w:t>
      </w:r>
      <w:r w:rsidRPr="00DB3047" w:rsidR="00DB3047">
        <w:rPr>
          <w:i/>
          <w:iCs/>
        </w:rPr>
        <w:t>i</w:t>
      </w:r>
      <w:r w:rsidRPr="00DB3047" w:rsidR="00DB3047">
        <w:rPr>
          <w:i/>
          <w:iCs/>
        </w:rPr>
        <w:t>) Post-Transition Table of DTV Allotments, Television Broadcast Stations (Block Island a</w:t>
      </w:r>
      <w:r w:rsidR="00DB3047">
        <w:rPr>
          <w:i/>
          <w:iCs/>
        </w:rPr>
        <w:t>nd Newport, Rhode Island</w:t>
      </w:r>
      <w:r w:rsidR="00DB3047">
        <w:t xml:space="preserve">), MB Docket No. 18-133, Report and Order, 33 FCC </w:t>
      </w:r>
      <w:r w:rsidR="00DB3047">
        <w:t>Rcd</w:t>
      </w:r>
      <w:r w:rsidR="00DB3047">
        <w:t xml:space="preserve"> 8773 (Vid. Div. 2018).</w:t>
      </w:r>
    </w:p>
  </w:footnote>
  <w:footnote w:id="37">
    <w:p w:rsidR="00D85756" w:rsidP="00FC522F" w14:paraId="5B4FE80C"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38">
    <w:p w:rsidR="00D85756" w:rsidRPr="00F103EF" w:rsidP="00FC522F" w14:paraId="2385FC83" w14:textId="02BA0C07">
      <w:pPr>
        <w:pStyle w:val="FootnoteText"/>
        <w:widowControl w:val="0"/>
      </w:pPr>
      <w:r>
        <w:rPr>
          <w:rStyle w:val="FootnoteReference"/>
        </w:rPr>
        <w:footnoteRef/>
      </w:r>
      <w:r>
        <w:t xml:space="preserve"> </w:t>
      </w:r>
      <w:r>
        <w:rPr>
          <w:i/>
          <w:iCs/>
        </w:rPr>
        <w:t>See</w:t>
      </w:r>
      <w:r>
        <w:t xml:space="preserve"> </w:t>
      </w:r>
      <w:r w:rsidRPr="00586AF3">
        <w:rPr>
          <w:i/>
          <w:iCs/>
        </w:rPr>
        <w:t>WSET, Inc.</w:t>
      </w:r>
      <w:r w:rsidRPr="00586AF3">
        <w:t>, 80 FCC 2d 233, 246 (1980)</w:t>
      </w:r>
      <w:r>
        <w:t xml:space="preserve"> (finding that </w:t>
      </w:r>
      <w:r w:rsidRPr="00586AF3">
        <w:t xml:space="preserve">population loss of less than 500 persons is </w:t>
      </w:r>
      <w:r w:rsidRPr="00586AF3">
        <w:rPr>
          <w:i/>
          <w:iCs/>
        </w:rPr>
        <w:t>de minimi</w:t>
      </w:r>
      <w:r>
        <w:rPr>
          <w:i/>
          <w:iCs/>
        </w:rPr>
        <w:t>s)</w:t>
      </w:r>
      <w:r w:rsidRPr="004143A2">
        <w:t>.</w:t>
      </w:r>
    </w:p>
  </w:footnote>
  <w:footnote w:id="39">
    <w:p w:rsidR="000F1FEC" w:rsidP="00FC522F" w14:paraId="1D9364E3" w14:textId="77777777">
      <w:pPr>
        <w:pStyle w:val="FootnoteText"/>
        <w:widowControl w:val="0"/>
      </w:pPr>
      <w:r w:rsidRPr="003F7A73">
        <w:rPr>
          <w:rStyle w:val="FootnoteReference"/>
        </w:rPr>
        <w:footnoteRef/>
      </w:r>
      <w:r w:rsidRPr="003F7A73">
        <w:t xml:space="preserve"> 47 CFR §§ 73.616, 73.623.</w:t>
      </w:r>
    </w:p>
  </w:footnote>
  <w:footnote w:id="40">
    <w:p w:rsidR="006F21BC" w:rsidP="00FC522F" w14:paraId="4DD2B945"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5482981" w14:textId="0474ED16">
    <w:pPr>
      <w:pStyle w:val="Header"/>
      <w:rPr>
        <w:b w:val="0"/>
      </w:rPr>
    </w:pPr>
    <w:r>
      <w:tab/>
      <w:t>Federal Communications Commission</w:t>
    </w:r>
    <w:r>
      <w:tab/>
    </w:r>
    <w:r w:rsidR="00E244B6">
      <w:t>DA 21-</w:t>
    </w:r>
    <w:r w:rsidR="00D818DE">
      <w:t>1038</w:t>
    </w:r>
  </w:p>
  <w:p w:rsidR="00D25FB5" w14:paraId="5C6D040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D40ED1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9006CE2" w14:textId="0370988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53D62">
      <w:rPr>
        <w:spacing w:val="-2"/>
      </w:rPr>
      <w:t>DA 21-</w:t>
    </w:r>
    <w:r w:rsidR="00D818DE">
      <w:rPr>
        <w:spacing w:val="-2"/>
      </w:rPr>
      <w:t>1038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810"/>
        </w:tabs>
        <w:ind w:left="81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4B470E6"/>
    <w:multiLevelType w:val="hybridMultilevel"/>
    <w:tmpl w:val="8F54132E"/>
    <w:lvl w:ilvl="0">
      <w:start w:val="1776"/>
      <w:numFmt w:val="decimal"/>
      <w:lvlText w:val="%1"/>
      <w:lvlJc w:val="left"/>
      <w:pPr>
        <w:ind w:left="1200" w:hanging="48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5B61AE6"/>
    <w:multiLevelType w:val="hybridMultilevel"/>
    <w:tmpl w:val="B3100A04"/>
    <w:lvl w:ilvl="0">
      <w:start w:val="1776"/>
      <w:numFmt w:val="decimal"/>
      <w:lvlText w:val="%1"/>
      <w:lvlJc w:val="left"/>
      <w:pPr>
        <w:ind w:left="1200" w:hanging="48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1572F17"/>
    <w:multiLevelType w:val="hybridMultilevel"/>
    <w:tmpl w:val="478651C8"/>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D2B48D2"/>
    <w:multiLevelType w:val="singleLevel"/>
    <w:tmpl w:val="462A4EC8"/>
    <w:lvl w:ilvl="0">
      <w:start w:val="0"/>
      <w:numFmt w:val="decimal"/>
      <w:pStyle w:val="Paranum0"/>
      <w:lvlJc w:val="left"/>
    </w:lvl>
  </w:abstractNum>
  <w:abstractNum w:abstractNumId="12">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10"/>
  </w:num>
  <w:num w:numId="3">
    <w:abstractNumId w:val="4"/>
  </w:num>
  <w:num w:numId="4">
    <w:abstractNumId w:val="8"/>
  </w:num>
  <w:num w:numId="5">
    <w:abstractNumId w:val="3"/>
  </w:num>
  <w:num w:numId="6">
    <w:abstractNumId w:val="0"/>
  </w:num>
  <w:num w:numId="7">
    <w:abstractNumId w:val="12"/>
  </w:num>
  <w:num w:numId="8">
    <w:abstractNumId w:val="13"/>
  </w:num>
  <w:num w:numId="9">
    <w:abstractNumId w:val="1"/>
  </w:num>
  <w:num w:numId="10">
    <w:abstractNumId w:val="14"/>
  </w:num>
  <w:num w:numId="11">
    <w:abstractNumId w:val="7"/>
  </w:num>
  <w:num w:numId="12">
    <w:abstractNumId w:val="5"/>
  </w:num>
  <w:num w:numId="13">
    <w:abstractNumId w:val="9"/>
  </w:num>
  <w:num w:numId="14">
    <w:abstractNumId w:val="10"/>
    <w:lvlOverride w:ilvl="0">
      <w:startOverride w:val="1"/>
    </w:lvlOverride>
  </w:num>
  <w:num w:numId="15">
    <w:abstractNumId w:val="11"/>
  </w:num>
  <w:num w:numId="16">
    <w:abstractNumId w:val="10"/>
    <w:lvlOverride w:ilvl="0">
      <w:startOverride w:val="1"/>
    </w:lvlOverride>
  </w:num>
  <w:num w:numId="17">
    <w:abstractNumId w:val="10"/>
    <w:lvlOverride w:ilvl="0">
      <w:startOverride w:val="1"/>
    </w:lvlOverride>
  </w:num>
  <w:num w:numId="18">
    <w:abstractNumId w:val="6"/>
  </w:num>
  <w:num w:numId="1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EC"/>
    <w:rsid w:val="00002267"/>
    <w:rsid w:val="00004E82"/>
    <w:rsid w:val="000050BB"/>
    <w:rsid w:val="0000693A"/>
    <w:rsid w:val="000076D9"/>
    <w:rsid w:val="00010D45"/>
    <w:rsid w:val="000118D7"/>
    <w:rsid w:val="0001217D"/>
    <w:rsid w:val="000138B8"/>
    <w:rsid w:val="00016DEE"/>
    <w:rsid w:val="0002538E"/>
    <w:rsid w:val="00025AC8"/>
    <w:rsid w:val="00025E41"/>
    <w:rsid w:val="000317F5"/>
    <w:rsid w:val="00032308"/>
    <w:rsid w:val="00033410"/>
    <w:rsid w:val="00033A54"/>
    <w:rsid w:val="0003403B"/>
    <w:rsid w:val="00035133"/>
    <w:rsid w:val="0003601C"/>
    <w:rsid w:val="00036039"/>
    <w:rsid w:val="00036115"/>
    <w:rsid w:val="00037F90"/>
    <w:rsid w:val="000402B1"/>
    <w:rsid w:val="00041C85"/>
    <w:rsid w:val="0004236A"/>
    <w:rsid w:val="000451D8"/>
    <w:rsid w:val="00045C74"/>
    <w:rsid w:val="000475A6"/>
    <w:rsid w:val="000508A5"/>
    <w:rsid w:val="00050A9D"/>
    <w:rsid w:val="000525F5"/>
    <w:rsid w:val="0005460E"/>
    <w:rsid w:val="0006174D"/>
    <w:rsid w:val="00062988"/>
    <w:rsid w:val="000636BB"/>
    <w:rsid w:val="00064F8A"/>
    <w:rsid w:val="0006510E"/>
    <w:rsid w:val="00065A29"/>
    <w:rsid w:val="00065D6E"/>
    <w:rsid w:val="00072368"/>
    <w:rsid w:val="00072551"/>
    <w:rsid w:val="0007270F"/>
    <w:rsid w:val="00074192"/>
    <w:rsid w:val="00076244"/>
    <w:rsid w:val="000805A3"/>
    <w:rsid w:val="00082BB8"/>
    <w:rsid w:val="00083BA0"/>
    <w:rsid w:val="00087084"/>
    <w:rsid w:val="000875BF"/>
    <w:rsid w:val="00092804"/>
    <w:rsid w:val="00093FAF"/>
    <w:rsid w:val="0009457D"/>
    <w:rsid w:val="000955F4"/>
    <w:rsid w:val="00096D8C"/>
    <w:rsid w:val="000A0099"/>
    <w:rsid w:val="000A0131"/>
    <w:rsid w:val="000A0623"/>
    <w:rsid w:val="000A154A"/>
    <w:rsid w:val="000A1733"/>
    <w:rsid w:val="000A35D1"/>
    <w:rsid w:val="000A40E8"/>
    <w:rsid w:val="000A5B7C"/>
    <w:rsid w:val="000A6720"/>
    <w:rsid w:val="000A6FE7"/>
    <w:rsid w:val="000A72DA"/>
    <w:rsid w:val="000B21D8"/>
    <w:rsid w:val="000B3E34"/>
    <w:rsid w:val="000B5B62"/>
    <w:rsid w:val="000B5F4E"/>
    <w:rsid w:val="000B74EA"/>
    <w:rsid w:val="000C0A47"/>
    <w:rsid w:val="000C0B65"/>
    <w:rsid w:val="000C14BF"/>
    <w:rsid w:val="000C1A49"/>
    <w:rsid w:val="000C3790"/>
    <w:rsid w:val="000C5835"/>
    <w:rsid w:val="000D2074"/>
    <w:rsid w:val="000D509C"/>
    <w:rsid w:val="000D50FE"/>
    <w:rsid w:val="000E05FE"/>
    <w:rsid w:val="000E1AA7"/>
    <w:rsid w:val="000E2D19"/>
    <w:rsid w:val="000E3CB9"/>
    <w:rsid w:val="000E3D42"/>
    <w:rsid w:val="000E3F06"/>
    <w:rsid w:val="000E51CA"/>
    <w:rsid w:val="000F1FEC"/>
    <w:rsid w:val="000F33E6"/>
    <w:rsid w:val="000F3D99"/>
    <w:rsid w:val="000F497C"/>
    <w:rsid w:val="000F4E0F"/>
    <w:rsid w:val="000F5EFD"/>
    <w:rsid w:val="000F73DD"/>
    <w:rsid w:val="001021CC"/>
    <w:rsid w:val="00105057"/>
    <w:rsid w:val="00111429"/>
    <w:rsid w:val="00114231"/>
    <w:rsid w:val="00115166"/>
    <w:rsid w:val="00115C5E"/>
    <w:rsid w:val="00116909"/>
    <w:rsid w:val="00117C6B"/>
    <w:rsid w:val="00121B85"/>
    <w:rsid w:val="00122BD5"/>
    <w:rsid w:val="001230D1"/>
    <w:rsid w:val="00125EF0"/>
    <w:rsid w:val="00127877"/>
    <w:rsid w:val="00130102"/>
    <w:rsid w:val="00130AA2"/>
    <w:rsid w:val="00132588"/>
    <w:rsid w:val="00133461"/>
    <w:rsid w:val="00133F79"/>
    <w:rsid w:val="001349BA"/>
    <w:rsid w:val="00135AF8"/>
    <w:rsid w:val="00135B84"/>
    <w:rsid w:val="00135FCB"/>
    <w:rsid w:val="001364E3"/>
    <w:rsid w:val="00141CB6"/>
    <w:rsid w:val="00144B55"/>
    <w:rsid w:val="0014592D"/>
    <w:rsid w:val="0015058D"/>
    <w:rsid w:val="00151B98"/>
    <w:rsid w:val="00156B25"/>
    <w:rsid w:val="00157C7B"/>
    <w:rsid w:val="001610B7"/>
    <w:rsid w:val="001627E1"/>
    <w:rsid w:val="00165EA0"/>
    <w:rsid w:val="0017340B"/>
    <w:rsid w:val="00173A3E"/>
    <w:rsid w:val="00177849"/>
    <w:rsid w:val="00180F7C"/>
    <w:rsid w:val="0018191D"/>
    <w:rsid w:val="00185375"/>
    <w:rsid w:val="00186CB6"/>
    <w:rsid w:val="00187B55"/>
    <w:rsid w:val="001929F8"/>
    <w:rsid w:val="001947B7"/>
    <w:rsid w:val="00194A66"/>
    <w:rsid w:val="00197AC4"/>
    <w:rsid w:val="001A44F5"/>
    <w:rsid w:val="001A55B6"/>
    <w:rsid w:val="001A670D"/>
    <w:rsid w:val="001A6B07"/>
    <w:rsid w:val="001A7095"/>
    <w:rsid w:val="001B1699"/>
    <w:rsid w:val="001B2B68"/>
    <w:rsid w:val="001B2CA8"/>
    <w:rsid w:val="001B4D5D"/>
    <w:rsid w:val="001B63AE"/>
    <w:rsid w:val="001B7024"/>
    <w:rsid w:val="001C120E"/>
    <w:rsid w:val="001C1B0C"/>
    <w:rsid w:val="001C27F8"/>
    <w:rsid w:val="001C5898"/>
    <w:rsid w:val="001C6F24"/>
    <w:rsid w:val="001D0428"/>
    <w:rsid w:val="001D1734"/>
    <w:rsid w:val="001D35B8"/>
    <w:rsid w:val="001D55B5"/>
    <w:rsid w:val="001D601F"/>
    <w:rsid w:val="001D6BCF"/>
    <w:rsid w:val="001E0155"/>
    <w:rsid w:val="001E01CA"/>
    <w:rsid w:val="001E087C"/>
    <w:rsid w:val="001E26E4"/>
    <w:rsid w:val="001F012D"/>
    <w:rsid w:val="001F14D7"/>
    <w:rsid w:val="001F250D"/>
    <w:rsid w:val="001F32E5"/>
    <w:rsid w:val="00201DDD"/>
    <w:rsid w:val="0020281D"/>
    <w:rsid w:val="00202AF5"/>
    <w:rsid w:val="00202EBC"/>
    <w:rsid w:val="00204BF3"/>
    <w:rsid w:val="0020686D"/>
    <w:rsid w:val="0020762A"/>
    <w:rsid w:val="002107CD"/>
    <w:rsid w:val="00213726"/>
    <w:rsid w:val="00221348"/>
    <w:rsid w:val="002228A1"/>
    <w:rsid w:val="0022695F"/>
    <w:rsid w:val="00226D0F"/>
    <w:rsid w:val="00227D96"/>
    <w:rsid w:val="00227E60"/>
    <w:rsid w:val="00234436"/>
    <w:rsid w:val="00236EA4"/>
    <w:rsid w:val="0023735B"/>
    <w:rsid w:val="00237E6C"/>
    <w:rsid w:val="0024274E"/>
    <w:rsid w:val="002427BA"/>
    <w:rsid w:val="00242C70"/>
    <w:rsid w:val="0025083E"/>
    <w:rsid w:val="0025144F"/>
    <w:rsid w:val="00251675"/>
    <w:rsid w:val="00252AEC"/>
    <w:rsid w:val="00253104"/>
    <w:rsid w:val="002545CD"/>
    <w:rsid w:val="0025742E"/>
    <w:rsid w:val="0025758F"/>
    <w:rsid w:val="00264939"/>
    <w:rsid w:val="002666A9"/>
    <w:rsid w:val="00267044"/>
    <w:rsid w:val="002705D0"/>
    <w:rsid w:val="00272BF0"/>
    <w:rsid w:val="00275CF5"/>
    <w:rsid w:val="00280048"/>
    <w:rsid w:val="002801D6"/>
    <w:rsid w:val="00280596"/>
    <w:rsid w:val="0028157D"/>
    <w:rsid w:val="00282E92"/>
    <w:rsid w:val="0028301F"/>
    <w:rsid w:val="00283451"/>
    <w:rsid w:val="002849EB"/>
    <w:rsid w:val="00285017"/>
    <w:rsid w:val="00290740"/>
    <w:rsid w:val="002911C4"/>
    <w:rsid w:val="00291C3D"/>
    <w:rsid w:val="0029277B"/>
    <w:rsid w:val="0029443C"/>
    <w:rsid w:val="00294ABC"/>
    <w:rsid w:val="00294E88"/>
    <w:rsid w:val="002A2D2E"/>
    <w:rsid w:val="002A58C1"/>
    <w:rsid w:val="002A5D97"/>
    <w:rsid w:val="002A5FA2"/>
    <w:rsid w:val="002B0155"/>
    <w:rsid w:val="002B122A"/>
    <w:rsid w:val="002B18A4"/>
    <w:rsid w:val="002B2338"/>
    <w:rsid w:val="002B6229"/>
    <w:rsid w:val="002C00E8"/>
    <w:rsid w:val="002C5DC6"/>
    <w:rsid w:val="002C7686"/>
    <w:rsid w:val="002C7C13"/>
    <w:rsid w:val="002D0CFA"/>
    <w:rsid w:val="002D0E63"/>
    <w:rsid w:val="002D1EFD"/>
    <w:rsid w:val="002D2A00"/>
    <w:rsid w:val="002D6B54"/>
    <w:rsid w:val="002E0171"/>
    <w:rsid w:val="002E3561"/>
    <w:rsid w:val="002E7FAA"/>
    <w:rsid w:val="002F0041"/>
    <w:rsid w:val="002F2E11"/>
    <w:rsid w:val="002F3B0A"/>
    <w:rsid w:val="002F61E3"/>
    <w:rsid w:val="00302F2E"/>
    <w:rsid w:val="00302F37"/>
    <w:rsid w:val="0030733C"/>
    <w:rsid w:val="00307C2A"/>
    <w:rsid w:val="003103D3"/>
    <w:rsid w:val="003107EF"/>
    <w:rsid w:val="003108C1"/>
    <w:rsid w:val="0031634D"/>
    <w:rsid w:val="00317281"/>
    <w:rsid w:val="003179B7"/>
    <w:rsid w:val="00325CFB"/>
    <w:rsid w:val="00325FFB"/>
    <w:rsid w:val="00326680"/>
    <w:rsid w:val="003306EE"/>
    <w:rsid w:val="00331337"/>
    <w:rsid w:val="00331D74"/>
    <w:rsid w:val="003356DC"/>
    <w:rsid w:val="00335E11"/>
    <w:rsid w:val="00336AA7"/>
    <w:rsid w:val="00336C14"/>
    <w:rsid w:val="00336F87"/>
    <w:rsid w:val="00341124"/>
    <w:rsid w:val="00341BB1"/>
    <w:rsid w:val="00343749"/>
    <w:rsid w:val="00345118"/>
    <w:rsid w:val="0034693F"/>
    <w:rsid w:val="00350511"/>
    <w:rsid w:val="003522B8"/>
    <w:rsid w:val="00357FF2"/>
    <w:rsid w:val="003627AF"/>
    <w:rsid w:val="00362C78"/>
    <w:rsid w:val="00363709"/>
    <w:rsid w:val="00364566"/>
    <w:rsid w:val="003660ED"/>
    <w:rsid w:val="00366E1B"/>
    <w:rsid w:val="003679FC"/>
    <w:rsid w:val="00376551"/>
    <w:rsid w:val="00377F12"/>
    <w:rsid w:val="00380926"/>
    <w:rsid w:val="00381256"/>
    <w:rsid w:val="00381FBF"/>
    <w:rsid w:val="00383C61"/>
    <w:rsid w:val="00386516"/>
    <w:rsid w:val="00386C3A"/>
    <w:rsid w:val="0039000F"/>
    <w:rsid w:val="00390CB5"/>
    <w:rsid w:val="00394DD2"/>
    <w:rsid w:val="003A3E8C"/>
    <w:rsid w:val="003A3F64"/>
    <w:rsid w:val="003A68DA"/>
    <w:rsid w:val="003A7408"/>
    <w:rsid w:val="003B0550"/>
    <w:rsid w:val="003B134A"/>
    <w:rsid w:val="003B5366"/>
    <w:rsid w:val="003B57B7"/>
    <w:rsid w:val="003B6431"/>
    <w:rsid w:val="003B694F"/>
    <w:rsid w:val="003B6EE1"/>
    <w:rsid w:val="003B6FA0"/>
    <w:rsid w:val="003B7F5E"/>
    <w:rsid w:val="003C262C"/>
    <w:rsid w:val="003C2889"/>
    <w:rsid w:val="003C434F"/>
    <w:rsid w:val="003C5A1F"/>
    <w:rsid w:val="003C7827"/>
    <w:rsid w:val="003D3F5E"/>
    <w:rsid w:val="003E161E"/>
    <w:rsid w:val="003E402D"/>
    <w:rsid w:val="003E7DE8"/>
    <w:rsid w:val="003F171C"/>
    <w:rsid w:val="003F2CDB"/>
    <w:rsid w:val="003F47A5"/>
    <w:rsid w:val="003F7A73"/>
    <w:rsid w:val="00400751"/>
    <w:rsid w:val="004060C3"/>
    <w:rsid w:val="004068A0"/>
    <w:rsid w:val="00407EFE"/>
    <w:rsid w:val="00412FC5"/>
    <w:rsid w:val="00413522"/>
    <w:rsid w:val="004143A2"/>
    <w:rsid w:val="0041468C"/>
    <w:rsid w:val="0041534D"/>
    <w:rsid w:val="00415677"/>
    <w:rsid w:val="00417026"/>
    <w:rsid w:val="00417050"/>
    <w:rsid w:val="00420CA0"/>
    <w:rsid w:val="00421D72"/>
    <w:rsid w:val="00422276"/>
    <w:rsid w:val="00423E2B"/>
    <w:rsid w:val="004242F1"/>
    <w:rsid w:val="00424B72"/>
    <w:rsid w:val="00426011"/>
    <w:rsid w:val="0042656F"/>
    <w:rsid w:val="004275A5"/>
    <w:rsid w:val="00430B23"/>
    <w:rsid w:val="00431BD6"/>
    <w:rsid w:val="00432F5A"/>
    <w:rsid w:val="00433668"/>
    <w:rsid w:val="0043470F"/>
    <w:rsid w:val="00435C44"/>
    <w:rsid w:val="0043617E"/>
    <w:rsid w:val="004375C2"/>
    <w:rsid w:val="00440A8F"/>
    <w:rsid w:val="00441493"/>
    <w:rsid w:val="00441AD1"/>
    <w:rsid w:val="00445A00"/>
    <w:rsid w:val="004466F1"/>
    <w:rsid w:val="00446948"/>
    <w:rsid w:val="00451B0F"/>
    <w:rsid w:val="004534B2"/>
    <w:rsid w:val="00457DB2"/>
    <w:rsid w:val="00457DFE"/>
    <w:rsid w:val="00460344"/>
    <w:rsid w:val="00461330"/>
    <w:rsid w:val="004624EC"/>
    <w:rsid w:val="004627DE"/>
    <w:rsid w:val="00465B25"/>
    <w:rsid w:val="004674DC"/>
    <w:rsid w:val="004725B6"/>
    <w:rsid w:val="00475EC0"/>
    <w:rsid w:val="004763E8"/>
    <w:rsid w:val="00476A84"/>
    <w:rsid w:val="004823C3"/>
    <w:rsid w:val="004871EA"/>
    <w:rsid w:val="004874E9"/>
    <w:rsid w:val="00492BCD"/>
    <w:rsid w:val="004936F2"/>
    <w:rsid w:val="00496737"/>
    <w:rsid w:val="004A048B"/>
    <w:rsid w:val="004A107D"/>
    <w:rsid w:val="004A195F"/>
    <w:rsid w:val="004A2BF9"/>
    <w:rsid w:val="004A409B"/>
    <w:rsid w:val="004B161A"/>
    <w:rsid w:val="004B1FF1"/>
    <w:rsid w:val="004B5464"/>
    <w:rsid w:val="004C2EE3"/>
    <w:rsid w:val="004C2F37"/>
    <w:rsid w:val="004C3D24"/>
    <w:rsid w:val="004C51F6"/>
    <w:rsid w:val="004C7606"/>
    <w:rsid w:val="004D1AEB"/>
    <w:rsid w:val="004D1E39"/>
    <w:rsid w:val="004D3E90"/>
    <w:rsid w:val="004D6269"/>
    <w:rsid w:val="004E1A5A"/>
    <w:rsid w:val="004E2A6C"/>
    <w:rsid w:val="004E3740"/>
    <w:rsid w:val="004E4A22"/>
    <w:rsid w:val="004E4B9B"/>
    <w:rsid w:val="004E54F8"/>
    <w:rsid w:val="004E5B1F"/>
    <w:rsid w:val="004F0363"/>
    <w:rsid w:val="004F2A71"/>
    <w:rsid w:val="004F432E"/>
    <w:rsid w:val="004F5F2B"/>
    <w:rsid w:val="004F72C3"/>
    <w:rsid w:val="004F7F73"/>
    <w:rsid w:val="004F7F74"/>
    <w:rsid w:val="00500D11"/>
    <w:rsid w:val="00501CA9"/>
    <w:rsid w:val="00502F47"/>
    <w:rsid w:val="00503331"/>
    <w:rsid w:val="005040B1"/>
    <w:rsid w:val="00504CDB"/>
    <w:rsid w:val="00504F87"/>
    <w:rsid w:val="005052EA"/>
    <w:rsid w:val="0050649A"/>
    <w:rsid w:val="00506F28"/>
    <w:rsid w:val="00507278"/>
    <w:rsid w:val="00507D4D"/>
    <w:rsid w:val="00511968"/>
    <w:rsid w:val="00511F5F"/>
    <w:rsid w:val="005127EE"/>
    <w:rsid w:val="00512A4A"/>
    <w:rsid w:val="00513726"/>
    <w:rsid w:val="005144FD"/>
    <w:rsid w:val="00515372"/>
    <w:rsid w:val="00515B80"/>
    <w:rsid w:val="00516A1A"/>
    <w:rsid w:val="005202CC"/>
    <w:rsid w:val="00522221"/>
    <w:rsid w:val="005223E1"/>
    <w:rsid w:val="00530230"/>
    <w:rsid w:val="00531BB2"/>
    <w:rsid w:val="00533AF9"/>
    <w:rsid w:val="00533C5C"/>
    <w:rsid w:val="0054292D"/>
    <w:rsid w:val="0054295D"/>
    <w:rsid w:val="00542D07"/>
    <w:rsid w:val="00543ED0"/>
    <w:rsid w:val="00543F61"/>
    <w:rsid w:val="005442FD"/>
    <w:rsid w:val="005448B8"/>
    <w:rsid w:val="00547D07"/>
    <w:rsid w:val="005504A0"/>
    <w:rsid w:val="0055086F"/>
    <w:rsid w:val="00550A38"/>
    <w:rsid w:val="0055150B"/>
    <w:rsid w:val="005517BB"/>
    <w:rsid w:val="00552577"/>
    <w:rsid w:val="0055614C"/>
    <w:rsid w:val="005572FE"/>
    <w:rsid w:val="00561788"/>
    <w:rsid w:val="00566D06"/>
    <w:rsid w:val="00570D70"/>
    <w:rsid w:val="005720AE"/>
    <w:rsid w:val="005727EA"/>
    <w:rsid w:val="00574AA0"/>
    <w:rsid w:val="00577281"/>
    <w:rsid w:val="0057743E"/>
    <w:rsid w:val="00580E19"/>
    <w:rsid w:val="00580E82"/>
    <w:rsid w:val="005868D4"/>
    <w:rsid w:val="00586AF3"/>
    <w:rsid w:val="00592034"/>
    <w:rsid w:val="005942EA"/>
    <w:rsid w:val="00594AFB"/>
    <w:rsid w:val="00597183"/>
    <w:rsid w:val="00597BC9"/>
    <w:rsid w:val="005A3409"/>
    <w:rsid w:val="005A3668"/>
    <w:rsid w:val="005A53E1"/>
    <w:rsid w:val="005B1DAB"/>
    <w:rsid w:val="005C5D84"/>
    <w:rsid w:val="005C69DE"/>
    <w:rsid w:val="005C776D"/>
    <w:rsid w:val="005D0656"/>
    <w:rsid w:val="005D0AAE"/>
    <w:rsid w:val="005D14A6"/>
    <w:rsid w:val="005D3374"/>
    <w:rsid w:val="005D4835"/>
    <w:rsid w:val="005D5EF3"/>
    <w:rsid w:val="005D7047"/>
    <w:rsid w:val="005D70DB"/>
    <w:rsid w:val="005D71EF"/>
    <w:rsid w:val="005D796A"/>
    <w:rsid w:val="005E14C2"/>
    <w:rsid w:val="005E19A4"/>
    <w:rsid w:val="005E1F53"/>
    <w:rsid w:val="005E270E"/>
    <w:rsid w:val="005E3497"/>
    <w:rsid w:val="005E3B17"/>
    <w:rsid w:val="005E4D14"/>
    <w:rsid w:val="005E5A34"/>
    <w:rsid w:val="005F023D"/>
    <w:rsid w:val="005F0CF0"/>
    <w:rsid w:val="005F0F99"/>
    <w:rsid w:val="005F10A0"/>
    <w:rsid w:val="005F2358"/>
    <w:rsid w:val="005F36E6"/>
    <w:rsid w:val="005F375B"/>
    <w:rsid w:val="005F3970"/>
    <w:rsid w:val="005F5EE7"/>
    <w:rsid w:val="006018F8"/>
    <w:rsid w:val="00602495"/>
    <w:rsid w:val="00602DC6"/>
    <w:rsid w:val="00604891"/>
    <w:rsid w:val="00607BA5"/>
    <w:rsid w:val="00610ED2"/>
    <w:rsid w:val="0061180A"/>
    <w:rsid w:val="00612D04"/>
    <w:rsid w:val="00614C2E"/>
    <w:rsid w:val="00620852"/>
    <w:rsid w:val="00624660"/>
    <w:rsid w:val="00626EB6"/>
    <w:rsid w:val="006300B9"/>
    <w:rsid w:val="0063074E"/>
    <w:rsid w:val="006310E5"/>
    <w:rsid w:val="006318E3"/>
    <w:rsid w:val="00634457"/>
    <w:rsid w:val="0063727B"/>
    <w:rsid w:val="006407ED"/>
    <w:rsid w:val="00640B5C"/>
    <w:rsid w:val="00641671"/>
    <w:rsid w:val="00642E2D"/>
    <w:rsid w:val="0065028B"/>
    <w:rsid w:val="006512E8"/>
    <w:rsid w:val="00652FCA"/>
    <w:rsid w:val="00655D03"/>
    <w:rsid w:val="00662B95"/>
    <w:rsid w:val="00666050"/>
    <w:rsid w:val="00666FFC"/>
    <w:rsid w:val="006676BD"/>
    <w:rsid w:val="00667FB4"/>
    <w:rsid w:val="006715B2"/>
    <w:rsid w:val="00671F04"/>
    <w:rsid w:val="00673866"/>
    <w:rsid w:val="00682EC3"/>
    <w:rsid w:val="00683388"/>
    <w:rsid w:val="00683F84"/>
    <w:rsid w:val="0068468B"/>
    <w:rsid w:val="0068723C"/>
    <w:rsid w:val="006873FB"/>
    <w:rsid w:val="00693D8E"/>
    <w:rsid w:val="0069494C"/>
    <w:rsid w:val="006A1D9F"/>
    <w:rsid w:val="006A293B"/>
    <w:rsid w:val="006A684B"/>
    <w:rsid w:val="006A6A81"/>
    <w:rsid w:val="006A6DF8"/>
    <w:rsid w:val="006B4214"/>
    <w:rsid w:val="006B4F67"/>
    <w:rsid w:val="006B58DB"/>
    <w:rsid w:val="006B6A70"/>
    <w:rsid w:val="006C2F45"/>
    <w:rsid w:val="006C681E"/>
    <w:rsid w:val="006D321A"/>
    <w:rsid w:val="006D5295"/>
    <w:rsid w:val="006D5BE0"/>
    <w:rsid w:val="006D629D"/>
    <w:rsid w:val="006E2CA0"/>
    <w:rsid w:val="006E462E"/>
    <w:rsid w:val="006E4B32"/>
    <w:rsid w:val="006E7648"/>
    <w:rsid w:val="006F08B2"/>
    <w:rsid w:val="006F1759"/>
    <w:rsid w:val="006F21BC"/>
    <w:rsid w:val="006F23AA"/>
    <w:rsid w:val="006F3838"/>
    <w:rsid w:val="006F61BD"/>
    <w:rsid w:val="006F7393"/>
    <w:rsid w:val="00700491"/>
    <w:rsid w:val="007004D4"/>
    <w:rsid w:val="00701799"/>
    <w:rsid w:val="0070224F"/>
    <w:rsid w:val="007113CB"/>
    <w:rsid w:val="007115F7"/>
    <w:rsid w:val="00711648"/>
    <w:rsid w:val="0071630D"/>
    <w:rsid w:val="00721482"/>
    <w:rsid w:val="00721E22"/>
    <w:rsid w:val="0072791A"/>
    <w:rsid w:val="007307BD"/>
    <w:rsid w:val="007327C8"/>
    <w:rsid w:val="0073303D"/>
    <w:rsid w:val="007338C0"/>
    <w:rsid w:val="007342E7"/>
    <w:rsid w:val="00734FB3"/>
    <w:rsid w:val="00735680"/>
    <w:rsid w:val="00736D9B"/>
    <w:rsid w:val="00736E4C"/>
    <w:rsid w:val="007371D3"/>
    <w:rsid w:val="007374DE"/>
    <w:rsid w:val="00742566"/>
    <w:rsid w:val="00742AA8"/>
    <w:rsid w:val="00743039"/>
    <w:rsid w:val="00743B8E"/>
    <w:rsid w:val="0074651F"/>
    <w:rsid w:val="0075008E"/>
    <w:rsid w:val="00750441"/>
    <w:rsid w:val="007530D9"/>
    <w:rsid w:val="00753D62"/>
    <w:rsid w:val="00756C70"/>
    <w:rsid w:val="007575DD"/>
    <w:rsid w:val="00760856"/>
    <w:rsid w:val="00762A73"/>
    <w:rsid w:val="007640DD"/>
    <w:rsid w:val="00764193"/>
    <w:rsid w:val="00764495"/>
    <w:rsid w:val="007675D1"/>
    <w:rsid w:val="00770AD4"/>
    <w:rsid w:val="00772BA4"/>
    <w:rsid w:val="00773B59"/>
    <w:rsid w:val="00776160"/>
    <w:rsid w:val="00777F16"/>
    <w:rsid w:val="00777FE0"/>
    <w:rsid w:val="007813BF"/>
    <w:rsid w:val="00782011"/>
    <w:rsid w:val="00782041"/>
    <w:rsid w:val="0078284B"/>
    <w:rsid w:val="0078296F"/>
    <w:rsid w:val="00783BAD"/>
    <w:rsid w:val="00783DF9"/>
    <w:rsid w:val="00785689"/>
    <w:rsid w:val="00787DB6"/>
    <w:rsid w:val="0079037A"/>
    <w:rsid w:val="00791903"/>
    <w:rsid w:val="00792C74"/>
    <w:rsid w:val="007937DE"/>
    <w:rsid w:val="00795877"/>
    <w:rsid w:val="00795998"/>
    <w:rsid w:val="00796595"/>
    <w:rsid w:val="0079754B"/>
    <w:rsid w:val="007A1E6D"/>
    <w:rsid w:val="007A36FA"/>
    <w:rsid w:val="007A434A"/>
    <w:rsid w:val="007A606F"/>
    <w:rsid w:val="007B0EB2"/>
    <w:rsid w:val="007B1900"/>
    <w:rsid w:val="007B6E83"/>
    <w:rsid w:val="007C5A69"/>
    <w:rsid w:val="007D0578"/>
    <w:rsid w:val="007D10B5"/>
    <w:rsid w:val="007D5A1D"/>
    <w:rsid w:val="007D65FF"/>
    <w:rsid w:val="007D721E"/>
    <w:rsid w:val="007D7460"/>
    <w:rsid w:val="007D7E74"/>
    <w:rsid w:val="007E0A4B"/>
    <w:rsid w:val="007E370E"/>
    <w:rsid w:val="007E6019"/>
    <w:rsid w:val="007E606D"/>
    <w:rsid w:val="007E7646"/>
    <w:rsid w:val="007E7A9F"/>
    <w:rsid w:val="007F0E38"/>
    <w:rsid w:val="007F1D63"/>
    <w:rsid w:val="007F1DE6"/>
    <w:rsid w:val="007F4DD6"/>
    <w:rsid w:val="008004C2"/>
    <w:rsid w:val="00801D84"/>
    <w:rsid w:val="008068F8"/>
    <w:rsid w:val="00807024"/>
    <w:rsid w:val="008074C4"/>
    <w:rsid w:val="00807A23"/>
    <w:rsid w:val="00810859"/>
    <w:rsid w:val="00810B6F"/>
    <w:rsid w:val="0081153F"/>
    <w:rsid w:val="00813BC2"/>
    <w:rsid w:val="0081452B"/>
    <w:rsid w:val="008204E2"/>
    <w:rsid w:val="008210B7"/>
    <w:rsid w:val="00822CE0"/>
    <w:rsid w:val="00824F9F"/>
    <w:rsid w:val="00827776"/>
    <w:rsid w:val="00830753"/>
    <w:rsid w:val="008325C0"/>
    <w:rsid w:val="00834664"/>
    <w:rsid w:val="008357C0"/>
    <w:rsid w:val="00840618"/>
    <w:rsid w:val="00840FF0"/>
    <w:rsid w:val="00841793"/>
    <w:rsid w:val="00841AB1"/>
    <w:rsid w:val="00844DE1"/>
    <w:rsid w:val="008451BE"/>
    <w:rsid w:val="008470CB"/>
    <w:rsid w:val="00850D3A"/>
    <w:rsid w:val="008510E2"/>
    <w:rsid w:val="00851176"/>
    <w:rsid w:val="00852F57"/>
    <w:rsid w:val="00853E63"/>
    <w:rsid w:val="00856666"/>
    <w:rsid w:val="0086004E"/>
    <w:rsid w:val="008645A7"/>
    <w:rsid w:val="00866C6D"/>
    <w:rsid w:val="00870AF3"/>
    <w:rsid w:val="00871AA4"/>
    <w:rsid w:val="0087394A"/>
    <w:rsid w:val="0087459D"/>
    <w:rsid w:val="00876CBB"/>
    <w:rsid w:val="00877BC3"/>
    <w:rsid w:val="00881476"/>
    <w:rsid w:val="0089394B"/>
    <w:rsid w:val="0089451B"/>
    <w:rsid w:val="00897256"/>
    <w:rsid w:val="0089735C"/>
    <w:rsid w:val="008A3EC2"/>
    <w:rsid w:val="008A5C21"/>
    <w:rsid w:val="008A6E0F"/>
    <w:rsid w:val="008B2C6F"/>
    <w:rsid w:val="008B5484"/>
    <w:rsid w:val="008B74AE"/>
    <w:rsid w:val="008C5CCD"/>
    <w:rsid w:val="008C5FDE"/>
    <w:rsid w:val="008C68F1"/>
    <w:rsid w:val="008C7BC9"/>
    <w:rsid w:val="008D1444"/>
    <w:rsid w:val="008D4507"/>
    <w:rsid w:val="008D50CF"/>
    <w:rsid w:val="008D617A"/>
    <w:rsid w:val="008D658C"/>
    <w:rsid w:val="008D75CE"/>
    <w:rsid w:val="008E06C8"/>
    <w:rsid w:val="008E1E5D"/>
    <w:rsid w:val="008E3145"/>
    <w:rsid w:val="008E4184"/>
    <w:rsid w:val="008E7E2A"/>
    <w:rsid w:val="008F0402"/>
    <w:rsid w:val="008F0EE8"/>
    <w:rsid w:val="008F1517"/>
    <w:rsid w:val="008F26B4"/>
    <w:rsid w:val="0090164F"/>
    <w:rsid w:val="00902A10"/>
    <w:rsid w:val="00902B66"/>
    <w:rsid w:val="00905841"/>
    <w:rsid w:val="009066E3"/>
    <w:rsid w:val="00907913"/>
    <w:rsid w:val="00913C84"/>
    <w:rsid w:val="0092094D"/>
    <w:rsid w:val="0092167B"/>
    <w:rsid w:val="00921803"/>
    <w:rsid w:val="00926503"/>
    <w:rsid w:val="0092663C"/>
    <w:rsid w:val="00931457"/>
    <w:rsid w:val="00931DF0"/>
    <w:rsid w:val="00931FDE"/>
    <w:rsid w:val="00932D93"/>
    <w:rsid w:val="009346C3"/>
    <w:rsid w:val="00936AA6"/>
    <w:rsid w:val="00937D1F"/>
    <w:rsid w:val="009400D0"/>
    <w:rsid w:val="009402A3"/>
    <w:rsid w:val="009409CC"/>
    <w:rsid w:val="00942EA3"/>
    <w:rsid w:val="009444DA"/>
    <w:rsid w:val="00945046"/>
    <w:rsid w:val="009463A9"/>
    <w:rsid w:val="00946E3C"/>
    <w:rsid w:val="009531E0"/>
    <w:rsid w:val="0095489E"/>
    <w:rsid w:val="00955003"/>
    <w:rsid w:val="009554E1"/>
    <w:rsid w:val="00955E88"/>
    <w:rsid w:val="0096073E"/>
    <w:rsid w:val="00960AD2"/>
    <w:rsid w:val="009618E5"/>
    <w:rsid w:val="0096594A"/>
    <w:rsid w:val="00965BE3"/>
    <w:rsid w:val="00965E0C"/>
    <w:rsid w:val="009662B5"/>
    <w:rsid w:val="0097100D"/>
    <w:rsid w:val="009726B2"/>
    <w:rsid w:val="009726D8"/>
    <w:rsid w:val="00974C47"/>
    <w:rsid w:val="00975A1E"/>
    <w:rsid w:val="0097677E"/>
    <w:rsid w:val="00980BA4"/>
    <w:rsid w:val="009858E1"/>
    <w:rsid w:val="009859B4"/>
    <w:rsid w:val="00985E47"/>
    <w:rsid w:val="00985F7E"/>
    <w:rsid w:val="00987B91"/>
    <w:rsid w:val="00990149"/>
    <w:rsid w:val="0099056F"/>
    <w:rsid w:val="009931F8"/>
    <w:rsid w:val="009979C9"/>
    <w:rsid w:val="009A0E87"/>
    <w:rsid w:val="009A1BF7"/>
    <w:rsid w:val="009B08E5"/>
    <w:rsid w:val="009B2385"/>
    <w:rsid w:val="009B33B4"/>
    <w:rsid w:val="009B33F4"/>
    <w:rsid w:val="009B5249"/>
    <w:rsid w:val="009B585D"/>
    <w:rsid w:val="009B6152"/>
    <w:rsid w:val="009B6D5A"/>
    <w:rsid w:val="009B70FA"/>
    <w:rsid w:val="009C1C72"/>
    <w:rsid w:val="009C23C4"/>
    <w:rsid w:val="009D395B"/>
    <w:rsid w:val="009D3FFC"/>
    <w:rsid w:val="009D4DCA"/>
    <w:rsid w:val="009D7308"/>
    <w:rsid w:val="009E0DD1"/>
    <w:rsid w:val="009E0FCB"/>
    <w:rsid w:val="009E2E69"/>
    <w:rsid w:val="009E35FD"/>
    <w:rsid w:val="009E41FC"/>
    <w:rsid w:val="009E5896"/>
    <w:rsid w:val="009E7011"/>
    <w:rsid w:val="009F015E"/>
    <w:rsid w:val="009F091D"/>
    <w:rsid w:val="009F2562"/>
    <w:rsid w:val="009F57AD"/>
    <w:rsid w:val="009F58D4"/>
    <w:rsid w:val="009F6BFA"/>
    <w:rsid w:val="009F76DB"/>
    <w:rsid w:val="00A0113B"/>
    <w:rsid w:val="00A0781C"/>
    <w:rsid w:val="00A13FF8"/>
    <w:rsid w:val="00A16DBC"/>
    <w:rsid w:val="00A21BB6"/>
    <w:rsid w:val="00A21DAE"/>
    <w:rsid w:val="00A21E15"/>
    <w:rsid w:val="00A24181"/>
    <w:rsid w:val="00A25603"/>
    <w:rsid w:val="00A26B94"/>
    <w:rsid w:val="00A27FA8"/>
    <w:rsid w:val="00A319BD"/>
    <w:rsid w:val="00A32C3B"/>
    <w:rsid w:val="00A32F46"/>
    <w:rsid w:val="00A34022"/>
    <w:rsid w:val="00A37CF3"/>
    <w:rsid w:val="00A403FA"/>
    <w:rsid w:val="00A4259C"/>
    <w:rsid w:val="00A45F4F"/>
    <w:rsid w:val="00A559BF"/>
    <w:rsid w:val="00A55C57"/>
    <w:rsid w:val="00A56385"/>
    <w:rsid w:val="00A57E67"/>
    <w:rsid w:val="00A600A9"/>
    <w:rsid w:val="00A60C95"/>
    <w:rsid w:val="00A63B34"/>
    <w:rsid w:val="00A668A6"/>
    <w:rsid w:val="00A7010F"/>
    <w:rsid w:val="00A730AE"/>
    <w:rsid w:val="00A748F1"/>
    <w:rsid w:val="00A74C58"/>
    <w:rsid w:val="00A75DF9"/>
    <w:rsid w:val="00A75FA7"/>
    <w:rsid w:val="00A77877"/>
    <w:rsid w:val="00A8054D"/>
    <w:rsid w:val="00A8203F"/>
    <w:rsid w:val="00A82728"/>
    <w:rsid w:val="00A84F24"/>
    <w:rsid w:val="00A86189"/>
    <w:rsid w:val="00A91C03"/>
    <w:rsid w:val="00A920F9"/>
    <w:rsid w:val="00A928A3"/>
    <w:rsid w:val="00A92AE2"/>
    <w:rsid w:val="00A94305"/>
    <w:rsid w:val="00A957B1"/>
    <w:rsid w:val="00AA55B7"/>
    <w:rsid w:val="00AA5B9E"/>
    <w:rsid w:val="00AA5CC2"/>
    <w:rsid w:val="00AA6B6A"/>
    <w:rsid w:val="00AB0CFA"/>
    <w:rsid w:val="00AB133F"/>
    <w:rsid w:val="00AB2407"/>
    <w:rsid w:val="00AB2B4D"/>
    <w:rsid w:val="00AB2E01"/>
    <w:rsid w:val="00AB53DF"/>
    <w:rsid w:val="00AB55E4"/>
    <w:rsid w:val="00AB75C8"/>
    <w:rsid w:val="00AB7938"/>
    <w:rsid w:val="00AC000D"/>
    <w:rsid w:val="00AD0236"/>
    <w:rsid w:val="00AD1309"/>
    <w:rsid w:val="00AD3F16"/>
    <w:rsid w:val="00AD45C6"/>
    <w:rsid w:val="00AD6F8B"/>
    <w:rsid w:val="00AE0940"/>
    <w:rsid w:val="00AE0FA6"/>
    <w:rsid w:val="00AE1085"/>
    <w:rsid w:val="00AE2D32"/>
    <w:rsid w:val="00AE4483"/>
    <w:rsid w:val="00AE68EF"/>
    <w:rsid w:val="00AE78D5"/>
    <w:rsid w:val="00AE7B0E"/>
    <w:rsid w:val="00AF0869"/>
    <w:rsid w:val="00AF09FA"/>
    <w:rsid w:val="00AF0A74"/>
    <w:rsid w:val="00AF0D37"/>
    <w:rsid w:val="00AF503B"/>
    <w:rsid w:val="00AF5111"/>
    <w:rsid w:val="00AF549D"/>
    <w:rsid w:val="00AF5744"/>
    <w:rsid w:val="00AF5A10"/>
    <w:rsid w:val="00B00F70"/>
    <w:rsid w:val="00B07E5C"/>
    <w:rsid w:val="00B1119B"/>
    <w:rsid w:val="00B12E82"/>
    <w:rsid w:val="00B1303A"/>
    <w:rsid w:val="00B1783B"/>
    <w:rsid w:val="00B2159A"/>
    <w:rsid w:val="00B227D6"/>
    <w:rsid w:val="00B236F2"/>
    <w:rsid w:val="00B2379C"/>
    <w:rsid w:val="00B26158"/>
    <w:rsid w:val="00B2718C"/>
    <w:rsid w:val="00B27A11"/>
    <w:rsid w:val="00B27C44"/>
    <w:rsid w:val="00B3622A"/>
    <w:rsid w:val="00B378FD"/>
    <w:rsid w:val="00B404FC"/>
    <w:rsid w:val="00B40680"/>
    <w:rsid w:val="00B42B47"/>
    <w:rsid w:val="00B4487F"/>
    <w:rsid w:val="00B507F1"/>
    <w:rsid w:val="00B50951"/>
    <w:rsid w:val="00B51854"/>
    <w:rsid w:val="00B52C7E"/>
    <w:rsid w:val="00B6018A"/>
    <w:rsid w:val="00B61C14"/>
    <w:rsid w:val="00B6329E"/>
    <w:rsid w:val="00B63499"/>
    <w:rsid w:val="00B63F6E"/>
    <w:rsid w:val="00B666B7"/>
    <w:rsid w:val="00B717BC"/>
    <w:rsid w:val="00B71C1A"/>
    <w:rsid w:val="00B7278B"/>
    <w:rsid w:val="00B76230"/>
    <w:rsid w:val="00B80055"/>
    <w:rsid w:val="00B811F7"/>
    <w:rsid w:val="00B819BE"/>
    <w:rsid w:val="00B826B7"/>
    <w:rsid w:val="00B85FE9"/>
    <w:rsid w:val="00B87078"/>
    <w:rsid w:val="00B87A8E"/>
    <w:rsid w:val="00B95EF7"/>
    <w:rsid w:val="00B961FD"/>
    <w:rsid w:val="00BA1A9F"/>
    <w:rsid w:val="00BA25F8"/>
    <w:rsid w:val="00BA31DE"/>
    <w:rsid w:val="00BA5DC6"/>
    <w:rsid w:val="00BA6196"/>
    <w:rsid w:val="00BA789D"/>
    <w:rsid w:val="00BB328E"/>
    <w:rsid w:val="00BB3A74"/>
    <w:rsid w:val="00BB5DAD"/>
    <w:rsid w:val="00BB7541"/>
    <w:rsid w:val="00BC198C"/>
    <w:rsid w:val="00BC31BA"/>
    <w:rsid w:val="00BC6072"/>
    <w:rsid w:val="00BC645C"/>
    <w:rsid w:val="00BC6D8C"/>
    <w:rsid w:val="00BD1914"/>
    <w:rsid w:val="00BD2E13"/>
    <w:rsid w:val="00BD3242"/>
    <w:rsid w:val="00BD425A"/>
    <w:rsid w:val="00BD68FD"/>
    <w:rsid w:val="00BE2BF1"/>
    <w:rsid w:val="00BE2D7E"/>
    <w:rsid w:val="00BE3330"/>
    <w:rsid w:val="00BE747C"/>
    <w:rsid w:val="00BF0D33"/>
    <w:rsid w:val="00BF27C9"/>
    <w:rsid w:val="00BF2842"/>
    <w:rsid w:val="00BF3A30"/>
    <w:rsid w:val="00BF482F"/>
    <w:rsid w:val="00BF6E00"/>
    <w:rsid w:val="00C01B0B"/>
    <w:rsid w:val="00C02DDB"/>
    <w:rsid w:val="00C0524F"/>
    <w:rsid w:val="00C14944"/>
    <w:rsid w:val="00C1749C"/>
    <w:rsid w:val="00C17A4D"/>
    <w:rsid w:val="00C21E29"/>
    <w:rsid w:val="00C2257C"/>
    <w:rsid w:val="00C24F8B"/>
    <w:rsid w:val="00C2553B"/>
    <w:rsid w:val="00C25D55"/>
    <w:rsid w:val="00C2620A"/>
    <w:rsid w:val="00C32B9D"/>
    <w:rsid w:val="00C334F2"/>
    <w:rsid w:val="00C34006"/>
    <w:rsid w:val="00C356B6"/>
    <w:rsid w:val="00C36B4C"/>
    <w:rsid w:val="00C37516"/>
    <w:rsid w:val="00C426B1"/>
    <w:rsid w:val="00C43C45"/>
    <w:rsid w:val="00C5677C"/>
    <w:rsid w:val="00C57982"/>
    <w:rsid w:val="00C61AC5"/>
    <w:rsid w:val="00C61CB9"/>
    <w:rsid w:val="00C61F79"/>
    <w:rsid w:val="00C628BD"/>
    <w:rsid w:val="00C632B6"/>
    <w:rsid w:val="00C63CAC"/>
    <w:rsid w:val="00C644C4"/>
    <w:rsid w:val="00C66160"/>
    <w:rsid w:val="00C714AD"/>
    <w:rsid w:val="00C721AC"/>
    <w:rsid w:val="00C72C40"/>
    <w:rsid w:val="00C72F01"/>
    <w:rsid w:val="00C7372D"/>
    <w:rsid w:val="00C7377F"/>
    <w:rsid w:val="00C737A3"/>
    <w:rsid w:val="00C76715"/>
    <w:rsid w:val="00C767AE"/>
    <w:rsid w:val="00C77C8F"/>
    <w:rsid w:val="00C816F7"/>
    <w:rsid w:val="00C87BA3"/>
    <w:rsid w:val="00C90D6A"/>
    <w:rsid w:val="00C91B27"/>
    <w:rsid w:val="00C935A7"/>
    <w:rsid w:val="00CA0FC5"/>
    <w:rsid w:val="00CA2354"/>
    <w:rsid w:val="00CA247E"/>
    <w:rsid w:val="00CA2EF7"/>
    <w:rsid w:val="00CA4976"/>
    <w:rsid w:val="00CA49E6"/>
    <w:rsid w:val="00CA55E7"/>
    <w:rsid w:val="00CA5F24"/>
    <w:rsid w:val="00CA6D21"/>
    <w:rsid w:val="00CB475F"/>
    <w:rsid w:val="00CC01F9"/>
    <w:rsid w:val="00CC136E"/>
    <w:rsid w:val="00CC45C9"/>
    <w:rsid w:val="00CC72B6"/>
    <w:rsid w:val="00CD2A27"/>
    <w:rsid w:val="00CD2FA8"/>
    <w:rsid w:val="00CD30C3"/>
    <w:rsid w:val="00CD358A"/>
    <w:rsid w:val="00CD41F5"/>
    <w:rsid w:val="00CD42B0"/>
    <w:rsid w:val="00CD4F9A"/>
    <w:rsid w:val="00CE1F7C"/>
    <w:rsid w:val="00CE360E"/>
    <w:rsid w:val="00CE3D90"/>
    <w:rsid w:val="00CE4440"/>
    <w:rsid w:val="00CE5579"/>
    <w:rsid w:val="00CE55D1"/>
    <w:rsid w:val="00CF09ED"/>
    <w:rsid w:val="00CF0B5C"/>
    <w:rsid w:val="00CF19AB"/>
    <w:rsid w:val="00CF1CDF"/>
    <w:rsid w:val="00CF64A1"/>
    <w:rsid w:val="00CF7116"/>
    <w:rsid w:val="00CF74AE"/>
    <w:rsid w:val="00CF76A1"/>
    <w:rsid w:val="00CF7ADD"/>
    <w:rsid w:val="00D0043B"/>
    <w:rsid w:val="00D00D83"/>
    <w:rsid w:val="00D01849"/>
    <w:rsid w:val="00D0218D"/>
    <w:rsid w:val="00D16EDD"/>
    <w:rsid w:val="00D1775D"/>
    <w:rsid w:val="00D20D1C"/>
    <w:rsid w:val="00D20F48"/>
    <w:rsid w:val="00D23350"/>
    <w:rsid w:val="00D23CFB"/>
    <w:rsid w:val="00D25FB5"/>
    <w:rsid w:val="00D26956"/>
    <w:rsid w:val="00D27033"/>
    <w:rsid w:val="00D32085"/>
    <w:rsid w:val="00D35647"/>
    <w:rsid w:val="00D40C1D"/>
    <w:rsid w:val="00D44223"/>
    <w:rsid w:val="00D461ED"/>
    <w:rsid w:val="00D50EFA"/>
    <w:rsid w:val="00D52899"/>
    <w:rsid w:val="00D52EF5"/>
    <w:rsid w:val="00D55756"/>
    <w:rsid w:val="00D62B11"/>
    <w:rsid w:val="00D62C5A"/>
    <w:rsid w:val="00D65BFD"/>
    <w:rsid w:val="00D6774C"/>
    <w:rsid w:val="00D702F7"/>
    <w:rsid w:val="00D72361"/>
    <w:rsid w:val="00D76DCE"/>
    <w:rsid w:val="00D81627"/>
    <w:rsid w:val="00D818DE"/>
    <w:rsid w:val="00D85756"/>
    <w:rsid w:val="00D91383"/>
    <w:rsid w:val="00D9267F"/>
    <w:rsid w:val="00D93A01"/>
    <w:rsid w:val="00D9413C"/>
    <w:rsid w:val="00D95EC9"/>
    <w:rsid w:val="00DA219E"/>
    <w:rsid w:val="00DA2529"/>
    <w:rsid w:val="00DA4B93"/>
    <w:rsid w:val="00DA7F8C"/>
    <w:rsid w:val="00DB11AA"/>
    <w:rsid w:val="00DB130A"/>
    <w:rsid w:val="00DB2D18"/>
    <w:rsid w:val="00DB2EBB"/>
    <w:rsid w:val="00DB3047"/>
    <w:rsid w:val="00DB3345"/>
    <w:rsid w:val="00DB3EF7"/>
    <w:rsid w:val="00DB64ED"/>
    <w:rsid w:val="00DC0B8A"/>
    <w:rsid w:val="00DC0BE7"/>
    <w:rsid w:val="00DC10A1"/>
    <w:rsid w:val="00DC17C6"/>
    <w:rsid w:val="00DC2C3A"/>
    <w:rsid w:val="00DC2F3A"/>
    <w:rsid w:val="00DC3D05"/>
    <w:rsid w:val="00DC655F"/>
    <w:rsid w:val="00DC76CF"/>
    <w:rsid w:val="00DD0836"/>
    <w:rsid w:val="00DD0B59"/>
    <w:rsid w:val="00DD1759"/>
    <w:rsid w:val="00DD3249"/>
    <w:rsid w:val="00DD41C0"/>
    <w:rsid w:val="00DD5496"/>
    <w:rsid w:val="00DD7B81"/>
    <w:rsid w:val="00DD7EBD"/>
    <w:rsid w:val="00DE119E"/>
    <w:rsid w:val="00DE3592"/>
    <w:rsid w:val="00DE62DA"/>
    <w:rsid w:val="00DE72A7"/>
    <w:rsid w:val="00DF0996"/>
    <w:rsid w:val="00DF3050"/>
    <w:rsid w:val="00DF4A24"/>
    <w:rsid w:val="00DF554C"/>
    <w:rsid w:val="00DF62B6"/>
    <w:rsid w:val="00DF7305"/>
    <w:rsid w:val="00E00392"/>
    <w:rsid w:val="00E011BB"/>
    <w:rsid w:val="00E015CB"/>
    <w:rsid w:val="00E02AAF"/>
    <w:rsid w:val="00E07225"/>
    <w:rsid w:val="00E07C55"/>
    <w:rsid w:val="00E13606"/>
    <w:rsid w:val="00E13B5A"/>
    <w:rsid w:val="00E15D2D"/>
    <w:rsid w:val="00E208EC"/>
    <w:rsid w:val="00E23F45"/>
    <w:rsid w:val="00E244B6"/>
    <w:rsid w:val="00E24DD4"/>
    <w:rsid w:val="00E27087"/>
    <w:rsid w:val="00E348E1"/>
    <w:rsid w:val="00E42B8C"/>
    <w:rsid w:val="00E43B88"/>
    <w:rsid w:val="00E43F10"/>
    <w:rsid w:val="00E4684A"/>
    <w:rsid w:val="00E474DB"/>
    <w:rsid w:val="00E5079D"/>
    <w:rsid w:val="00E5314F"/>
    <w:rsid w:val="00E5409F"/>
    <w:rsid w:val="00E57745"/>
    <w:rsid w:val="00E60EAA"/>
    <w:rsid w:val="00E62494"/>
    <w:rsid w:val="00E62747"/>
    <w:rsid w:val="00E63119"/>
    <w:rsid w:val="00E6330D"/>
    <w:rsid w:val="00E6387F"/>
    <w:rsid w:val="00E646BC"/>
    <w:rsid w:val="00E64EED"/>
    <w:rsid w:val="00E65D0E"/>
    <w:rsid w:val="00E664A3"/>
    <w:rsid w:val="00E66905"/>
    <w:rsid w:val="00E676A2"/>
    <w:rsid w:val="00E71E3B"/>
    <w:rsid w:val="00E73565"/>
    <w:rsid w:val="00E75AD1"/>
    <w:rsid w:val="00E767CB"/>
    <w:rsid w:val="00E81544"/>
    <w:rsid w:val="00E84E40"/>
    <w:rsid w:val="00E875A1"/>
    <w:rsid w:val="00E879A1"/>
    <w:rsid w:val="00E87A36"/>
    <w:rsid w:val="00E90343"/>
    <w:rsid w:val="00E90ACE"/>
    <w:rsid w:val="00E945F7"/>
    <w:rsid w:val="00E9483E"/>
    <w:rsid w:val="00E94A7E"/>
    <w:rsid w:val="00E95192"/>
    <w:rsid w:val="00E95DCA"/>
    <w:rsid w:val="00E9647C"/>
    <w:rsid w:val="00EA1377"/>
    <w:rsid w:val="00EA2744"/>
    <w:rsid w:val="00EA2A05"/>
    <w:rsid w:val="00EA7DF2"/>
    <w:rsid w:val="00EB061E"/>
    <w:rsid w:val="00EB0D75"/>
    <w:rsid w:val="00EB1227"/>
    <w:rsid w:val="00EB275F"/>
    <w:rsid w:val="00EC383A"/>
    <w:rsid w:val="00EC3F75"/>
    <w:rsid w:val="00EC5169"/>
    <w:rsid w:val="00EC6CDF"/>
    <w:rsid w:val="00ED02E5"/>
    <w:rsid w:val="00ED1283"/>
    <w:rsid w:val="00ED15B4"/>
    <w:rsid w:val="00ED63CE"/>
    <w:rsid w:val="00ED7C28"/>
    <w:rsid w:val="00EE1C0D"/>
    <w:rsid w:val="00EE20D4"/>
    <w:rsid w:val="00EE5939"/>
    <w:rsid w:val="00EE63C7"/>
    <w:rsid w:val="00EE6488"/>
    <w:rsid w:val="00EF1CD7"/>
    <w:rsid w:val="00EF6EDD"/>
    <w:rsid w:val="00EF7AC0"/>
    <w:rsid w:val="00F00606"/>
    <w:rsid w:val="00F00995"/>
    <w:rsid w:val="00F021FA"/>
    <w:rsid w:val="00F04E7C"/>
    <w:rsid w:val="00F0612D"/>
    <w:rsid w:val="00F10363"/>
    <w:rsid w:val="00F103EF"/>
    <w:rsid w:val="00F14545"/>
    <w:rsid w:val="00F14F00"/>
    <w:rsid w:val="00F222B8"/>
    <w:rsid w:val="00F25AFC"/>
    <w:rsid w:val="00F265BC"/>
    <w:rsid w:val="00F30797"/>
    <w:rsid w:val="00F314DE"/>
    <w:rsid w:val="00F3284D"/>
    <w:rsid w:val="00F369B9"/>
    <w:rsid w:val="00F36CBE"/>
    <w:rsid w:val="00F4125A"/>
    <w:rsid w:val="00F4277B"/>
    <w:rsid w:val="00F429DA"/>
    <w:rsid w:val="00F43AB4"/>
    <w:rsid w:val="00F44087"/>
    <w:rsid w:val="00F4456E"/>
    <w:rsid w:val="00F4465A"/>
    <w:rsid w:val="00F44755"/>
    <w:rsid w:val="00F45A0C"/>
    <w:rsid w:val="00F46F56"/>
    <w:rsid w:val="00F541C1"/>
    <w:rsid w:val="00F54258"/>
    <w:rsid w:val="00F555E0"/>
    <w:rsid w:val="00F55CEC"/>
    <w:rsid w:val="00F560D9"/>
    <w:rsid w:val="00F61A6A"/>
    <w:rsid w:val="00F629D0"/>
    <w:rsid w:val="00F62E97"/>
    <w:rsid w:val="00F64209"/>
    <w:rsid w:val="00F64762"/>
    <w:rsid w:val="00F65A3D"/>
    <w:rsid w:val="00F66972"/>
    <w:rsid w:val="00F67629"/>
    <w:rsid w:val="00F67F84"/>
    <w:rsid w:val="00F706E9"/>
    <w:rsid w:val="00F70B78"/>
    <w:rsid w:val="00F757B9"/>
    <w:rsid w:val="00F900AA"/>
    <w:rsid w:val="00F91625"/>
    <w:rsid w:val="00F93BF5"/>
    <w:rsid w:val="00F9412C"/>
    <w:rsid w:val="00FA419F"/>
    <w:rsid w:val="00FA65E9"/>
    <w:rsid w:val="00FA68CE"/>
    <w:rsid w:val="00FA6F20"/>
    <w:rsid w:val="00FB276E"/>
    <w:rsid w:val="00FB3C67"/>
    <w:rsid w:val="00FB75D8"/>
    <w:rsid w:val="00FC3DC2"/>
    <w:rsid w:val="00FC522F"/>
    <w:rsid w:val="00FC5671"/>
    <w:rsid w:val="00FC781B"/>
    <w:rsid w:val="00FD235C"/>
    <w:rsid w:val="00FD3946"/>
    <w:rsid w:val="00FD43A2"/>
    <w:rsid w:val="00FD4BA6"/>
    <w:rsid w:val="00FD6C72"/>
    <w:rsid w:val="00FD6DFA"/>
    <w:rsid w:val="00FD7CCB"/>
    <w:rsid w:val="00FE0F59"/>
    <w:rsid w:val="00FE499B"/>
    <w:rsid w:val="00FE5965"/>
    <w:rsid w:val="00FF6F15"/>
    <w:rsid w:val="00FF7D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01B03D"/>
  <w15:chartTrackingRefBased/>
  <w15:docId w15:val="{A7E0789D-6B4F-4DF9-B473-5AAED927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 w:val="clear" w:pos="810"/>
      </w:tabs>
      <w:suppressAutoHyphens/>
      <w:spacing w:after="120"/>
      <w:ind w:left="7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62747"/>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4 Char,Footnote Text Char1,Footnote Text Char2,Footnote Text Char4 Char1 Char,Footnote Text Char4 Char1 Char Char Char Char,Footnote Text Char7 Char,Footnote Text Char7 Char Char Char Char,f,fn,fn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4 Char Char,Footnote Text Char1 Char,Footnote Text Char2 Char,Footnote Text Char4 Char1 Char Char,Footnote Text Char4 Char1 Char Char Char Char Char,Footnote Text Char7 Char Char,f Char,fn Char"/>
    <w:link w:val="FootnoteText"/>
    <w:rsid w:val="000F1FEC"/>
  </w:style>
  <w:style w:type="character" w:customStyle="1" w:styleId="ParaNumChar">
    <w:name w:val="ParaNum Char"/>
    <w:link w:val="ParaNum"/>
    <w:rsid w:val="000F1FEC"/>
    <w:rPr>
      <w:snapToGrid w:val="0"/>
      <w:kern w:val="28"/>
      <w:sz w:val="22"/>
    </w:rPr>
  </w:style>
  <w:style w:type="paragraph" w:customStyle="1" w:styleId="AppNum">
    <w:name w:val="App Num"/>
    <w:basedOn w:val="Normal"/>
    <w:rsid w:val="000F1FEC"/>
    <w:pPr>
      <w:numPr>
        <w:numId w:val="7"/>
      </w:numPr>
    </w:pPr>
    <w:rPr>
      <w:rFonts w:ascii="Courier New" w:hAnsi="Courier New"/>
      <w:kern w:val="0"/>
      <w:sz w:val="24"/>
    </w:rPr>
  </w:style>
  <w:style w:type="character" w:styleId="Emphasis">
    <w:name w:val="Emphasis"/>
    <w:uiPriority w:val="20"/>
    <w:qFormat/>
    <w:rsid w:val="000F1FEC"/>
    <w:rPr>
      <w:i/>
      <w:iCs/>
    </w:rPr>
  </w:style>
  <w:style w:type="paragraph" w:styleId="ListParagraph">
    <w:name w:val="List Paragraph"/>
    <w:basedOn w:val="Normal"/>
    <w:uiPriority w:val="34"/>
    <w:qFormat/>
    <w:rsid w:val="000F1FEC"/>
    <w:pPr>
      <w:ind w:left="720"/>
      <w:contextualSpacing/>
    </w:pPr>
  </w:style>
  <w:style w:type="character" w:styleId="CommentReference">
    <w:name w:val="annotation reference"/>
    <w:basedOn w:val="DefaultParagraphFont"/>
    <w:rsid w:val="00E62747"/>
    <w:rPr>
      <w:sz w:val="16"/>
      <w:szCs w:val="16"/>
    </w:rPr>
  </w:style>
  <w:style w:type="paragraph" w:styleId="CommentText">
    <w:name w:val="annotation text"/>
    <w:basedOn w:val="Normal"/>
    <w:link w:val="CommentTextChar"/>
    <w:rsid w:val="00E62747"/>
    <w:rPr>
      <w:sz w:val="20"/>
    </w:rPr>
  </w:style>
  <w:style w:type="character" w:customStyle="1" w:styleId="CommentTextChar">
    <w:name w:val="Comment Text Char"/>
    <w:basedOn w:val="DefaultParagraphFont"/>
    <w:link w:val="CommentText"/>
    <w:rsid w:val="000F1FEC"/>
    <w:rPr>
      <w:snapToGrid w:val="0"/>
      <w:kern w:val="28"/>
    </w:rPr>
  </w:style>
  <w:style w:type="paragraph" w:styleId="CommentSubject">
    <w:name w:val="annotation subject"/>
    <w:basedOn w:val="CommentText"/>
    <w:next w:val="CommentText"/>
    <w:link w:val="CommentSubjectChar"/>
    <w:rsid w:val="00E62747"/>
    <w:rPr>
      <w:b/>
      <w:bCs/>
    </w:rPr>
  </w:style>
  <w:style w:type="character" w:customStyle="1" w:styleId="CommentSubjectChar">
    <w:name w:val="Comment Subject Char"/>
    <w:basedOn w:val="CommentTextChar"/>
    <w:link w:val="CommentSubject"/>
    <w:rsid w:val="000F1FEC"/>
    <w:rPr>
      <w:b/>
      <w:bCs/>
      <w:snapToGrid w:val="0"/>
      <w:kern w:val="28"/>
    </w:rPr>
  </w:style>
  <w:style w:type="paragraph" w:styleId="BalloonText">
    <w:name w:val="Balloon Text"/>
    <w:basedOn w:val="Normal"/>
    <w:link w:val="BalloonTextChar"/>
    <w:rsid w:val="000F1FEC"/>
    <w:rPr>
      <w:rFonts w:ascii="Segoe UI" w:hAnsi="Segoe UI" w:cs="Segoe UI"/>
      <w:sz w:val="18"/>
      <w:szCs w:val="18"/>
    </w:rPr>
  </w:style>
  <w:style w:type="character" w:customStyle="1" w:styleId="BalloonTextChar">
    <w:name w:val="Balloon Text Char"/>
    <w:basedOn w:val="DefaultParagraphFont"/>
    <w:link w:val="BalloonText"/>
    <w:rsid w:val="000F1FEC"/>
    <w:rPr>
      <w:rFonts w:ascii="Segoe UI" w:hAnsi="Segoe UI" w:cs="Segoe UI"/>
      <w:snapToGrid w:val="0"/>
      <w:kern w:val="28"/>
      <w:sz w:val="18"/>
      <w:szCs w:val="18"/>
    </w:rPr>
  </w:style>
  <w:style w:type="paragraph" w:customStyle="1" w:styleId="Paranum0">
    <w:name w:val="Paranum"/>
    <w:rsid w:val="00E62747"/>
    <w:pPr>
      <w:numPr>
        <w:numId w:val="15"/>
      </w:numPr>
      <w:tabs>
        <w:tab w:val="left" w:pos="1440"/>
      </w:tabs>
      <w:spacing w:after="240"/>
      <w:jc w:val="both"/>
    </w:pPr>
    <w:rPr>
      <w:sz w:val="22"/>
    </w:rPr>
  </w:style>
  <w:style w:type="paragraph" w:styleId="Revision">
    <w:name w:val="Revision"/>
    <w:hidden/>
    <w:uiPriority w:val="99"/>
    <w:semiHidden/>
    <w:rsid w:val="00E62747"/>
    <w:rPr>
      <w:snapToGrid w:val="0"/>
      <w:kern w:val="28"/>
      <w:sz w:val="22"/>
    </w:rPr>
  </w:style>
  <w:style w:type="character" w:customStyle="1" w:styleId="UnresolvedMention1">
    <w:name w:val="Unresolved Mention1"/>
    <w:basedOn w:val="DefaultParagraphFont"/>
    <w:uiPriority w:val="99"/>
    <w:semiHidden/>
    <w:unhideWhenUsed/>
    <w:rsid w:val="00E62747"/>
    <w:rPr>
      <w:color w:val="808080"/>
      <w:shd w:val="clear" w:color="auto" w:fill="E6E6E6"/>
    </w:rPr>
  </w:style>
  <w:style w:type="paragraph" w:styleId="BodyText">
    <w:name w:val="Body Text"/>
    <w:basedOn w:val="Normal"/>
    <w:link w:val="BodyTextChar"/>
    <w:rsid w:val="00E62747"/>
    <w:pPr>
      <w:widowControl/>
      <w:spacing w:after="240"/>
      <w:jc w:val="both"/>
    </w:pPr>
    <w:rPr>
      <w:snapToGrid/>
      <w:kern w:val="0"/>
    </w:rPr>
  </w:style>
  <w:style w:type="character" w:customStyle="1" w:styleId="BodyTextChar">
    <w:name w:val="Body Text Char"/>
    <w:basedOn w:val="DefaultParagraphFont"/>
    <w:link w:val="BodyText"/>
    <w:rsid w:val="00E62747"/>
    <w:rPr>
      <w:sz w:val="22"/>
    </w:rPr>
  </w:style>
  <w:style w:type="character" w:styleId="FollowedHyperlink">
    <w:name w:val="FollowedHyperlink"/>
    <w:basedOn w:val="DefaultParagraphFont"/>
    <w:unhideWhenUsed/>
    <w:rsid w:val="00E62747"/>
    <w:rPr>
      <w:color w:val="954F72" w:themeColor="followedHyperlink"/>
      <w:u w:val="single"/>
    </w:rPr>
  </w:style>
  <w:style w:type="character" w:customStyle="1" w:styleId="UnresolvedMention2">
    <w:name w:val="Unresolved Mention2"/>
    <w:basedOn w:val="DefaultParagraphFont"/>
    <w:uiPriority w:val="99"/>
    <w:semiHidden/>
    <w:unhideWhenUsed/>
    <w:rsid w:val="00E62747"/>
    <w:rPr>
      <w:color w:val="808080"/>
      <w:shd w:val="clear" w:color="auto" w:fill="E6E6E6"/>
    </w:rPr>
  </w:style>
  <w:style w:type="character" w:customStyle="1" w:styleId="UnresolvedMention3">
    <w:name w:val="Unresolved Mention3"/>
    <w:basedOn w:val="DefaultParagraphFont"/>
    <w:uiPriority w:val="99"/>
    <w:semiHidden/>
    <w:unhideWhenUsed/>
    <w:rsid w:val="00E62747"/>
    <w:rPr>
      <w:color w:val="605E5C"/>
      <w:shd w:val="clear" w:color="auto" w:fill="E1DFDD"/>
    </w:rPr>
  </w:style>
  <w:style w:type="character" w:customStyle="1" w:styleId="ParaNumChar1">
    <w:name w:val="ParaNum Char1"/>
    <w:locked/>
    <w:rsid w:val="00E62747"/>
    <w:rPr>
      <w:snapToGrid w:val="0"/>
      <w:kern w:val="28"/>
      <w:sz w:val="22"/>
    </w:rPr>
  </w:style>
  <w:style w:type="character" w:customStyle="1" w:styleId="FootnoteTextCharChar1CharChar1">
    <w:name w:val="Footnote Text Char Char1 Char Char1"/>
    <w:aliases w:val="Footnote Text Char Char1 Char Char Char1 Char1,Footnote Text Char1 Char Char Char1 Char Char Char1,Footnote Text Char1 Char Char1,Footnote Text Char1 Char2,Footnote Text Char2 Char1 Char Char Char"/>
    <w:rsid w:val="00E62747"/>
    <w:rPr>
      <w:rFonts w:ascii="Courier New" w:hAnsi="Courier New"/>
      <w:snapToGrid w:val="0"/>
      <w:sz w:val="24"/>
    </w:rPr>
  </w:style>
  <w:style w:type="table" w:styleId="TableGrid">
    <w:name w:val="Table Grid"/>
    <w:basedOn w:val="TableNormal"/>
    <w:uiPriority w:val="39"/>
    <w:rsid w:val="001778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1989192501&amp;pubNum=0004493&amp;originatingDoc=I9233453c1c0b11e6b86bd602cb8781fa&amp;refType=CA&amp;originationContext=document&amp;transitionType=DocumentItem&amp;contextData=(sc.DocLink)" TargetMode="External" /><Relationship Id="rId2" Type="http://schemas.openxmlformats.org/officeDocument/2006/relationships/hyperlink" Target="https://1.next.westlaw.com/Link/Document/FullText?findType=Y&amp;serNum=1990195134&amp;pubNum=0004493&amp;originatingDoc=I9233453c1c0b11e6b86bd602cb8781fa&amp;refType=CA&amp;originationContext=document&amp;transitionType=DocumentItem&amp;contextData=(sc.DocLink)"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