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4C2EE3" w14:paraId="5AD9A18B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6A172EA1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1664CE3A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34484496" w14:textId="77777777"/>
    <w:p w:rsidR="004C2EE3" w:rsidP="0070224F" w14:paraId="537C0D33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5A6499BA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59134E2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54A9BB8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P="007115F7" w14:paraId="6C86104A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24695A">
              <w:rPr>
                <w:spacing w:val="-2"/>
              </w:rPr>
              <w:t>Establishing the Digital Opportunity Data</w:t>
            </w:r>
            <w:r>
              <w:rPr>
                <w:spacing w:val="-2"/>
              </w:rPr>
              <w:t xml:space="preserve"> </w:t>
            </w:r>
            <w:r w:rsidRPr="0024695A">
              <w:rPr>
                <w:spacing w:val="-2"/>
              </w:rPr>
              <w:t>Collection</w:t>
            </w:r>
          </w:p>
          <w:p w:rsidR="0024695A" w:rsidP="007115F7" w14:paraId="5CCBC033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DB4BCD" w:rsidRPr="007115F7" w:rsidP="007115F7" w14:paraId="0E8B2A72" w14:textId="03A70B46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B4BCD">
              <w:rPr>
                <w:spacing w:val="-2"/>
              </w:rPr>
              <w:t>Modernizing the FCC Form 477 Data Program</w:t>
            </w:r>
          </w:p>
        </w:tc>
        <w:tc>
          <w:tcPr>
            <w:tcW w:w="630" w:type="dxa"/>
          </w:tcPr>
          <w:p w:rsidR="004C2EE3" w14:paraId="0BE7FE15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5E0B149D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A22B295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5029FF61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63712BD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9D6C915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P="00DB4BCD" w14:paraId="41A6E86D" w14:textId="3367BC8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 w14:paraId="3B2F80A7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28676574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48FD14B9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24695A">
              <w:rPr>
                <w:spacing w:val="-2"/>
              </w:rPr>
              <w:t>WC Docket No. 19-195</w:t>
            </w:r>
          </w:p>
          <w:p w:rsidR="00DB4BCD" w14:paraId="0FBAE8A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DB4BCD" w14:paraId="2E54E64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DB4BCD" w14:paraId="21ABE45D" w14:textId="6A9A307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B4BCD">
              <w:rPr>
                <w:spacing w:val="-2"/>
              </w:rPr>
              <w:t>WC Docket No. 11-10</w:t>
            </w:r>
          </w:p>
        </w:tc>
      </w:tr>
    </w:tbl>
    <w:p w:rsidR="004C2EE3" w:rsidP="0070224F" w14:paraId="606A5B85" w14:textId="77777777"/>
    <w:p w:rsidR="00841AB1" w:rsidP="00F021FA" w14:paraId="6B45ED2F" w14:textId="5E0C1C90">
      <w:pPr>
        <w:pStyle w:val="StyleBoldCentered"/>
      </w:pPr>
      <w:r>
        <w:t>ORDER</w:t>
      </w:r>
      <w:r w:rsidR="005D2D4A">
        <w:t xml:space="preserve"> </w:t>
      </w:r>
      <w:r w:rsidR="005D2D4A">
        <w:t xml:space="preserve">Granting </w:t>
      </w:r>
      <w:r w:rsidR="0088221B">
        <w:t>extension of time</w:t>
      </w:r>
    </w:p>
    <w:p w:rsidR="004C2EE3" w14:paraId="74A9052E" w14:textId="505BDF04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8F39AD" w14:paraId="6F876D39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5"/>
        <w:gridCol w:w="5845"/>
      </w:tblGrid>
      <w:tr w14:paraId="24DBDE5F" w14:textId="77777777" w:rsidTr="1D4652CE">
        <w:tblPrEx>
          <w:tblW w:w="0" w:type="auto"/>
          <w:tblInd w:w="-9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505" w:type="dxa"/>
          </w:tcPr>
          <w:p w:rsidR="00D748E0" w:rsidP="00133F79" w14:paraId="208A75EA" w14:textId="4D414155">
            <w:pPr>
              <w:tabs>
                <w:tab w:val="left" w:pos="720"/>
                <w:tab w:val="right" w:pos="9360"/>
              </w:tabs>
              <w:suppressAutoHyphens/>
              <w:spacing w:line="227" w:lineRule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Comment Date:</w:t>
            </w:r>
          </w:p>
        </w:tc>
        <w:tc>
          <w:tcPr>
            <w:tcW w:w="5845" w:type="dxa"/>
          </w:tcPr>
          <w:p w:rsidR="00D748E0" w:rsidP="00133F79" w14:paraId="7ADA542B" w14:textId="79DAD5AD">
            <w:pPr>
              <w:tabs>
                <w:tab w:val="left" w:pos="720"/>
                <w:tab w:val="right" w:pos="9360"/>
              </w:tabs>
              <w:suppressAutoHyphens/>
              <w:spacing w:line="227" w:lineRule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>September 10, 2021</w:t>
            </w:r>
          </w:p>
        </w:tc>
      </w:tr>
      <w:tr w14:paraId="36295E5E" w14:textId="77777777" w:rsidTr="1D4652CE">
        <w:tblPrEx>
          <w:tblW w:w="0" w:type="auto"/>
          <w:tblInd w:w="-95" w:type="dxa"/>
          <w:tblLook w:val="04A0"/>
        </w:tblPrEx>
        <w:tc>
          <w:tcPr>
            <w:tcW w:w="3505" w:type="dxa"/>
          </w:tcPr>
          <w:p w:rsidR="00D748E0" w:rsidP="00133F79" w14:paraId="3BADA50A" w14:textId="123BFF2D">
            <w:pPr>
              <w:tabs>
                <w:tab w:val="left" w:pos="720"/>
                <w:tab w:val="right" w:pos="9360"/>
              </w:tabs>
              <w:suppressAutoHyphens/>
              <w:spacing w:line="227" w:lineRule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>Reply Comment Date:</w:t>
            </w:r>
          </w:p>
        </w:tc>
        <w:tc>
          <w:tcPr>
            <w:tcW w:w="5845" w:type="dxa"/>
          </w:tcPr>
          <w:p w:rsidR="00D748E0" w:rsidP="00133F79" w14:paraId="0FA132DF" w14:textId="0A7999FF">
            <w:pPr>
              <w:tabs>
                <w:tab w:val="left" w:pos="720"/>
                <w:tab w:val="right" w:pos="9360"/>
              </w:tabs>
              <w:suppressAutoHyphens/>
              <w:spacing w:line="227" w:lineRule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>September 27, 2021</w:t>
            </w:r>
          </w:p>
        </w:tc>
      </w:tr>
    </w:tbl>
    <w:p w:rsidR="00F42186" w:rsidP="00133F79" w14:paraId="48840C60" w14:textId="77777777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</w:p>
    <w:p w:rsidR="00F42186" w:rsidP="00133F79" w14:paraId="596EEB6F" w14:textId="77777777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</w:p>
    <w:p w:rsidR="004C2EE3" w:rsidP="00133F79" w14:paraId="13389F23" w14:textId="43490FB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7311D7">
        <w:rPr>
          <w:b/>
          <w:spacing w:val="-2"/>
        </w:rPr>
        <w:t>August 25, 2021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7311D7">
        <w:rPr>
          <w:b/>
          <w:spacing w:val="-2"/>
        </w:rPr>
        <w:t>August 25, 2021</w:t>
      </w:r>
    </w:p>
    <w:p w:rsidR="00822CE0" w14:paraId="7E3DCB11" w14:textId="77777777"/>
    <w:p w:rsidR="004C2EE3" w14:paraId="23A444B6" w14:textId="41EBC85C">
      <w:r>
        <w:t xml:space="preserve">By </w:t>
      </w:r>
      <w:r w:rsidR="6E14E265">
        <w:t>the</w:t>
      </w:r>
      <w:r w:rsidR="0676AFBE">
        <w:t xml:space="preserve"> </w:t>
      </w:r>
      <w:r w:rsidR="220A1219">
        <w:t>Chair</w:t>
      </w:r>
      <w:r w:rsidR="11A9686D">
        <w:t xml:space="preserve">, </w:t>
      </w:r>
      <w:r w:rsidR="0EAD6F9B">
        <w:t>Broadband Data Task Force</w:t>
      </w:r>
      <w:r w:rsidR="0431EDAB">
        <w:t>:</w:t>
      </w:r>
    </w:p>
    <w:p w:rsidR="00822CE0" w14:paraId="6FECC591" w14:textId="77777777">
      <w:pPr>
        <w:rPr>
          <w:spacing w:val="-2"/>
        </w:rPr>
      </w:pPr>
    </w:p>
    <w:p w:rsidR="792F4D9D" w:rsidRPr="00080627" w:rsidP="1D4652CE" w14:paraId="7B41283F" w14:textId="6AE07C8B">
      <w:pPr>
        <w:pStyle w:val="ListParagraph"/>
        <w:numPr>
          <w:ilvl w:val="0"/>
          <w:numId w:val="8"/>
        </w:numPr>
        <w:spacing w:after="240"/>
        <w:ind w:left="0" w:firstLine="720"/>
        <w:rPr>
          <w:szCs w:val="22"/>
        </w:rPr>
      </w:pPr>
      <w:r>
        <w:t xml:space="preserve">In this Order, the FCC’s Broadband Data Task Force and Wireless Telecommunications Bureau grant in part a motion filed by the California </w:t>
      </w:r>
      <w:r w:rsidR="4AFA50DD">
        <w:t>Public Utilities Commission (CPUC) seeking an extension of time to file comments and reply comments in the above-captioned proceedings.</w:t>
      </w:r>
      <w:r>
        <w:rPr>
          <w:rStyle w:val="FootnoteReference"/>
        </w:rPr>
        <w:footnoteReference w:id="3"/>
      </w:r>
      <w:r w:rsidR="6A301D5A">
        <w:t xml:space="preserve">  For the reasons stated below, we find that a 14</w:t>
      </w:r>
      <w:r w:rsidR="78F1BAF0">
        <w:t>-</w:t>
      </w:r>
      <w:r w:rsidR="6A301D5A">
        <w:t>day extension of time is war</w:t>
      </w:r>
      <w:r w:rsidR="7F18E23D">
        <w:t xml:space="preserve">ranted and extend the </w:t>
      </w:r>
      <w:r w:rsidR="00C3284C">
        <w:t xml:space="preserve">comment </w:t>
      </w:r>
      <w:r w:rsidR="00FE1969">
        <w:t xml:space="preserve">and reply comment </w:t>
      </w:r>
      <w:r w:rsidR="00C3284C">
        <w:t xml:space="preserve">dates </w:t>
      </w:r>
      <w:r w:rsidR="009F45E8">
        <w:t>accordingly</w:t>
      </w:r>
      <w:r w:rsidR="7F18E23D">
        <w:t>.</w:t>
      </w:r>
    </w:p>
    <w:p w:rsidR="00080627" w:rsidP="00080627" w14:paraId="7D6C993A" w14:textId="77777777">
      <w:pPr>
        <w:pStyle w:val="ListParagraph"/>
        <w:spacing w:after="240"/>
        <w:rPr>
          <w:szCs w:val="22"/>
        </w:rPr>
      </w:pPr>
    </w:p>
    <w:p w:rsidR="00967868" w:rsidP="00967868" w14:paraId="72F5049F" w14:textId="5DF89AA8">
      <w:pPr>
        <w:pStyle w:val="ListParagraph"/>
        <w:numPr>
          <w:ilvl w:val="0"/>
          <w:numId w:val="8"/>
        </w:numPr>
        <w:spacing w:after="240"/>
        <w:ind w:left="0" w:firstLine="720"/>
        <w:contextualSpacing w:val="0"/>
      </w:pPr>
      <w:r>
        <w:t>On July 16, 2021, the Commission released a</w:t>
      </w:r>
      <w:r w:rsidR="00F1154A">
        <w:t xml:space="preserve"> </w:t>
      </w:r>
      <w:r w:rsidRPr="00CF0C4F" w:rsidR="00F1154A">
        <w:rPr>
          <w:i/>
          <w:iCs/>
        </w:rPr>
        <w:t>Public Notice</w:t>
      </w:r>
      <w:r>
        <w:t xml:space="preserve"> </w:t>
      </w:r>
      <w:r w:rsidR="00B06277">
        <w:t xml:space="preserve">that sought </w:t>
      </w:r>
      <w:r>
        <w:t>comment on the technical requirements for the mobile challenge, verification, and crowdsourcing processes required under the Broadband DATA Act.</w:t>
      </w:r>
      <w:r>
        <w:rPr>
          <w:rStyle w:val="FootnoteReference"/>
        </w:rPr>
        <w:footnoteReference w:id="4"/>
      </w:r>
      <w:r w:rsidR="00CF1FE5">
        <w:t xml:space="preserve">  The </w:t>
      </w:r>
      <w:r w:rsidRPr="00967868" w:rsidR="00CF1FE5">
        <w:rPr>
          <w:i/>
          <w:iCs/>
        </w:rPr>
        <w:t>Public Notice</w:t>
      </w:r>
      <w:r w:rsidR="00CF1FE5">
        <w:t xml:space="preserve"> set</w:t>
      </w:r>
      <w:r w:rsidR="009A5B3E">
        <w:t xml:space="preserve"> deadlines for filing comments and reply comments</w:t>
      </w:r>
      <w:r w:rsidR="00CF1FE5">
        <w:t xml:space="preserve"> of August 27, 2021</w:t>
      </w:r>
      <w:r w:rsidR="008C0C31">
        <w:t>,</w:t>
      </w:r>
      <w:r w:rsidR="00CF1FE5">
        <w:t xml:space="preserve"> and September 13, 2021</w:t>
      </w:r>
      <w:r w:rsidR="009A5B3E">
        <w:t>, respectively</w:t>
      </w:r>
      <w:r w:rsidR="00CF1FE5">
        <w:t>.</w:t>
      </w:r>
      <w:r w:rsidR="00951114">
        <w:t xml:space="preserve"> </w:t>
      </w:r>
    </w:p>
    <w:p w:rsidR="00967868" w:rsidP="00417635" w14:paraId="316C920A" w14:textId="7CAB4AE3">
      <w:pPr>
        <w:pStyle w:val="ListParagraph"/>
        <w:numPr>
          <w:ilvl w:val="0"/>
          <w:numId w:val="8"/>
        </w:numPr>
        <w:spacing w:after="240"/>
        <w:ind w:left="0" w:firstLine="720"/>
        <w:contextualSpacing w:val="0"/>
      </w:pPr>
      <w:r>
        <w:t xml:space="preserve">On August 11, 2021, the </w:t>
      </w:r>
      <w:r w:rsidRPr="00AF3491">
        <w:t>CPUC</w:t>
      </w:r>
      <w:r>
        <w:t xml:space="preserve"> filed a </w:t>
      </w:r>
      <w:r w:rsidR="004F4DFA">
        <w:t>m</w:t>
      </w:r>
      <w:r>
        <w:t>otion for a 30</w:t>
      </w:r>
      <w:r w:rsidR="005654E2">
        <w:t>-day extension of the comment filing deadline</w:t>
      </w:r>
      <w:r w:rsidR="003A1FA0">
        <w:t xml:space="preserve"> and 29</w:t>
      </w:r>
      <w:r>
        <w:t>-day extension of the</w:t>
      </w:r>
      <w:r w:rsidR="005654E2">
        <w:t xml:space="preserve"> reply comment</w:t>
      </w:r>
      <w:r>
        <w:t xml:space="preserve"> filing deadline, such that comments would be due September 27, 2021</w:t>
      </w:r>
      <w:r w:rsidR="005955A9">
        <w:t>,</w:t>
      </w:r>
      <w:r>
        <w:t xml:space="preserve"> and reply comments would be due October 12, 2021.</w:t>
      </w:r>
      <w:r>
        <w:rPr>
          <w:rStyle w:val="FootnoteReference"/>
        </w:rPr>
        <w:footnoteReference w:id="5"/>
      </w:r>
      <w:r w:rsidR="00832AFA">
        <w:t xml:space="preserve">  </w:t>
      </w:r>
      <w:r w:rsidR="00417635">
        <w:t xml:space="preserve">The </w:t>
      </w:r>
      <w:r w:rsidR="00832AFA">
        <w:t xml:space="preserve">CPUC states </w:t>
      </w:r>
      <w:r w:rsidR="00C47E45">
        <w:t xml:space="preserve">that the </w:t>
      </w:r>
      <w:r w:rsidRPr="00967868" w:rsidR="00C47E45">
        <w:rPr>
          <w:i/>
          <w:iCs/>
        </w:rPr>
        <w:t>Public Notice</w:t>
      </w:r>
      <w:r w:rsidR="00C47E45">
        <w:t xml:space="preserve"> solicits comment on </w:t>
      </w:r>
      <w:r w:rsidR="000909FF">
        <w:t>highly</w:t>
      </w:r>
      <w:r w:rsidR="00C47E45">
        <w:t xml:space="preserve"> technical and </w:t>
      </w:r>
      <w:r w:rsidR="008C0250">
        <w:t>complicated</w:t>
      </w:r>
      <w:r w:rsidR="00C47E45">
        <w:t xml:space="preserve"> issues </w:t>
      </w:r>
      <w:r w:rsidR="008C0250">
        <w:t>that</w:t>
      </w:r>
      <w:r w:rsidR="00C47E45">
        <w:t xml:space="preserve"> require</w:t>
      </w:r>
      <w:r w:rsidR="008C0250">
        <w:t xml:space="preserve"> </w:t>
      </w:r>
      <w:r w:rsidR="00C47E45">
        <w:t>complex analyses</w:t>
      </w:r>
      <w:r w:rsidR="008C0250">
        <w:t>, a</w:t>
      </w:r>
      <w:r w:rsidR="00B30045">
        <w:t>n involved</w:t>
      </w:r>
      <w:r w:rsidR="008C0250">
        <w:t xml:space="preserve"> process which has been slowed by the COVID-19 pandemic</w:t>
      </w:r>
      <w:r w:rsidR="00C47E45">
        <w:t>.</w:t>
      </w:r>
      <w:r>
        <w:rPr>
          <w:rStyle w:val="FootnoteReference"/>
        </w:rPr>
        <w:footnoteReference w:id="6"/>
      </w:r>
      <w:r w:rsidR="008C0250">
        <w:t xml:space="preserve"> </w:t>
      </w:r>
      <w:r w:rsidR="000909FF">
        <w:t xml:space="preserve"> Additionally, </w:t>
      </w:r>
      <w:r w:rsidR="003A1A8C">
        <w:t xml:space="preserve">the </w:t>
      </w:r>
      <w:r w:rsidR="000909FF">
        <w:t xml:space="preserve">CPUC </w:t>
      </w:r>
      <w:r w:rsidR="006D6672">
        <w:t>says</w:t>
      </w:r>
      <w:r w:rsidR="000909FF">
        <w:t xml:space="preserve"> it </w:t>
      </w:r>
      <w:r w:rsidR="000909FF">
        <w:t>needs more time to</w:t>
      </w:r>
      <w:r w:rsidR="008C0250">
        <w:t xml:space="preserve"> </w:t>
      </w:r>
      <w:r w:rsidR="000909FF">
        <w:t>incorporate</w:t>
      </w:r>
      <w:r w:rsidR="008C0250">
        <w:t xml:space="preserve"> recently published data</w:t>
      </w:r>
      <w:r w:rsidR="000909FF">
        <w:t xml:space="preserve"> into their analyses.</w:t>
      </w:r>
      <w:r>
        <w:rPr>
          <w:rStyle w:val="FootnoteReference"/>
        </w:rPr>
        <w:footnoteReference w:id="7"/>
      </w:r>
      <w:r w:rsidR="006D6672">
        <w:t xml:space="preserve">  Finally, </w:t>
      </w:r>
      <w:r w:rsidR="003A1A8C">
        <w:t>the Motion</w:t>
      </w:r>
      <w:r w:rsidR="006D6672">
        <w:t xml:space="preserve"> notes </w:t>
      </w:r>
      <w:r w:rsidR="00A34694">
        <w:t xml:space="preserve">that </w:t>
      </w:r>
      <w:r w:rsidR="003A1A8C">
        <w:t>the CPUC</w:t>
      </w:r>
      <w:r w:rsidR="006D6672">
        <w:t xml:space="preserve"> is simultaneously working on other Commission filings in an attempt to meet multiple deadlines in near proximity.</w:t>
      </w:r>
      <w:r>
        <w:rPr>
          <w:rStyle w:val="FootnoteReference"/>
        </w:rPr>
        <w:footnoteReference w:id="8"/>
      </w:r>
      <w:r w:rsidR="006D6672">
        <w:t xml:space="preserve"> </w:t>
      </w:r>
      <w:r w:rsidR="004F4DFA">
        <w:t xml:space="preserve"> No opposition</w:t>
      </w:r>
      <w:r w:rsidR="00055FCA">
        <w:t xml:space="preserve"> to the Motion</w:t>
      </w:r>
      <w:r w:rsidR="004F4DFA">
        <w:t xml:space="preserve"> has been filed.</w:t>
      </w:r>
    </w:p>
    <w:p w:rsidR="00417635" w:rsidP="00252C97" w14:paraId="3856A3E6" w14:textId="0D7CDCBF">
      <w:pPr>
        <w:pStyle w:val="ListParagraph"/>
        <w:numPr>
          <w:ilvl w:val="0"/>
          <w:numId w:val="8"/>
        </w:numPr>
        <w:spacing w:after="240"/>
        <w:ind w:left="0" w:firstLine="720"/>
        <w:contextualSpacing w:val="0"/>
      </w:pPr>
      <w:r>
        <w:t xml:space="preserve">We grant a </w:t>
      </w:r>
      <w:r w:rsidR="00B84A4E">
        <w:t xml:space="preserve">limited </w:t>
      </w:r>
      <w:r w:rsidR="00114E0D">
        <w:t>14-day</w:t>
      </w:r>
      <w:r>
        <w:t xml:space="preserve"> extension of </w:t>
      </w:r>
      <w:r w:rsidR="003E2E2B">
        <w:t>time</w:t>
      </w:r>
      <w:r w:rsidR="00606919">
        <w:t xml:space="preserve"> to file comments and reply comments in these proceedings</w:t>
      </w:r>
      <w:r w:rsidR="00927CAB">
        <w:t>.</w:t>
      </w:r>
      <w:r>
        <w:t xml:space="preserve">  </w:t>
      </w:r>
      <w:r w:rsidRPr="00A03B4D" w:rsidR="00A03B4D">
        <w:t>As set forth in Section 1.46 of the</w:t>
      </w:r>
      <w:r w:rsidR="00A03B4D">
        <w:t xml:space="preserve"> </w:t>
      </w:r>
      <w:r w:rsidRPr="00A03B4D" w:rsidR="00A03B4D">
        <w:t>Commission’s rules</w:t>
      </w:r>
      <w:r w:rsidR="00A03B4D">
        <w:t>,</w:t>
      </w:r>
      <w:r>
        <w:rPr>
          <w:rStyle w:val="FootnoteReference"/>
        </w:rPr>
        <w:footnoteReference w:id="9"/>
      </w:r>
      <w:r w:rsidR="00A03B4D">
        <w:t xml:space="preserve"> </w:t>
      </w:r>
      <w:r w:rsidRPr="00A03B4D" w:rsidR="00A03B4D">
        <w:t>the Commission does not routinely grant extensions of time for filing comments</w:t>
      </w:r>
      <w:r w:rsidR="00A03B4D">
        <w:t>.</w:t>
      </w:r>
      <w:r w:rsidR="001973B7">
        <w:t xml:space="preserve">  </w:t>
      </w:r>
      <w:r w:rsidR="00777282">
        <w:t xml:space="preserve">In this case, however, </w:t>
      </w:r>
      <w:r w:rsidR="00B75E12">
        <w:t>COVID-19 has</w:t>
      </w:r>
      <w:r w:rsidR="00777282">
        <w:t xml:space="preserve"> </w:t>
      </w:r>
      <w:r w:rsidR="00347B31">
        <w:t xml:space="preserve">negatively affected </w:t>
      </w:r>
      <w:r w:rsidR="009E1C8A">
        <w:t xml:space="preserve">the </w:t>
      </w:r>
      <w:r w:rsidR="00B75CA2">
        <w:t>ability of the</w:t>
      </w:r>
      <w:r w:rsidR="009E1C8A">
        <w:t xml:space="preserve"> CPUC</w:t>
      </w:r>
      <w:r w:rsidR="00B75CA2">
        <w:t xml:space="preserve">’s consultant to </w:t>
      </w:r>
      <w:r w:rsidR="00911EF5">
        <w:t>provide statistical analysis critical to</w:t>
      </w:r>
      <w:r w:rsidR="00B75CA2">
        <w:t xml:space="preserve"> its </w:t>
      </w:r>
      <w:r w:rsidR="00911EF5">
        <w:t xml:space="preserve">evaluation of the proposals included in the </w:t>
      </w:r>
      <w:r w:rsidR="00911EF5">
        <w:rPr>
          <w:i/>
          <w:iCs/>
        </w:rPr>
        <w:t>Public Notice</w:t>
      </w:r>
      <w:r w:rsidR="00911EF5">
        <w:t xml:space="preserve">.  </w:t>
      </w:r>
      <w:r w:rsidR="0045578A">
        <w:t>Moreover,</w:t>
      </w:r>
      <w:r w:rsidR="000B71D3">
        <w:t xml:space="preserve"> as part of its review of the </w:t>
      </w:r>
      <w:r w:rsidR="000B71D3">
        <w:rPr>
          <w:i/>
          <w:iCs/>
        </w:rPr>
        <w:t>Public Notice</w:t>
      </w:r>
      <w:r w:rsidR="000B71D3">
        <w:t xml:space="preserve">, </w:t>
      </w:r>
      <w:r w:rsidR="00E76FA7">
        <w:t>the CPUC</w:t>
      </w:r>
      <w:r w:rsidR="003820AD">
        <w:t xml:space="preserve"> (and its consultant) intend to </w:t>
      </w:r>
      <w:r w:rsidR="008350D7">
        <w:t>evaluate</w:t>
      </w:r>
      <w:r w:rsidR="003820AD">
        <w:t xml:space="preserve"> </w:t>
      </w:r>
      <w:r w:rsidR="00373380">
        <w:t>additional mobile coverage data the Commission recently made available</w:t>
      </w:r>
      <w:r w:rsidR="000B71D3">
        <w:t xml:space="preserve"> to the public</w:t>
      </w:r>
      <w:r w:rsidR="00BF332C">
        <w:t>.</w:t>
      </w:r>
      <w:r w:rsidR="00462A4A">
        <w:t xml:space="preserve">  </w:t>
      </w:r>
      <w:r w:rsidR="00BF7FF4">
        <w:t xml:space="preserve">We expect that </w:t>
      </w:r>
      <w:r w:rsidR="00A82107">
        <w:t>the Commission’s record in this proceeding could benefit from the</w:t>
      </w:r>
      <w:r w:rsidR="00BF7FF4">
        <w:t xml:space="preserve"> information and input the CPUC intends to </w:t>
      </w:r>
      <w:r w:rsidR="00A9777E">
        <w:t>submit</w:t>
      </w:r>
      <w:r w:rsidR="00BF7FF4">
        <w:t xml:space="preserve"> through its comments</w:t>
      </w:r>
      <w:r w:rsidR="00D9796D">
        <w:t>.</w:t>
      </w:r>
      <w:r w:rsidR="001973B7">
        <w:t xml:space="preserve">  </w:t>
      </w:r>
      <w:r w:rsidR="00BF332C">
        <w:t>For these reasons</w:t>
      </w:r>
      <w:r w:rsidRPr="001973B7" w:rsidR="001973B7">
        <w:t xml:space="preserve">, we find </w:t>
      </w:r>
      <w:r w:rsidR="008350D7">
        <w:t xml:space="preserve">that </w:t>
      </w:r>
      <w:r w:rsidR="00E139BF">
        <w:t xml:space="preserve">there is </w:t>
      </w:r>
      <w:r w:rsidRPr="001973B7" w:rsidR="001973B7">
        <w:t>good cause for granting an extension of the comment and reply comment period</w:t>
      </w:r>
      <w:r w:rsidR="00F54881">
        <w:t xml:space="preserve">.  </w:t>
      </w:r>
      <w:r w:rsidR="00E47B08">
        <w:t>G</w:t>
      </w:r>
      <w:r w:rsidR="00627A1B">
        <w:t xml:space="preserve">iven the </w:t>
      </w:r>
      <w:r w:rsidR="002C7519">
        <w:t>importance of</w:t>
      </w:r>
      <w:r w:rsidR="002522DD">
        <w:t xml:space="preserve"> </w:t>
      </w:r>
      <w:r w:rsidR="007265FB">
        <w:t xml:space="preserve">addressing the questions raised in the </w:t>
      </w:r>
      <w:r w:rsidRPr="006D5856" w:rsidR="007265FB">
        <w:rPr>
          <w:i/>
          <w:iCs/>
        </w:rPr>
        <w:t>Public Notice</w:t>
      </w:r>
      <w:r w:rsidR="007265FB">
        <w:t xml:space="preserve"> </w:t>
      </w:r>
      <w:r w:rsidR="0043797A">
        <w:t xml:space="preserve">expeditiously </w:t>
      </w:r>
      <w:r w:rsidR="002522DD">
        <w:t xml:space="preserve">in order to move forward with </w:t>
      </w:r>
      <w:r w:rsidR="009C1EF1">
        <w:t>implementing</w:t>
      </w:r>
      <w:r w:rsidR="002522DD">
        <w:t xml:space="preserve"> </w:t>
      </w:r>
      <w:r w:rsidR="009C65EF">
        <w:t xml:space="preserve">the </w:t>
      </w:r>
      <w:r w:rsidR="002522DD">
        <w:t>Broadband Data Collection,</w:t>
      </w:r>
      <w:r w:rsidR="00230266">
        <w:t xml:space="preserve"> </w:t>
      </w:r>
      <w:r w:rsidR="00E47B08">
        <w:t xml:space="preserve">however, </w:t>
      </w:r>
      <w:r w:rsidR="00230266">
        <w:t>w</w:t>
      </w:r>
      <w:r w:rsidR="00F54881">
        <w:t xml:space="preserve">e find that </w:t>
      </w:r>
      <w:r w:rsidR="001973B7">
        <w:t xml:space="preserve">a </w:t>
      </w:r>
      <w:r w:rsidR="36224B64">
        <w:t>14-day</w:t>
      </w:r>
      <w:r w:rsidR="001973B7">
        <w:t xml:space="preserve"> extension</w:t>
      </w:r>
      <w:r w:rsidR="00120A03">
        <w:t xml:space="preserve">, rather than the </w:t>
      </w:r>
      <w:r w:rsidR="0043797A">
        <w:t xml:space="preserve">one-month </w:t>
      </w:r>
      <w:r w:rsidR="00120A03">
        <w:t xml:space="preserve">extension that the CPUC requested, </w:t>
      </w:r>
      <w:r w:rsidR="00ED4416">
        <w:t xml:space="preserve">appropriately </w:t>
      </w:r>
      <w:r w:rsidR="00764492">
        <w:t>addresses</w:t>
      </w:r>
      <w:r w:rsidR="00ED4416">
        <w:t xml:space="preserve"> the </w:t>
      </w:r>
      <w:r w:rsidR="006C2C69">
        <w:t>CPUC</w:t>
      </w:r>
      <w:r w:rsidR="00ED4416">
        <w:t xml:space="preserve">’s need for additional time </w:t>
      </w:r>
      <w:r w:rsidR="002A617D">
        <w:t xml:space="preserve">without </w:t>
      </w:r>
      <w:r w:rsidR="00BA22EC">
        <w:t xml:space="preserve">adverse impact on the </w:t>
      </w:r>
      <w:r w:rsidR="00FE3BA5">
        <w:t>Commission’s</w:t>
      </w:r>
      <w:r w:rsidR="00BA22EC">
        <w:t xml:space="preserve"> </w:t>
      </w:r>
      <w:r w:rsidR="00CF2ED1">
        <w:t>development of the sy</w:t>
      </w:r>
      <w:r w:rsidR="00764492">
        <w:t>s</w:t>
      </w:r>
      <w:r w:rsidR="00CF2ED1">
        <w:t xml:space="preserve">tems </w:t>
      </w:r>
      <w:r w:rsidR="00304DD7">
        <w:t xml:space="preserve">and </w:t>
      </w:r>
      <w:r w:rsidR="00764492">
        <w:t>processes</w:t>
      </w:r>
      <w:r w:rsidR="00304DD7">
        <w:t xml:space="preserve"> </w:t>
      </w:r>
      <w:r w:rsidR="00630002">
        <w:t xml:space="preserve">necessary to </w:t>
      </w:r>
      <w:r w:rsidR="0062605C">
        <w:t>support</w:t>
      </w:r>
      <w:r w:rsidR="00215EF5">
        <w:t xml:space="preserve"> the mobile challenge process as set forth in </w:t>
      </w:r>
      <w:r w:rsidR="00120A03">
        <w:t xml:space="preserve">the Broadband </w:t>
      </w:r>
      <w:r w:rsidR="0050466B">
        <w:t>DATA</w:t>
      </w:r>
      <w:r w:rsidR="00120A03">
        <w:t xml:space="preserve"> Act.</w:t>
      </w:r>
      <w:r>
        <w:rPr>
          <w:rStyle w:val="FootnoteReference"/>
        </w:rPr>
        <w:footnoteReference w:id="10"/>
      </w:r>
      <w:r w:rsidR="0050064E">
        <w:t xml:space="preserve">  We therefore grant the motion in part and extend the comment and reply comment </w:t>
      </w:r>
      <w:r w:rsidR="00A21BEE">
        <w:t>dates</w:t>
      </w:r>
      <w:r w:rsidR="0050064E">
        <w:t xml:space="preserve"> to</w:t>
      </w:r>
      <w:r w:rsidR="00253161">
        <w:t xml:space="preserve"> </w:t>
      </w:r>
      <w:r w:rsidR="00FF4D7E">
        <w:t>September 10</w:t>
      </w:r>
      <w:r w:rsidRPr="00FF4D7E" w:rsidR="00FF4D7E">
        <w:t>, 2021</w:t>
      </w:r>
      <w:r w:rsidR="00215EF5">
        <w:t>,</w:t>
      </w:r>
      <w:r w:rsidRPr="00FF4D7E" w:rsidR="00FF4D7E">
        <w:t xml:space="preserve"> and </w:t>
      </w:r>
      <w:r w:rsidR="00FF4D7E">
        <w:t>September 27</w:t>
      </w:r>
      <w:r w:rsidRPr="00FF4D7E" w:rsidR="00FF4D7E">
        <w:t>, 2021, respectively</w:t>
      </w:r>
      <w:r w:rsidR="00FF4D7E">
        <w:t>.</w:t>
      </w:r>
    </w:p>
    <w:p w:rsidR="00354E9D" w:rsidP="00354E9D" w14:paraId="19628BDB" w14:textId="67D82E24">
      <w:pPr>
        <w:pStyle w:val="ListParagraph"/>
        <w:numPr>
          <w:ilvl w:val="0"/>
          <w:numId w:val="8"/>
        </w:numPr>
        <w:spacing w:after="240"/>
        <w:ind w:left="0" w:firstLine="720"/>
        <w:contextualSpacing w:val="0"/>
      </w:pPr>
      <w:r>
        <w:t xml:space="preserve">Accordingly, </w:t>
      </w:r>
      <w:r w:rsidRPr="00354E9D">
        <w:rPr>
          <w:b/>
          <w:bCs/>
        </w:rPr>
        <w:t>IT IS ORDERED</w:t>
      </w:r>
      <w:r>
        <w:t xml:space="preserve"> that, pursuant to </w:t>
      </w:r>
      <w:r w:rsidRPr="002B4031" w:rsidR="002B4031">
        <w:t>Section 4(</w:t>
      </w:r>
      <w:r w:rsidRPr="002B4031" w:rsidR="002B4031">
        <w:t>i</w:t>
      </w:r>
      <w:r w:rsidRPr="002B4031" w:rsidR="002B4031">
        <w:t>) of the Communications Act of 1934, as amended, 47 U.S.C. § 154(</w:t>
      </w:r>
      <w:r w:rsidRPr="002B4031" w:rsidR="002B4031">
        <w:t>i</w:t>
      </w:r>
      <w:r w:rsidRPr="002B4031" w:rsidR="002B4031">
        <w:t xml:space="preserve">), and Sections 0.131, 0.331, and 1.46 of the Commission’s rules, 47 CFR §§ 0.131, 0.331, and 1.46, the Motion for Extension of Time to File Comments filed by </w:t>
      </w:r>
      <w:r w:rsidR="002B4031">
        <w:t xml:space="preserve">the CPUC is </w:t>
      </w:r>
      <w:r w:rsidRPr="002B4031" w:rsidR="002B4031">
        <w:rPr>
          <w:b/>
          <w:bCs/>
        </w:rPr>
        <w:t>GRANTED IN PART</w:t>
      </w:r>
      <w:r w:rsidR="002B4031">
        <w:t>.</w:t>
      </w:r>
    </w:p>
    <w:p w:rsidR="00320042" w:rsidP="00354E9D" w14:paraId="495FA509" w14:textId="719A4EC3">
      <w:pPr>
        <w:pStyle w:val="ListParagraph"/>
        <w:numPr>
          <w:ilvl w:val="0"/>
          <w:numId w:val="8"/>
        </w:numPr>
        <w:spacing w:after="240"/>
        <w:ind w:left="0" w:firstLine="720"/>
        <w:contextualSpacing w:val="0"/>
      </w:pPr>
      <w:r w:rsidRPr="4AF6F531">
        <w:rPr>
          <w:b/>
          <w:bCs/>
        </w:rPr>
        <w:t>IT IS FURTHER ORDERED</w:t>
      </w:r>
      <w:r>
        <w:t xml:space="preserve"> that </w:t>
      </w:r>
      <w:r w:rsidR="3DD12C09">
        <w:t xml:space="preserve">the </w:t>
      </w:r>
      <w:r w:rsidR="117798B1">
        <w:t>date</w:t>
      </w:r>
      <w:r w:rsidR="0BB7C7F4">
        <w:t>s</w:t>
      </w:r>
      <w:r w:rsidR="3DD12C09">
        <w:t xml:space="preserve"> to file comments and reply comments in this proceeding </w:t>
      </w:r>
      <w:r w:rsidRPr="4AF6F531" w:rsidR="3DD12C09">
        <w:rPr>
          <w:b/>
          <w:bCs/>
        </w:rPr>
        <w:t>ARE EXTENDED</w:t>
      </w:r>
      <w:r w:rsidR="3DD12C09">
        <w:t xml:space="preserve"> to September 10, 2021</w:t>
      </w:r>
      <w:r w:rsidR="0016410E">
        <w:t>,</w:t>
      </w:r>
      <w:r w:rsidR="3DD12C09">
        <w:t xml:space="preserve"> and September 27, 2021, respectively.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5040"/>
      </w:tblGrid>
      <w:tr w14:paraId="3945609A" w14:textId="77777777" w:rsidTr="0062065B">
        <w:tblPrEx>
          <w:tblW w:w="963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90" w:type="dxa"/>
          </w:tcPr>
          <w:p w:rsidR="00320042" w:rsidP="00320042" w14:paraId="130478A2" w14:textId="77777777"/>
        </w:tc>
        <w:tc>
          <w:tcPr>
            <w:tcW w:w="5040" w:type="dxa"/>
          </w:tcPr>
          <w:p w:rsidR="00320042" w:rsidP="00320042" w14:paraId="7D100C03" w14:textId="002659DE">
            <w:r w:rsidRPr="00320042">
              <w:t>FEDERAL COMMUNICATIONS COMMISSION</w:t>
            </w:r>
          </w:p>
          <w:p w:rsidR="00320042" w:rsidP="00320042" w14:paraId="5A525464" w14:textId="237C69C1"/>
          <w:p w:rsidR="00320042" w:rsidP="00320042" w14:paraId="76F1E8C7" w14:textId="77777777"/>
          <w:p w:rsidR="00320042" w:rsidP="00320042" w14:paraId="69C201C0" w14:textId="68BE0821"/>
          <w:p w:rsidR="00215D1A" w:rsidP="00320042" w14:paraId="5D4AD252" w14:textId="77777777"/>
          <w:p w:rsidR="003D59C2" w:rsidP="00320042" w14:paraId="1C2476D8" w14:textId="08F332F6">
            <w:r>
              <w:t>J</w:t>
            </w:r>
            <w:r w:rsidR="1375BACC">
              <w:t xml:space="preserve">ean </w:t>
            </w:r>
            <w:r w:rsidR="000144B8">
              <w:t xml:space="preserve">L. </w:t>
            </w:r>
            <w:r w:rsidR="1375BACC">
              <w:t>Kiddoo</w:t>
            </w:r>
          </w:p>
          <w:p w:rsidR="00320042" w:rsidP="00320042" w14:paraId="67A42D79" w14:textId="77777777">
            <w:r>
              <w:t>Chair, Broadband Data Task Force</w:t>
            </w:r>
          </w:p>
          <w:p w:rsidR="00B737E3" w:rsidP="00320042" w14:paraId="2D949C85" w14:textId="648227EF">
            <w:r>
              <w:t>Deputy Chief, Wireless Telecommunications Bureau</w:t>
            </w:r>
          </w:p>
        </w:tc>
      </w:tr>
    </w:tbl>
    <w:p w:rsidR="00320042" w:rsidP="00320042" w14:paraId="6CCA300C" w14:textId="321DBE1B">
      <w:pPr>
        <w:spacing w:after="240"/>
      </w:pPr>
    </w:p>
    <w:p w:rsidR="00320042" w:rsidRPr="001643A0" w:rsidP="00320042" w14:paraId="3A12E8E0" w14:textId="77777777">
      <w:pPr>
        <w:spacing w:after="240"/>
      </w:pP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BF023D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169BC2E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5BC67BB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6885D7E7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42C7805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91FDF" w14:paraId="716880AC" w14:textId="77777777">
      <w:r>
        <w:separator/>
      </w:r>
    </w:p>
  </w:footnote>
  <w:footnote w:type="continuationSeparator" w:id="1">
    <w:p w:rsidR="00391FDF" w:rsidP="00C721AC" w14:paraId="6BBD5937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91FDF" w:rsidP="00C721AC" w14:paraId="61373111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1D4652CE" w:rsidP="1D4652CE" w14:paraId="6EAE4B5E" w14:textId="33C44AA3">
      <w:pPr>
        <w:pStyle w:val="FootnoteText"/>
      </w:pPr>
      <w:r w:rsidRPr="1D4652CE">
        <w:rPr>
          <w:rStyle w:val="FootnoteReference"/>
        </w:rPr>
        <w:footnoteRef/>
      </w:r>
      <w:r>
        <w:t xml:space="preserve"> </w:t>
      </w:r>
      <w:r w:rsidRPr="1D4652CE">
        <w:rPr>
          <w:i/>
          <w:iCs/>
        </w:rPr>
        <w:t>See</w:t>
      </w:r>
      <w:r>
        <w:t xml:space="preserve"> Motion of the CPUC for Extension of Time to File Comments, WC Docket No. 19-195</w:t>
      </w:r>
      <w:r w:rsidR="003D75EB">
        <w:t xml:space="preserve"> </w:t>
      </w:r>
      <w:r>
        <w:t xml:space="preserve">(filed Aug. 11, 2021), </w:t>
      </w:r>
      <w:hyperlink r:id="rId1" w:history="1">
        <w:r w:rsidRPr="1D4652CE">
          <w:rPr>
            <w:rStyle w:val="Hyperlink"/>
          </w:rPr>
          <w:t>https://ecfsapi.fcc.gov/file/108112580009583/WC%20Docket%20No.%2019-195%20Motion%20for%20Extension%20of%20Time%20to%20File%20Comments.pdf</w:t>
        </w:r>
      </w:hyperlink>
      <w:r>
        <w:t xml:space="preserve"> (Motion). </w:t>
      </w:r>
    </w:p>
  </w:footnote>
  <w:footnote w:id="4">
    <w:p w:rsidR="001643A0" w14:paraId="6ADF25D8" w14:textId="2E5910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0D7C" w:rsidR="00FB0D7C">
        <w:rPr>
          <w:i/>
          <w:iCs/>
        </w:rPr>
        <w:t>See</w:t>
      </w:r>
      <w:r w:rsidR="00FB0D7C">
        <w:t xml:space="preserve"> </w:t>
      </w:r>
      <w:r w:rsidRPr="001115D7" w:rsidR="001115D7">
        <w:rPr>
          <w:i/>
          <w:iCs/>
        </w:rPr>
        <w:t>Comment Sought on Technical Requirements for the Mobile Challenge, Verification, and Crowdsource Processes Required Under the Broadband DATA Act</w:t>
      </w:r>
      <w:r w:rsidRPr="001115D7" w:rsidR="001115D7">
        <w:t>, Public Notice, WC Docket No. 19-195, DA 21-853 (WTB, OEA, OET July 16, 2021) (</w:t>
      </w:r>
      <w:r w:rsidRPr="001115D7" w:rsidR="001115D7">
        <w:rPr>
          <w:i/>
          <w:iCs/>
        </w:rPr>
        <w:t>Public Notice</w:t>
      </w:r>
      <w:r w:rsidRPr="001115D7" w:rsidR="001115D7">
        <w:t>).</w:t>
      </w:r>
      <w:r w:rsidR="004C5414">
        <w:t xml:space="preserve">  </w:t>
      </w:r>
      <w:r w:rsidRPr="004C5414" w:rsidR="004C5414">
        <w:t>The comment and reply comment deadlines were</w:t>
      </w:r>
      <w:r w:rsidR="004C5414">
        <w:t xml:space="preserve"> </w:t>
      </w:r>
      <w:r w:rsidRPr="004C5414" w:rsidR="004C5414">
        <w:t xml:space="preserve">set at 30 and </w:t>
      </w:r>
      <w:r w:rsidR="009313B9">
        <w:t>45</w:t>
      </w:r>
      <w:r w:rsidRPr="004C5414" w:rsidR="004C5414">
        <w:t xml:space="preserve"> days after publication in the Federal Register, which occurred on</w:t>
      </w:r>
      <w:r w:rsidR="000027FE">
        <w:t xml:space="preserve"> July 28, 2021</w:t>
      </w:r>
      <w:r w:rsidRPr="004C5414" w:rsidR="004C5414">
        <w:t>.</w:t>
      </w:r>
      <w:r w:rsidR="004C5414">
        <w:t xml:space="preserve">  </w:t>
      </w:r>
      <w:r w:rsidRPr="004C5414" w:rsidR="004C5414">
        <w:rPr>
          <w:i/>
          <w:iCs/>
        </w:rPr>
        <w:t>See</w:t>
      </w:r>
      <w:r w:rsidR="004C5414">
        <w:t xml:space="preserve"> Federal </w:t>
      </w:r>
      <w:r w:rsidRPr="004C5414" w:rsidR="004C5414">
        <w:t>Communications Commission</w:t>
      </w:r>
      <w:r w:rsidR="00100339">
        <w:t xml:space="preserve">, </w:t>
      </w:r>
      <w:r w:rsidRPr="00100339" w:rsidR="00100339">
        <w:t>Comment Sought on Technical Requirements for the Mobile Challenge, Verification, and Crowdsource Processes Required Under the Broadband D</w:t>
      </w:r>
      <w:r w:rsidR="00C72C1D">
        <w:t>ata</w:t>
      </w:r>
      <w:r w:rsidRPr="00100339" w:rsidR="00100339">
        <w:t xml:space="preserve"> Act</w:t>
      </w:r>
      <w:r w:rsidR="00100339">
        <w:t xml:space="preserve">, 86 Fed. Reg. </w:t>
      </w:r>
      <w:r w:rsidRPr="00100339" w:rsidR="00100339">
        <w:t>40398</w:t>
      </w:r>
      <w:r w:rsidR="00100339">
        <w:t xml:space="preserve"> (Jul. 28, 2021).</w:t>
      </w:r>
    </w:p>
  </w:footnote>
  <w:footnote w:id="5">
    <w:p w:rsidR="00AF3491" w14:paraId="2A14AAED" w14:textId="43C7CB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0D7C" w:rsidR="00FB0D7C">
        <w:rPr>
          <w:i/>
          <w:iCs/>
        </w:rPr>
        <w:t>See</w:t>
      </w:r>
      <w:r w:rsidR="00FB0D7C">
        <w:t xml:space="preserve"> Motion at 1</w:t>
      </w:r>
      <w:r w:rsidR="00897545">
        <w:t>, 3</w:t>
      </w:r>
      <w:r w:rsidR="00FB0D7C">
        <w:t xml:space="preserve">. </w:t>
      </w:r>
    </w:p>
  </w:footnote>
  <w:footnote w:id="6">
    <w:p w:rsidR="00C47E45" w14:paraId="18A3A6FF" w14:textId="70015E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665FB">
        <w:rPr>
          <w:i/>
          <w:iCs/>
        </w:rPr>
        <w:t xml:space="preserve">Id. </w:t>
      </w:r>
      <w:r>
        <w:t>at 1</w:t>
      </w:r>
      <w:r w:rsidR="008F39AD">
        <w:t>-</w:t>
      </w:r>
      <w:r>
        <w:t>2.</w:t>
      </w:r>
    </w:p>
  </w:footnote>
  <w:footnote w:id="7">
    <w:p w:rsidR="000909FF" w14:paraId="6616E1B4" w14:textId="08C200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665FB">
        <w:rPr>
          <w:i/>
          <w:iCs/>
        </w:rPr>
        <w:t xml:space="preserve">Id. </w:t>
      </w:r>
      <w:r>
        <w:t>at 2.</w:t>
      </w:r>
    </w:p>
  </w:footnote>
  <w:footnote w:id="8">
    <w:p w:rsidR="006D6672" w14:paraId="293AF6E7" w14:textId="1D3A2E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665FB">
        <w:rPr>
          <w:i/>
          <w:iCs/>
        </w:rPr>
        <w:t>Id.</w:t>
      </w:r>
    </w:p>
  </w:footnote>
  <w:footnote w:id="9">
    <w:p w:rsidR="00A03B4D" w14:paraId="0214F504" w14:textId="2486BC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3B4D">
        <w:t>47 CFR § 1.46.</w:t>
      </w:r>
    </w:p>
  </w:footnote>
  <w:footnote w:id="10">
    <w:p w:rsidR="00AD1FBC" w:rsidP="00AD1FBC" w14:paraId="6FE04EC7" w14:textId="152C6674">
      <w:pPr>
        <w:pStyle w:val="FootnoteText"/>
      </w:pPr>
      <w:r>
        <w:rPr>
          <w:rStyle w:val="FootnoteReference"/>
        </w:rPr>
        <w:footnoteRef/>
      </w:r>
      <w:r>
        <w:t xml:space="preserve"> Broadband Deployment Accuracy and Technological Availability Act, Pub. L. No. 116-130, 134 Stat. 228 (2020)</w:t>
      </w:r>
      <w:r w:rsidR="003624D1">
        <w:t xml:space="preserve"> </w:t>
      </w:r>
      <w:r>
        <w:t>(codified at 47 U.S.C. §§ 641-646) (Broadband DATA Act)</w:t>
      </w:r>
      <w:r w:rsidR="003624D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EE4DC62" w14:textId="748554B6">
    <w:pPr>
      <w:pStyle w:val="Header"/>
      <w:rPr>
        <w:b w:val="0"/>
      </w:rPr>
    </w:pPr>
    <w:r>
      <w:tab/>
      <w:t>Federal Communications Commission</w:t>
    </w:r>
    <w:r>
      <w:tab/>
    </w:r>
    <w:r w:rsidR="00D50105">
      <w:t>DA 21-</w:t>
    </w:r>
    <w:r w:rsidR="00084F7C">
      <w:t>1044</w:t>
    </w:r>
  </w:p>
  <w:p w:rsidR="00D25FB5" w14:paraId="4CE76B7A" w14:textId="086BE1C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6512F2EC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147899F" w14:textId="695BA87A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5623E5">
      <w:t>DA 21-</w:t>
    </w:r>
    <w:r w:rsidR="00084F7C">
      <w:t>1044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1928747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b w:val="0"/>
        <w:bCs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4320"/>
        </w:tabs>
        <w:ind w:left="432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5040"/>
        </w:tabs>
        <w:ind w:left="504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760"/>
        </w:tabs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4">
    <w:nsid w:val="2A344EB0"/>
    <w:multiLevelType w:val="multilevel"/>
    <w:tmpl w:val="134E1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  <w:bCs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4320" w:hanging="720"/>
      </w:p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5040" w:hanging="720"/>
      </w:p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040" w:firstLine="0"/>
      </w:p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5">
    <w:nsid w:val="49F04A25"/>
    <w:multiLevelType w:val="hybridMultilevel"/>
    <w:tmpl w:val="570614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8B"/>
    <w:rsid w:val="000027FE"/>
    <w:rsid w:val="000144B8"/>
    <w:rsid w:val="00034E4B"/>
    <w:rsid w:val="00035CC2"/>
    <w:rsid w:val="00036039"/>
    <w:rsid w:val="00037F90"/>
    <w:rsid w:val="00055FCA"/>
    <w:rsid w:val="00070F6B"/>
    <w:rsid w:val="00080627"/>
    <w:rsid w:val="00084F7C"/>
    <w:rsid w:val="000875BF"/>
    <w:rsid w:val="000909FF"/>
    <w:rsid w:val="00096D8C"/>
    <w:rsid w:val="000A0415"/>
    <w:rsid w:val="000B2C42"/>
    <w:rsid w:val="000B2C47"/>
    <w:rsid w:val="000B71D3"/>
    <w:rsid w:val="000C0B65"/>
    <w:rsid w:val="000C16A6"/>
    <w:rsid w:val="000E05FE"/>
    <w:rsid w:val="000E0827"/>
    <w:rsid w:val="000E3D42"/>
    <w:rsid w:val="00100339"/>
    <w:rsid w:val="0010138B"/>
    <w:rsid w:val="001115D7"/>
    <w:rsid w:val="00114E0D"/>
    <w:rsid w:val="00120A03"/>
    <w:rsid w:val="0012145E"/>
    <w:rsid w:val="00122BD5"/>
    <w:rsid w:val="00133F79"/>
    <w:rsid w:val="00135BB6"/>
    <w:rsid w:val="0013791A"/>
    <w:rsid w:val="0014324F"/>
    <w:rsid w:val="00160902"/>
    <w:rsid w:val="0016410E"/>
    <w:rsid w:val="001643A0"/>
    <w:rsid w:val="001847BB"/>
    <w:rsid w:val="00192B57"/>
    <w:rsid w:val="00194A66"/>
    <w:rsid w:val="001973B7"/>
    <w:rsid w:val="001D6BCF"/>
    <w:rsid w:val="001E01CA"/>
    <w:rsid w:val="001F11C3"/>
    <w:rsid w:val="002008A6"/>
    <w:rsid w:val="00205F8D"/>
    <w:rsid w:val="002072BC"/>
    <w:rsid w:val="00215D1A"/>
    <w:rsid w:val="00215EF5"/>
    <w:rsid w:val="002160CB"/>
    <w:rsid w:val="00223815"/>
    <w:rsid w:val="00230266"/>
    <w:rsid w:val="00231D84"/>
    <w:rsid w:val="0024695A"/>
    <w:rsid w:val="0025092A"/>
    <w:rsid w:val="002522DD"/>
    <w:rsid w:val="00252C97"/>
    <w:rsid w:val="00253161"/>
    <w:rsid w:val="00255D9E"/>
    <w:rsid w:val="00256908"/>
    <w:rsid w:val="00275CF5"/>
    <w:rsid w:val="0028301F"/>
    <w:rsid w:val="00285017"/>
    <w:rsid w:val="002873F1"/>
    <w:rsid w:val="002A004C"/>
    <w:rsid w:val="002A2D2E"/>
    <w:rsid w:val="002A617D"/>
    <w:rsid w:val="002B119D"/>
    <w:rsid w:val="002B4031"/>
    <w:rsid w:val="002C00E8"/>
    <w:rsid w:val="002C37C5"/>
    <w:rsid w:val="002C7519"/>
    <w:rsid w:val="00304DD7"/>
    <w:rsid w:val="00307A0B"/>
    <w:rsid w:val="00320042"/>
    <w:rsid w:val="00343749"/>
    <w:rsid w:val="00347B31"/>
    <w:rsid w:val="00354E9D"/>
    <w:rsid w:val="003624D1"/>
    <w:rsid w:val="003660ED"/>
    <w:rsid w:val="00372132"/>
    <w:rsid w:val="00373380"/>
    <w:rsid w:val="003820AD"/>
    <w:rsid w:val="0038660E"/>
    <w:rsid w:val="00390411"/>
    <w:rsid w:val="00391FDF"/>
    <w:rsid w:val="003A109C"/>
    <w:rsid w:val="003A1A8C"/>
    <w:rsid w:val="003A1FA0"/>
    <w:rsid w:val="003B0550"/>
    <w:rsid w:val="003B694F"/>
    <w:rsid w:val="003C63A0"/>
    <w:rsid w:val="003D016F"/>
    <w:rsid w:val="003D26EF"/>
    <w:rsid w:val="003D59C2"/>
    <w:rsid w:val="003D75EB"/>
    <w:rsid w:val="003E2E2B"/>
    <w:rsid w:val="003E74AB"/>
    <w:rsid w:val="003E75B1"/>
    <w:rsid w:val="003E75C4"/>
    <w:rsid w:val="003E7AC3"/>
    <w:rsid w:val="003F171C"/>
    <w:rsid w:val="004048B8"/>
    <w:rsid w:val="00412FC5"/>
    <w:rsid w:val="00417635"/>
    <w:rsid w:val="00422276"/>
    <w:rsid w:val="00424178"/>
    <w:rsid w:val="004242F1"/>
    <w:rsid w:val="0043797A"/>
    <w:rsid w:val="00445A00"/>
    <w:rsid w:val="00450AD2"/>
    <w:rsid w:val="00451B0F"/>
    <w:rsid w:val="00453D49"/>
    <w:rsid w:val="0045578A"/>
    <w:rsid w:val="00460404"/>
    <w:rsid w:val="00462A4A"/>
    <w:rsid w:val="00464AA8"/>
    <w:rsid w:val="00466452"/>
    <w:rsid w:val="00475569"/>
    <w:rsid w:val="004B014B"/>
    <w:rsid w:val="004B5844"/>
    <w:rsid w:val="004C1A7C"/>
    <w:rsid w:val="004C2EE3"/>
    <w:rsid w:val="004C5414"/>
    <w:rsid w:val="004D3B56"/>
    <w:rsid w:val="004E4A22"/>
    <w:rsid w:val="004F4DFA"/>
    <w:rsid w:val="0050064E"/>
    <w:rsid w:val="00503D6F"/>
    <w:rsid w:val="0050466B"/>
    <w:rsid w:val="00511968"/>
    <w:rsid w:val="00531340"/>
    <w:rsid w:val="0055614C"/>
    <w:rsid w:val="00561B82"/>
    <w:rsid w:val="005623E5"/>
    <w:rsid w:val="005654E2"/>
    <w:rsid w:val="00566D06"/>
    <w:rsid w:val="005763BB"/>
    <w:rsid w:val="005955A9"/>
    <w:rsid w:val="005A25BA"/>
    <w:rsid w:val="005A7266"/>
    <w:rsid w:val="005A7885"/>
    <w:rsid w:val="005B1E02"/>
    <w:rsid w:val="005C4F71"/>
    <w:rsid w:val="005D2D4A"/>
    <w:rsid w:val="005E14C2"/>
    <w:rsid w:val="005E6667"/>
    <w:rsid w:val="005F33A5"/>
    <w:rsid w:val="00606919"/>
    <w:rsid w:val="00606B99"/>
    <w:rsid w:val="00607BA5"/>
    <w:rsid w:val="0061180A"/>
    <w:rsid w:val="0062065B"/>
    <w:rsid w:val="00622E89"/>
    <w:rsid w:val="0062605C"/>
    <w:rsid w:val="00626EB6"/>
    <w:rsid w:val="00627A1B"/>
    <w:rsid w:val="00630002"/>
    <w:rsid w:val="006423F8"/>
    <w:rsid w:val="00655D03"/>
    <w:rsid w:val="00662021"/>
    <w:rsid w:val="0066348D"/>
    <w:rsid w:val="00683388"/>
    <w:rsid w:val="00683F84"/>
    <w:rsid w:val="00697BF2"/>
    <w:rsid w:val="006A6A81"/>
    <w:rsid w:val="006B0C42"/>
    <w:rsid w:val="006B5115"/>
    <w:rsid w:val="006C2C69"/>
    <w:rsid w:val="006D5856"/>
    <w:rsid w:val="006D6672"/>
    <w:rsid w:val="006D756B"/>
    <w:rsid w:val="006F6627"/>
    <w:rsid w:val="006F7393"/>
    <w:rsid w:val="006F7D92"/>
    <w:rsid w:val="0070224F"/>
    <w:rsid w:val="00710A7D"/>
    <w:rsid w:val="00711410"/>
    <w:rsid w:val="007115F7"/>
    <w:rsid w:val="00713361"/>
    <w:rsid w:val="00714930"/>
    <w:rsid w:val="00720C02"/>
    <w:rsid w:val="0072471A"/>
    <w:rsid w:val="007265FB"/>
    <w:rsid w:val="007311D7"/>
    <w:rsid w:val="007343B1"/>
    <w:rsid w:val="00764492"/>
    <w:rsid w:val="00764F2A"/>
    <w:rsid w:val="007665FB"/>
    <w:rsid w:val="00777282"/>
    <w:rsid w:val="00784CD7"/>
    <w:rsid w:val="00785689"/>
    <w:rsid w:val="0079754B"/>
    <w:rsid w:val="007A1E6D"/>
    <w:rsid w:val="007A62B9"/>
    <w:rsid w:val="007B0EB2"/>
    <w:rsid w:val="007B39BB"/>
    <w:rsid w:val="007D76F1"/>
    <w:rsid w:val="007F63B6"/>
    <w:rsid w:val="007F6FB9"/>
    <w:rsid w:val="00807ABF"/>
    <w:rsid w:val="00810B6F"/>
    <w:rsid w:val="00822CE0"/>
    <w:rsid w:val="00827A4B"/>
    <w:rsid w:val="00832AFA"/>
    <w:rsid w:val="008350D7"/>
    <w:rsid w:val="00841AB1"/>
    <w:rsid w:val="00854D33"/>
    <w:rsid w:val="00861FD6"/>
    <w:rsid w:val="00863286"/>
    <w:rsid w:val="00863B07"/>
    <w:rsid w:val="0088221B"/>
    <w:rsid w:val="00897545"/>
    <w:rsid w:val="008A15B4"/>
    <w:rsid w:val="008B4096"/>
    <w:rsid w:val="008C0250"/>
    <w:rsid w:val="008C0C31"/>
    <w:rsid w:val="008C68F1"/>
    <w:rsid w:val="008C78DB"/>
    <w:rsid w:val="008D5A9B"/>
    <w:rsid w:val="008F0456"/>
    <w:rsid w:val="008F39AD"/>
    <w:rsid w:val="00905BF6"/>
    <w:rsid w:val="00911EF5"/>
    <w:rsid w:val="00921702"/>
    <w:rsid w:val="00921803"/>
    <w:rsid w:val="0092583F"/>
    <w:rsid w:val="00926503"/>
    <w:rsid w:val="00927CAB"/>
    <w:rsid w:val="009313B9"/>
    <w:rsid w:val="00951114"/>
    <w:rsid w:val="00952C9B"/>
    <w:rsid w:val="0095780D"/>
    <w:rsid w:val="00963F0B"/>
    <w:rsid w:val="0096665C"/>
    <w:rsid w:val="00966F5A"/>
    <w:rsid w:val="00967868"/>
    <w:rsid w:val="009726D8"/>
    <w:rsid w:val="009806DA"/>
    <w:rsid w:val="009966BD"/>
    <w:rsid w:val="009971D4"/>
    <w:rsid w:val="009A5B3E"/>
    <w:rsid w:val="009C1EF1"/>
    <w:rsid w:val="009C65EF"/>
    <w:rsid w:val="009D39AB"/>
    <w:rsid w:val="009D7308"/>
    <w:rsid w:val="009E1C8A"/>
    <w:rsid w:val="009F45E8"/>
    <w:rsid w:val="009F76DB"/>
    <w:rsid w:val="00A03B4D"/>
    <w:rsid w:val="00A21BEE"/>
    <w:rsid w:val="00A27D5D"/>
    <w:rsid w:val="00A32C3B"/>
    <w:rsid w:val="00A34694"/>
    <w:rsid w:val="00A42B32"/>
    <w:rsid w:val="00A43B37"/>
    <w:rsid w:val="00A45F4F"/>
    <w:rsid w:val="00A600A9"/>
    <w:rsid w:val="00A6503B"/>
    <w:rsid w:val="00A71DAE"/>
    <w:rsid w:val="00A77379"/>
    <w:rsid w:val="00A82107"/>
    <w:rsid w:val="00A85B38"/>
    <w:rsid w:val="00A91AA9"/>
    <w:rsid w:val="00A9777E"/>
    <w:rsid w:val="00AA55B7"/>
    <w:rsid w:val="00AA5B9E"/>
    <w:rsid w:val="00AB2407"/>
    <w:rsid w:val="00AB53DF"/>
    <w:rsid w:val="00AC2AFC"/>
    <w:rsid w:val="00AD1FBC"/>
    <w:rsid w:val="00AE3306"/>
    <w:rsid w:val="00AE5ED0"/>
    <w:rsid w:val="00AF051B"/>
    <w:rsid w:val="00AF3491"/>
    <w:rsid w:val="00AF367C"/>
    <w:rsid w:val="00AF57F9"/>
    <w:rsid w:val="00B00B87"/>
    <w:rsid w:val="00B0238F"/>
    <w:rsid w:val="00B06277"/>
    <w:rsid w:val="00B07E5C"/>
    <w:rsid w:val="00B30045"/>
    <w:rsid w:val="00B34697"/>
    <w:rsid w:val="00B34F5A"/>
    <w:rsid w:val="00B353A5"/>
    <w:rsid w:val="00B5774D"/>
    <w:rsid w:val="00B6512B"/>
    <w:rsid w:val="00B726AD"/>
    <w:rsid w:val="00B737E3"/>
    <w:rsid w:val="00B75CA2"/>
    <w:rsid w:val="00B75E12"/>
    <w:rsid w:val="00B811F7"/>
    <w:rsid w:val="00B815BC"/>
    <w:rsid w:val="00B84A4E"/>
    <w:rsid w:val="00BA0E6C"/>
    <w:rsid w:val="00BA22EC"/>
    <w:rsid w:val="00BA5DC6"/>
    <w:rsid w:val="00BA6196"/>
    <w:rsid w:val="00BC090B"/>
    <w:rsid w:val="00BC4E7D"/>
    <w:rsid w:val="00BC5471"/>
    <w:rsid w:val="00BC6D8C"/>
    <w:rsid w:val="00BD4186"/>
    <w:rsid w:val="00BE0820"/>
    <w:rsid w:val="00BF322E"/>
    <w:rsid w:val="00BF332C"/>
    <w:rsid w:val="00BF48DD"/>
    <w:rsid w:val="00BF7FF4"/>
    <w:rsid w:val="00C00F7A"/>
    <w:rsid w:val="00C1019E"/>
    <w:rsid w:val="00C114D6"/>
    <w:rsid w:val="00C13273"/>
    <w:rsid w:val="00C25BE5"/>
    <w:rsid w:val="00C3284C"/>
    <w:rsid w:val="00C34006"/>
    <w:rsid w:val="00C36B4C"/>
    <w:rsid w:val="00C426B1"/>
    <w:rsid w:val="00C47E45"/>
    <w:rsid w:val="00C545B4"/>
    <w:rsid w:val="00C61EDE"/>
    <w:rsid w:val="00C61FC6"/>
    <w:rsid w:val="00C63B15"/>
    <w:rsid w:val="00C66160"/>
    <w:rsid w:val="00C721AC"/>
    <w:rsid w:val="00C72C1D"/>
    <w:rsid w:val="00C76BA0"/>
    <w:rsid w:val="00C77144"/>
    <w:rsid w:val="00C81FFE"/>
    <w:rsid w:val="00C90D6A"/>
    <w:rsid w:val="00CA247E"/>
    <w:rsid w:val="00CA3497"/>
    <w:rsid w:val="00CA6D21"/>
    <w:rsid w:val="00CC72B6"/>
    <w:rsid w:val="00CD3E93"/>
    <w:rsid w:val="00CF0C4F"/>
    <w:rsid w:val="00CF1FE5"/>
    <w:rsid w:val="00CF2ED1"/>
    <w:rsid w:val="00D0218D"/>
    <w:rsid w:val="00D037B3"/>
    <w:rsid w:val="00D25FB5"/>
    <w:rsid w:val="00D2706D"/>
    <w:rsid w:val="00D2748B"/>
    <w:rsid w:val="00D44223"/>
    <w:rsid w:val="00D44C43"/>
    <w:rsid w:val="00D50105"/>
    <w:rsid w:val="00D615E7"/>
    <w:rsid w:val="00D748E0"/>
    <w:rsid w:val="00D77BEA"/>
    <w:rsid w:val="00D80D7B"/>
    <w:rsid w:val="00D82ABE"/>
    <w:rsid w:val="00D96B01"/>
    <w:rsid w:val="00D9796D"/>
    <w:rsid w:val="00D97F45"/>
    <w:rsid w:val="00DA2529"/>
    <w:rsid w:val="00DB130A"/>
    <w:rsid w:val="00DB2EBB"/>
    <w:rsid w:val="00DB4BCD"/>
    <w:rsid w:val="00DC10A1"/>
    <w:rsid w:val="00DC655F"/>
    <w:rsid w:val="00DD0B59"/>
    <w:rsid w:val="00DD7EBD"/>
    <w:rsid w:val="00DE0072"/>
    <w:rsid w:val="00DE714F"/>
    <w:rsid w:val="00DF62B6"/>
    <w:rsid w:val="00E044CE"/>
    <w:rsid w:val="00E05C90"/>
    <w:rsid w:val="00E07225"/>
    <w:rsid w:val="00E139BF"/>
    <w:rsid w:val="00E20129"/>
    <w:rsid w:val="00E23988"/>
    <w:rsid w:val="00E47B08"/>
    <w:rsid w:val="00E52A5A"/>
    <w:rsid w:val="00E53C3A"/>
    <w:rsid w:val="00E5409F"/>
    <w:rsid w:val="00E606F8"/>
    <w:rsid w:val="00E7536A"/>
    <w:rsid w:val="00E76B7F"/>
    <w:rsid w:val="00E76FA7"/>
    <w:rsid w:val="00EA6E73"/>
    <w:rsid w:val="00EC27BE"/>
    <w:rsid w:val="00ED1591"/>
    <w:rsid w:val="00ED4416"/>
    <w:rsid w:val="00EE2667"/>
    <w:rsid w:val="00EE6488"/>
    <w:rsid w:val="00F021FA"/>
    <w:rsid w:val="00F05AA3"/>
    <w:rsid w:val="00F1154A"/>
    <w:rsid w:val="00F23481"/>
    <w:rsid w:val="00F24154"/>
    <w:rsid w:val="00F42186"/>
    <w:rsid w:val="00F52A2A"/>
    <w:rsid w:val="00F5306C"/>
    <w:rsid w:val="00F54881"/>
    <w:rsid w:val="00F61280"/>
    <w:rsid w:val="00F62E97"/>
    <w:rsid w:val="00F64209"/>
    <w:rsid w:val="00F81BEA"/>
    <w:rsid w:val="00F93BF5"/>
    <w:rsid w:val="00F96034"/>
    <w:rsid w:val="00FB0D7C"/>
    <w:rsid w:val="00FB2326"/>
    <w:rsid w:val="00FB5E03"/>
    <w:rsid w:val="00FD1BA2"/>
    <w:rsid w:val="00FE1969"/>
    <w:rsid w:val="00FE3BA5"/>
    <w:rsid w:val="00FF4D7E"/>
    <w:rsid w:val="0381718B"/>
    <w:rsid w:val="0431EDAB"/>
    <w:rsid w:val="0676AFBE"/>
    <w:rsid w:val="07C64FF1"/>
    <w:rsid w:val="082044C7"/>
    <w:rsid w:val="0AC7E460"/>
    <w:rsid w:val="0BB7C7F4"/>
    <w:rsid w:val="0DF302FE"/>
    <w:rsid w:val="0EAD6F9B"/>
    <w:rsid w:val="117798B1"/>
    <w:rsid w:val="11A9686D"/>
    <w:rsid w:val="13467C3B"/>
    <w:rsid w:val="1375BACC"/>
    <w:rsid w:val="151B822F"/>
    <w:rsid w:val="186DE03C"/>
    <w:rsid w:val="1CD0020C"/>
    <w:rsid w:val="1D4652CE"/>
    <w:rsid w:val="220A1219"/>
    <w:rsid w:val="242C1C4A"/>
    <w:rsid w:val="25919645"/>
    <w:rsid w:val="26910469"/>
    <w:rsid w:val="2B8AEBDB"/>
    <w:rsid w:val="2D94F80D"/>
    <w:rsid w:val="32AB3F96"/>
    <w:rsid w:val="36224B64"/>
    <w:rsid w:val="3B565D40"/>
    <w:rsid w:val="3DD12C09"/>
    <w:rsid w:val="3EA3605C"/>
    <w:rsid w:val="3FD1CB9D"/>
    <w:rsid w:val="407E772A"/>
    <w:rsid w:val="458048C9"/>
    <w:rsid w:val="482C98B3"/>
    <w:rsid w:val="4AF6F531"/>
    <w:rsid w:val="4AFA50DD"/>
    <w:rsid w:val="4B643975"/>
    <w:rsid w:val="540D3696"/>
    <w:rsid w:val="56C1DAE1"/>
    <w:rsid w:val="579AAF0F"/>
    <w:rsid w:val="5FC13B9E"/>
    <w:rsid w:val="6482242F"/>
    <w:rsid w:val="65FE0625"/>
    <w:rsid w:val="66F42875"/>
    <w:rsid w:val="6799D686"/>
    <w:rsid w:val="6A273DD0"/>
    <w:rsid w:val="6A301D5A"/>
    <w:rsid w:val="6E14E265"/>
    <w:rsid w:val="78F1BAF0"/>
    <w:rsid w:val="792F4D9D"/>
    <w:rsid w:val="7AED5C8E"/>
    <w:rsid w:val="7B5602B3"/>
    <w:rsid w:val="7F18E23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6F22F1D"/>
  <w15:chartTrackingRefBased/>
  <w15:docId w15:val="{5C76AFEF-D8BB-41B0-8B3C-A74E50B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left" w:pos="5760"/>
      </w:tabs>
      <w:spacing w:after="120"/>
      <w:ind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left" w:pos="6480"/>
      </w:tabs>
      <w:spacing w:after="120"/>
      <w:ind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table" w:styleId="TableGrid">
    <w:name w:val="Table Grid"/>
    <w:basedOn w:val="TableNormal"/>
    <w:rsid w:val="00D7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3A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D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07A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927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7CAB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5E66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6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6667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E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667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C76BA0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ecfsapi.fcc.gov/file/108112580009583/WC%20Docket%20No.%2019-195%20Motion%20for%20Extension%20of%20Time%20to%20File%20Comments.pdf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