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B02A93" w:rsidP="75796D0F" w14:paraId="1304E72A" w14:textId="43203E1E">
      <w:pPr>
        <w:jc w:val="right"/>
        <w:rPr>
          <w:sz w:val="24"/>
          <w:szCs w:val="24"/>
        </w:rPr>
      </w:pPr>
      <w:r>
        <w:rPr>
          <w:sz w:val="24"/>
          <w:szCs w:val="24"/>
        </w:rPr>
        <w:t xml:space="preserve"> </w:t>
      </w:r>
      <w:r w:rsidRPr="00B02A93" w:rsidR="00203A09">
        <w:rPr>
          <w:sz w:val="24"/>
          <w:szCs w:val="24"/>
        </w:rPr>
        <w:t xml:space="preserve"> </w:t>
      </w:r>
    </w:p>
    <w:p w:rsidR="005614FA" w:rsidRPr="00B02A93" w:rsidP="005614FA" w14:paraId="3E24FDAA" w14:textId="51F4AFB3">
      <w:pPr>
        <w:widowControl/>
        <w:suppressAutoHyphens/>
        <w:jc w:val="right"/>
        <w:rPr>
          <w:b/>
        </w:rPr>
      </w:pPr>
      <w:r w:rsidRPr="00073D67">
        <w:rPr>
          <w:b/>
        </w:rPr>
        <w:t>DA 2</w:t>
      </w:r>
      <w:r w:rsidRPr="00073D67" w:rsidR="001E397D">
        <w:rPr>
          <w:b/>
        </w:rPr>
        <w:t>1-</w:t>
      </w:r>
      <w:r w:rsidR="002B3B0D">
        <w:rPr>
          <w:b/>
        </w:rPr>
        <w:t>1046</w:t>
      </w:r>
    </w:p>
    <w:p w:rsidR="005614FA" w:rsidRPr="00B02A93" w:rsidP="005614FA" w14:paraId="2C244092" w14:textId="62D0FF66">
      <w:pPr>
        <w:widowControl/>
        <w:suppressAutoHyphens/>
        <w:spacing w:after="240"/>
        <w:jc w:val="right"/>
        <w:rPr>
          <w:b/>
        </w:rPr>
      </w:pPr>
      <w:r w:rsidRPr="00B02A93">
        <w:rPr>
          <w:b/>
        </w:rPr>
        <w:t xml:space="preserve">Released: </w:t>
      </w:r>
      <w:r w:rsidR="00BF43CF">
        <w:rPr>
          <w:b/>
        </w:rPr>
        <w:t xml:space="preserve"> August 25, 2021</w:t>
      </w:r>
    </w:p>
    <w:p w:rsidR="00242F44" w:rsidRPr="00B02A93" w:rsidP="005614FA" w14:paraId="05CDE467" w14:textId="2AF92694">
      <w:pPr>
        <w:autoSpaceDE w:val="0"/>
        <w:autoSpaceDN w:val="0"/>
        <w:adjustRightInd w:val="0"/>
        <w:jc w:val="center"/>
        <w:rPr>
          <w:b/>
          <w:szCs w:val="22"/>
        </w:rPr>
      </w:pPr>
      <w:r w:rsidRPr="00B02A93">
        <w:rPr>
          <w:b/>
          <w:szCs w:val="22"/>
        </w:rPr>
        <w:t xml:space="preserve">DOMESTIC 214 </w:t>
      </w:r>
      <w:r w:rsidRPr="00B02A93" w:rsidR="00C31891">
        <w:rPr>
          <w:b/>
          <w:szCs w:val="22"/>
        </w:rPr>
        <w:t>APPLICATION</w:t>
      </w:r>
      <w:r w:rsidRPr="00B02A93" w:rsidR="0054043D">
        <w:rPr>
          <w:b/>
          <w:szCs w:val="22"/>
        </w:rPr>
        <w:t xml:space="preserve"> G</w:t>
      </w:r>
      <w:r w:rsidRPr="00B02A93" w:rsidR="00C31891">
        <w:rPr>
          <w:b/>
          <w:szCs w:val="22"/>
        </w:rPr>
        <w:t>RANTED FOR</w:t>
      </w:r>
      <w:r w:rsidR="00DD7CEF">
        <w:rPr>
          <w:b/>
          <w:szCs w:val="22"/>
        </w:rPr>
        <w:t xml:space="preserve"> </w:t>
      </w:r>
    </w:p>
    <w:p w:rsidR="00DD7CEF" w:rsidRPr="00DD7CEF" w:rsidP="00DD7CEF" w14:paraId="0A292D40" w14:textId="72C78B1E">
      <w:pPr>
        <w:autoSpaceDE w:val="0"/>
        <w:autoSpaceDN w:val="0"/>
        <w:adjustRightInd w:val="0"/>
        <w:jc w:val="center"/>
        <w:rPr>
          <w:b/>
          <w:bCs/>
          <w:szCs w:val="22"/>
        </w:rPr>
      </w:pPr>
      <w:r w:rsidRPr="00DD7CEF">
        <w:rPr>
          <w:b/>
          <w:bCs/>
          <w:szCs w:val="22"/>
        </w:rPr>
        <w:t>TRANSFER OF CERTAIN AUTHORIZATIONS OF AMG TECHNOLOGY INVESTMENT GROUP DBA NEXTLINK INTERNET AND PLAINS INTERNET, LLC</w:t>
      </w:r>
    </w:p>
    <w:p w:rsidR="001E397D" w:rsidRPr="00B02A93" w:rsidP="001E397D" w14:paraId="4F218D56" w14:textId="23EF6283">
      <w:pPr>
        <w:autoSpaceDE w:val="0"/>
        <w:autoSpaceDN w:val="0"/>
        <w:adjustRightInd w:val="0"/>
        <w:jc w:val="center"/>
        <w:rPr>
          <w:b/>
          <w:szCs w:val="22"/>
        </w:rPr>
      </w:pPr>
    </w:p>
    <w:p w:rsidR="005614FA" w:rsidRPr="00B02A93" w:rsidP="0084412A" w14:paraId="5537ED2A" w14:textId="77777777">
      <w:pPr>
        <w:autoSpaceDE w:val="0"/>
        <w:autoSpaceDN w:val="0"/>
        <w:adjustRightInd w:val="0"/>
        <w:rPr>
          <w:b/>
          <w:szCs w:val="22"/>
        </w:rPr>
      </w:pPr>
    </w:p>
    <w:p w:rsidR="005614FA" w:rsidRPr="00B02A93" w:rsidP="005614FA" w14:paraId="5D9244B0" w14:textId="726B3914">
      <w:pPr>
        <w:autoSpaceDE w:val="0"/>
        <w:autoSpaceDN w:val="0"/>
        <w:adjustRightInd w:val="0"/>
        <w:jc w:val="center"/>
        <w:rPr>
          <w:b/>
          <w:szCs w:val="22"/>
        </w:rPr>
      </w:pPr>
      <w:bookmarkStart w:id="0" w:name="_Hlk80002431"/>
      <w:r w:rsidRPr="00B02A93">
        <w:rPr>
          <w:b/>
          <w:szCs w:val="22"/>
        </w:rPr>
        <w:t xml:space="preserve">WC Docket No. </w:t>
      </w:r>
      <w:r w:rsidRPr="00B02A93" w:rsidR="00207939">
        <w:rPr>
          <w:b/>
          <w:szCs w:val="22"/>
        </w:rPr>
        <w:t>2</w:t>
      </w:r>
      <w:r w:rsidRPr="00B02A93" w:rsidR="004F737A">
        <w:rPr>
          <w:b/>
          <w:szCs w:val="22"/>
        </w:rPr>
        <w:t>1</w:t>
      </w:r>
      <w:r w:rsidRPr="00B02A93" w:rsidR="001E397D">
        <w:rPr>
          <w:b/>
          <w:szCs w:val="22"/>
        </w:rPr>
        <w:t>-</w:t>
      </w:r>
      <w:r w:rsidR="005A3ADF">
        <w:rPr>
          <w:b/>
          <w:szCs w:val="22"/>
        </w:rPr>
        <w:t>266</w:t>
      </w:r>
      <w:bookmarkEnd w:id="0"/>
    </w:p>
    <w:p w:rsidR="005614FA" w:rsidRPr="00B02A93" w:rsidP="005614FA" w14:paraId="4F620B5F" w14:textId="77777777">
      <w:pPr>
        <w:widowControl/>
        <w:suppressAutoHyphens/>
        <w:rPr>
          <w:b/>
        </w:rPr>
      </w:pPr>
    </w:p>
    <w:p w:rsidR="002E5941" w:rsidRPr="00B02A93" w:rsidP="00960B05" w14:paraId="7F5B29E1" w14:textId="54B13D3C">
      <w:pPr>
        <w:widowControl/>
        <w:autoSpaceDE w:val="0"/>
        <w:autoSpaceDN w:val="0"/>
        <w:adjustRightInd w:val="0"/>
        <w:spacing w:after="120"/>
        <w:ind w:firstLine="720"/>
        <w:rPr>
          <w:snapToGrid/>
          <w:kern w:val="0"/>
          <w:szCs w:val="22"/>
        </w:rPr>
      </w:pPr>
      <w:r w:rsidRPr="00B02A93">
        <w:rPr>
          <w:snapToGrid/>
          <w:kern w:val="0"/>
          <w:szCs w:val="22"/>
        </w:rPr>
        <w:t xml:space="preserve">By this Public Notice, the Wireline Competition Bureau (Bureau) grants </w:t>
      </w:r>
      <w:r w:rsidRPr="00B02A93" w:rsidR="008774D9">
        <w:rPr>
          <w:snapToGrid/>
          <w:kern w:val="0"/>
          <w:szCs w:val="22"/>
        </w:rPr>
        <w:t>an application filed</w:t>
      </w:r>
      <w:r w:rsidRPr="005F5D60" w:rsidR="005F5D60">
        <w:rPr>
          <w:snapToGrid/>
          <w:kern w:val="0"/>
          <w:szCs w:val="22"/>
        </w:rPr>
        <w:t xml:space="preserve"> by </w:t>
      </w:r>
      <w:bookmarkStart w:id="1" w:name="_Hlk67917977"/>
      <w:r w:rsidRPr="005F5D60" w:rsidR="005F5D60">
        <w:rPr>
          <w:snapToGrid/>
          <w:kern w:val="0"/>
          <w:szCs w:val="22"/>
        </w:rPr>
        <w:t xml:space="preserve">AMG Technology Investment Group, LLC dba </w:t>
      </w:r>
      <w:r w:rsidRPr="005F5D60" w:rsidR="005F5D60">
        <w:rPr>
          <w:snapToGrid/>
          <w:kern w:val="0"/>
          <w:szCs w:val="22"/>
        </w:rPr>
        <w:t>Nextlink</w:t>
      </w:r>
      <w:r w:rsidRPr="005F5D60" w:rsidR="005F5D60">
        <w:rPr>
          <w:snapToGrid/>
          <w:kern w:val="0"/>
          <w:szCs w:val="22"/>
        </w:rPr>
        <w:t xml:space="preserve"> Internet (</w:t>
      </w:r>
      <w:r w:rsidRPr="005F5D60" w:rsidR="005F5D60">
        <w:rPr>
          <w:snapToGrid/>
          <w:kern w:val="0"/>
          <w:szCs w:val="22"/>
        </w:rPr>
        <w:t>Nextlink</w:t>
      </w:r>
      <w:r w:rsidRPr="005F5D60" w:rsidR="005F5D60">
        <w:rPr>
          <w:snapToGrid/>
          <w:kern w:val="0"/>
          <w:szCs w:val="22"/>
        </w:rPr>
        <w:t xml:space="preserve">) and Plains Internet, LLC (Plains) </w:t>
      </w:r>
      <w:bookmarkEnd w:id="1"/>
      <w:r w:rsidRPr="005F5D60" w:rsidR="005F5D60">
        <w:rPr>
          <w:snapToGrid/>
          <w:kern w:val="0"/>
          <w:szCs w:val="22"/>
        </w:rPr>
        <w:t>(collectively, Applicants)</w:t>
      </w:r>
      <w:r w:rsidRPr="00B02A93" w:rsidR="008774D9">
        <w:rPr>
          <w:snapToGrid/>
          <w:kern w:val="0"/>
          <w:szCs w:val="22"/>
        </w:rPr>
        <w:t>, pursuant to section 214 of the Communications Act of 1934, as amended</w:t>
      </w:r>
      <w:r w:rsidR="009556CA">
        <w:rPr>
          <w:snapToGrid/>
          <w:kern w:val="0"/>
          <w:szCs w:val="22"/>
        </w:rPr>
        <w:t xml:space="preserve"> (Act)</w:t>
      </w:r>
      <w:r w:rsidRPr="00B02A93" w:rsidR="008774D9">
        <w:rPr>
          <w:snapToGrid/>
          <w:kern w:val="0"/>
          <w:szCs w:val="22"/>
        </w:rPr>
        <w:t xml:space="preserve">, and sections 63.03-04 of the Commission’s rules, </w:t>
      </w:r>
      <w:r w:rsidRPr="005F5D60" w:rsidR="005F5D60">
        <w:rPr>
          <w:snapToGrid/>
          <w:kern w:val="0"/>
          <w:szCs w:val="22"/>
        </w:rPr>
        <w:t>requesting approval for the transfer of domestic section 214 authorizations between the Applicants</w:t>
      </w:r>
      <w:r w:rsidRPr="00B02A93" w:rsidR="008774D9">
        <w:rPr>
          <w:snapToGrid/>
          <w:kern w:val="0"/>
          <w:szCs w:val="22"/>
        </w:rPr>
        <w:t>.</w:t>
      </w:r>
      <w:r>
        <w:rPr>
          <w:snapToGrid/>
          <w:kern w:val="0"/>
          <w:szCs w:val="22"/>
          <w:vertAlign w:val="superscript"/>
        </w:rPr>
        <w:footnoteReference w:id="3"/>
      </w:r>
      <w:r w:rsidRPr="00B02A93" w:rsidR="008774D9">
        <w:rPr>
          <w:snapToGrid/>
          <w:kern w:val="0"/>
          <w:szCs w:val="22"/>
        </w:rPr>
        <w:t xml:space="preserve">  </w:t>
      </w:r>
    </w:p>
    <w:p w:rsidR="005614FA" w:rsidRPr="00B02A93" w:rsidP="00960B05" w14:paraId="67628BEE" w14:textId="24B0C57F">
      <w:pPr>
        <w:widowControl/>
        <w:autoSpaceDE w:val="0"/>
        <w:autoSpaceDN w:val="0"/>
        <w:adjustRightInd w:val="0"/>
        <w:spacing w:after="120"/>
        <w:ind w:firstLine="720"/>
        <w:rPr>
          <w:snapToGrid/>
          <w:kern w:val="0"/>
          <w:szCs w:val="22"/>
        </w:rPr>
      </w:pPr>
      <w:r w:rsidRPr="00B02A93">
        <w:rPr>
          <w:szCs w:val="22"/>
        </w:rPr>
        <w:t xml:space="preserve">On </w:t>
      </w:r>
      <w:r w:rsidR="005A3ADF">
        <w:rPr>
          <w:szCs w:val="22"/>
        </w:rPr>
        <w:t>July 14</w:t>
      </w:r>
      <w:r w:rsidRPr="00B02A93">
        <w:rPr>
          <w:szCs w:val="22"/>
        </w:rPr>
        <w:t xml:space="preserve">, </w:t>
      </w:r>
      <w:r w:rsidRPr="00960B05">
        <w:rPr>
          <w:snapToGrid/>
          <w:kern w:val="0"/>
          <w:szCs w:val="22"/>
        </w:rPr>
        <w:t>2021</w:t>
      </w:r>
      <w:r w:rsidRPr="00B02A93">
        <w:rPr>
          <w:szCs w:val="22"/>
        </w:rPr>
        <w:t>, the Bureau released a public notice seeking comment on the Application.</w:t>
      </w:r>
      <w:r>
        <w:rPr>
          <w:rStyle w:val="FootnoteReference"/>
          <w:szCs w:val="22"/>
        </w:rPr>
        <w:footnoteReference w:id="4"/>
      </w:r>
      <w:r w:rsidRPr="00B02A93">
        <w:rPr>
          <w:szCs w:val="22"/>
        </w:rPr>
        <w:t xml:space="preserve">  </w:t>
      </w:r>
      <w:r w:rsidRPr="00B02A93" w:rsidR="00AB3596">
        <w:rPr>
          <w:szCs w:val="22"/>
        </w:rPr>
        <w:t xml:space="preserve">The Bureau </w:t>
      </w:r>
      <w:r w:rsidRPr="00B02A93">
        <w:rPr>
          <w:szCs w:val="22"/>
        </w:rPr>
        <w:t>did not receive comments or petitions in opposition to the Application.</w:t>
      </w:r>
      <w:r w:rsidRPr="00B02A93" w:rsidR="0085777F">
        <w:rPr>
          <w:snapToGrid/>
          <w:kern w:val="0"/>
          <w:szCs w:val="22"/>
        </w:rPr>
        <w:t xml:space="preserve"> </w:t>
      </w:r>
    </w:p>
    <w:p w:rsidR="008D5B54" w:rsidRPr="00B02A93" w:rsidP="00960B05" w14:paraId="4A9F1894" w14:textId="77777777">
      <w:pPr>
        <w:widowControl/>
        <w:autoSpaceDE w:val="0"/>
        <w:autoSpaceDN w:val="0"/>
        <w:adjustRightInd w:val="0"/>
        <w:spacing w:after="120"/>
        <w:rPr>
          <w:b/>
          <w:bCs/>
          <w:snapToGrid/>
          <w:kern w:val="0"/>
          <w:szCs w:val="22"/>
          <w:u w:val="single"/>
        </w:rPr>
      </w:pPr>
      <w:r w:rsidRPr="00B02A93">
        <w:rPr>
          <w:b/>
          <w:bCs/>
          <w:snapToGrid/>
          <w:kern w:val="0"/>
          <w:szCs w:val="22"/>
          <w:u w:val="single"/>
        </w:rPr>
        <w:t>Applicants and Description of Transaction</w:t>
      </w:r>
    </w:p>
    <w:p w:rsidR="006C28BB" w:rsidP="00960B05" w14:paraId="2E0ED705" w14:textId="7A77EA84">
      <w:pPr>
        <w:widowControl/>
        <w:autoSpaceDE w:val="0"/>
        <w:autoSpaceDN w:val="0"/>
        <w:adjustRightInd w:val="0"/>
        <w:spacing w:after="120"/>
        <w:ind w:firstLine="720"/>
        <w:rPr>
          <w:rFonts w:ascii="TimesNewRomanPSMT" w:hAnsi="TimesNewRomanPSMT" w:cs="TimesNewRomanPSMT"/>
          <w:szCs w:val="22"/>
        </w:rPr>
      </w:pPr>
      <w:r w:rsidRPr="006C28BB">
        <w:rPr>
          <w:rFonts w:ascii="TimesNewRomanPSMT" w:hAnsi="TimesNewRomanPSMT" w:cs="TimesNewRomanPSMT"/>
          <w:szCs w:val="22"/>
        </w:rPr>
        <w:t>Nextlink</w:t>
      </w:r>
      <w:r w:rsidRPr="006C28BB">
        <w:rPr>
          <w:rFonts w:ascii="TimesNewRomanPSMT" w:hAnsi="TimesNewRomanPSMT" w:cs="TimesNewRomanPSMT"/>
          <w:szCs w:val="22"/>
        </w:rPr>
        <w:t>, a Texas limited liability company, is an eligible telecommunications carrier (ETC) in Texas.</w:t>
      </w:r>
      <w:r>
        <w:rPr>
          <w:rFonts w:ascii="TimesNewRomanPSMT" w:hAnsi="TimesNewRomanPSMT" w:cs="TimesNewRomanPSMT"/>
          <w:szCs w:val="22"/>
          <w:vertAlign w:val="superscript"/>
        </w:rPr>
        <w:footnoteReference w:id="5"/>
      </w:r>
      <w:r w:rsidRPr="006C28BB">
        <w:rPr>
          <w:rFonts w:ascii="TimesNewRomanPSMT" w:hAnsi="TimesNewRomanPSMT" w:cs="TimesNewRomanPSMT"/>
          <w:szCs w:val="22"/>
        </w:rPr>
        <w:t xml:space="preserve">  It also offers broadband and voice service to residential and business customers in rural communities in Illinois, Iowa, Kansas, Nebraska, Oklahoma, and Texas.</w:t>
      </w:r>
      <w:r>
        <w:rPr>
          <w:rFonts w:ascii="TimesNewRomanPSMT" w:hAnsi="TimesNewRomanPSMT" w:cs="TimesNewRomanPSMT"/>
          <w:szCs w:val="22"/>
          <w:vertAlign w:val="superscript"/>
        </w:rPr>
        <w:footnoteReference w:id="6"/>
      </w:r>
      <w:r w:rsidRPr="006C28BB">
        <w:rPr>
          <w:rFonts w:ascii="TimesNewRomanPSMT" w:hAnsi="TimesNewRomanPSMT" w:cs="TimesNewRomanPSMT"/>
          <w:szCs w:val="22"/>
        </w:rPr>
        <w:t xml:space="preserve">  The applicants state that Como Wireless LLC, a Texas limited liability company, owns 85.42% of AMG Technology Investment Group, </w:t>
      </w:r>
      <w:r w:rsidRPr="006C28BB">
        <w:rPr>
          <w:rFonts w:ascii="TimesNewRomanPSMT" w:hAnsi="TimesNewRomanPSMT" w:cs="TimesNewRomanPSMT"/>
          <w:szCs w:val="22"/>
        </w:rPr>
        <w:t>LLC;</w:t>
      </w:r>
      <w:r w:rsidRPr="006C28BB">
        <w:rPr>
          <w:rFonts w:ascii="TimesNewRomanPSMT" w:hAnsi="TimesNewRomanPSMT" w:cs="TimesNewRomanPSMT"/>
          <w:szCs w:val="22"/>
        </w:rPr>
        <w:t xml:space="preserve"> Como Investments LLC, a Texas limited liability company, owns 93.95% of Como Wireless LLC; </w:t>
      </w:r>
      <w:r w:rsidRPr="006C28BB">
        <w:rPr>
          <w:rFonts w:ascii="TimesNewRomanPSMT" w:hAnsi="TimesNewRomanPSMT" w:cs="TimesNewRomanPSMT"/>
          <w:szCs w:val="22"/>
        </w:rPr>
        <w:t xml:space="preserve">William Baker, a U.S. citizen, owns 100% of Como Investments LLC; and no other entity or individual holds a 10% or </w:t>
      </w:r>
      <w:r w:rsidRPr="00976938">
        <w:rPr>
          <w:szCs w:val="22"/>
        </w:rPr>
        <w:t>greater</w:t>
      </w:r>
      <w:r w:rsidRPr="006C28BB">
        <w:rPr>
          <w:rFonts w:ascii="TimesNewRomanPSMT" w:hAnsi="TimesNewRomanPSMT" w:cs="TimesNewRomanPSMT"/>
          <w:szCs w:val="22"/>
        </w:rPr>
        <w:t xml:space="preserve"> interest in </w:t>
      </w:r>
      <w:r w:rsidRPr="006C28BB">
        <w:rPr>
          <w:rFonts w:ascii="TimesNewRomanPSMT" w:hAnsi="TimesNewRomanPSMT" w:cs="TimesNewRomanPSMT"/>
          <w:szCs w:val="22"/>
        </w:rPr>
        <w:t>Nextlink</w:t>
      </w:r>
      <w:r w:rsidRPr="006C28BB">
        <w:rPr>
          <w:rFonts w:ascii="TimesNewRomanPSMT" w:hAnsi="TimesNewRomanPSMT" w:cs="TimesNewRomanPSMT"/>
          <w:szCs w:val="22"/>
        </w:rPr>
        <w:t>.</w:t>
      </w:r>
      <w:r>
        <w:rPr>
          <w:rFonts w:ascii="TimesNewRomanPSMT" w:hAnsi="TimesNewRomanPSMT" w:cs="TimesNewRomanPSMT"/>
          <w:szCs w:val="22"/>
          <w:vertAlign w:val="superscript"/>
        </w:rPr>
        <w:footnoteReference w:id="7"/>
      </w:r>
      <w:r w:rsidRPr="006C28BB">
        <w:rPr>
          <w:rFonts w:ascii="TimesNewRomanPSMT" w:hAnsi="TimesNewRomanPSMT" w:cs="TimesNewRomanPSMT"/>
          <w:szCs w:val="22"/>
        </w:rPr>
        <w:t xml:space="preserve">  </w:t>
      </w:r>
    </w:p>
    <w:p w:rsidR="00976938" w:rsidP="00960B05" w14:paraId="36E8825E" w14:textId="78093B87">
      <w:pPr>
        <w:autoSpaceDE w:val="0"/>
        <w:autoSpaceDN w:val="0"/>
        <w:adjustRightInd w:val="0"/>
        <w:spacing w:after="120"/>
        <w:ind w:firstLine="720"/>
        <w:rPr>
          <w:szCs w:val="22"/>
        </w:rPr>
      </w:pPr>
      <w:r w:rsidRPr="00976938">
        <w:rPr>
          <w:szCs w:val="22"/>
        </w:rPr>
        <w:t>Plains, a Texas limited liability company, is an ETC in Texas.</w:t>
      </w:r>
      <w:r>
        <w:rPr>
          <w:szCs w:val="22"/>
          <w:vertAlign w:val="superscript"/>
        </w:rPr>
        <w:footnoteReference w:id="8"/>
      </w:r>
      <w:r w:rsidRPr="00976938">
        <w:rPr>
          <w:szCs w:val="22"/>
        </w:rPr>
        <w:t xml:space="preserve">  It also offers broadband and voice service to rural communities in Texas and New Mexico and in several other states.</w:t>
      </w:r>
      <w:r>
        <w:rPr>
          <w:szCs w:val="22"/>
          <w:vertAlign w:val="superscript"/>
        </w:rPr>
        <w:footnoteReference w:id="9"/>
      </w:r>
      <w:r w:rsidRPr="00976938">
        <w:rPr>
          <w:szCs w:val="22"/>
        </w:rPr>
        <w:t xml:space="preserve">  Applicants state that Plains is 100% owned by Joseph Monroe, a U.S. citizen, and no other entity or individual holds a 10% or greater interest in Plains.</w:t>
      </w:r>
      <w:r>
        <w:rPr>
          <w:szCs w:val="22"/>
          <w:vertAlign w:val="superscript"/>
        </w:rPr>
        <w:footnoteReference w:id="10"/>
      </w:r>
    </w:p>
    <w:p w:rsidR="00D81F91" w:rsidP="00960B05" w14:paraId="2DD0AF75" w14:textId="508499BA">
      <w:pPr>
        <w:autoSpaceDE w:val="0"/>
        <w:autoSpaceDN w:val="0"/>
        <w:adjustRightInd w:val="0"/>
        <w:spacing w:after="120"/>
        <w:ind w:firstLine="720"/>
        <w:rPr>
          <w:bCs/>
          <w:snapToGrid/>
          <w:kern w:val="0"/>
          <w:szCs w:val="22"/>
        </w:rPr>
      </w:pPr>
      <w:r w:rsidRPr="00D81F91">
        <w:rPr>
          <w:snapToGrid/>
          <w:kern w:val="0"/>
          <w:szCs w:val="22"/>
        </w:rPr>
        <w:t xml:space="preserve">Pursuant to the terms of the proposed transaction, the Applicants have agreed to exchange their respective obligations as </w:t>
      </w:r>
      <w:r w:rsidR="00E169CC">
        <w:rPr>
          <w:snapToGrid/>
          <w:kern w:val="0"/>
          <w:szCs w:val="22"/>
        </w:rPr>
        <w:t>Connect America Fund (</w:t>
      </w:r>
      <w:r w:rsidRPr="00D81F91">
        <w:rPr>
          <w:snapToGrid/>
          <w:kern w:val="0"/>
          <w:szCs w:val="22"/>
        </w:rPr>
        <w:t>CAF</w:t>
      </w:r>
      <w:r w:rsidR="00E169CC">
        <w:rPr>
          <w:snapToGrid/>
          <w:kern w:val="0"/>
          <w:szCs w:val="22"/>
        </w:rPr>
        <w:t>)</w:t>
      </w:r>
      <w:r w:rsidRPr="00D81F91">
        <w:rPr>
          <w:snapToGrid/>
          <w:kern w:val="0"/>
          <w:szCs w:val="22"/>
        </w:rPr>
        <w:t xml:space="preserve"> recipients in certain census blocks in Texas.</w:t>
      </w:r>
      <w:r>
        <w:rPr>
          <w:snapToGrid/>
          <w:kern w:val="0"/>
          <w:szCs w:val="22"/>
          <w:vertAlign w:val="superscript"/>
        </w:rPr>
        <w:footnoteReference w:id="11"/>
      </w:r>
      <w:r w:rsidRPr="00D81F91">
        <w:rPr>
          <w:snapToGrid/>
          <w:kern w:val="0"/>
          <w:szCs w:val="22"/>
        </w:rPr>
        <w:t xml:space="preserve">  </w:t>
      </w:r>
      <w:r w:rsidRPr="00E169CC" w:rsidR="00E169CC">
        <w:rPr>
          <w:snapToGrid/>
          <w:kern w:val="0"/>
          <w:szCs w:val="22"/>
        </w:rPr>
        <w:t>Applicants specifically seek approval for the “reciprocal assumption of obligations associated with CAF Phase II census blocks in Texas,</w:t>
      </w:r>
      <w:r w:rsidRPr="00E169CC" w:rsidR="00E169CC">
        <w:rPr>
          <w:snapToGrid/>
          <w:kern w:val="0"/>
          <w:szCs w:val="22"/>
          <w:vertAlign w:val="superscript"/>
        </w:rPr>
        <w:t xml:space="preserve"> </w:t>
      </w:r>
      <w:r w:rsidRPr="00E169CC" w:rsidR="00E169CC">
        <w:rPr>
          <w:snapToGrid/>
          <w:kern w:val="0"/>
          <w:szCs w:val="22"/>
        </w:rPr>
        <w:t xml:space="preserve"> as follows: (1) Plains to assume certain </w:t>
      </w:r>
      <w:r w:rsidRPr="00E169CC" w:rsidR="00E169CC">
        <w:rPr>
          <w:snapToGrid/>
          <w:kern w:val="0"/>
          <w:szCs w:val="22"/>
        </w:rPr>
        <w:t>Nextlink</w:t>
      </w:r>
      <w:r w:rsidRPr="00E169CC" w:rsidR="00E169CC">
        <w:rPr>
          <w:snapToGrid/>
          <w:kern w:val="0"/>
          <w:szCs w:val="22"/>
        </w:rPr>
        <w:t xml:space="preserve"> obligations in the Texas panhandle, and (2) </w:t>
      </w:r>
      <w:r w:rsidRPr="00E169CC" w:rsidR="00E169CC">
        <w:rPr>
          <w:snapToGrid/>
          <w:kern w:val="0"/>
          <w:szCs w:val="22"/>
        </w:rPr>
        <w:t>Nextlink</w:t>
      </w:r>
      <w:r w:rsidRPr="00E169CC" w:rsidR="00E169CC">
        <w:rPr>
          <w:snapToGrid/>
          <w:kern w:val="0"/>
          <w:szCs w:val="22"/>
        </w:rPr>
        <w:t xml:space="preserve"> to assume certain Plains obligations in Llano County, Texas.</w:t>
      </w:r>
      <w:bookmarkStart w:id="5" w:name="_Hlk72758776"/>
      <w:r w:rsidRPr="00E169CC" w:rsidR="00E169CC">
        <w:rPr>
          <w:snapToGrid/>
          <w:kern w:val="0"/>
          <w:szCs w:val="22"/>
        </w:rPr>
        <w:t>”</w:t>
      </w:r>
      <w:r>
        <w:rPr>
          <w:snapToGrid/>
          <w:kern w:val="0"/>
          <w:szCs w:val="22"/>
          <w:vertAlign w:val="superscript"/>
        </w:rPr>
        <w:footnoteReference w:id="12"/>
      </w:r>
      <w:bookmarkEnd w:id="5"/>
      <w:r w:rsidRPr="00E169CC" w:rsidR="00E169CC">
        <w:rPr>
          <w:snapToGrid/>
          <w:kern w:val="0"/>
          <w:szCs w:val="22"/>
        </w:rPr>
        <w:t xml:space="preserve">  </w:t>
      </w:r>
      <w:r w:rsidRPr="00D81F91">
        <w:rPr>
          <w:snapToGrid/>
          <w:kern w:val="0"/>
          <w:szCs w:val="22"/>
        </w:rPr>
        <w:t xml:space="preserve">Neither Applicant has commenced </w:t>
      </w:r>
      <w:r w:rsidRPr="00D81F91">
        <w:rPr>
          <w:szCs w:val="22"/>
        </w:rPr>
        <w:t>construction</w:t>
      </w:r>
      <w:r w:rsidRPr="00D81F91">
        <w:rPr>
          <w:snapToGrid/>
          <w:kern w:val="0"/>
          <w:szCs w:val="22"/>
        </w:rPr>
        <w:t xml:space="preserve"> or deployed service in the census blocks it has agreed to exchange.</w:t>
      </w:r>
      <w:r>
        <w:rPr>
          <w:snapToGrid/>
          <w:kern w:val="0"/>
          <w:szCs w:val="22"/>
          <w:vertAlign w:val="superscript"/>
        </w:rPr>
        <w:footnoteReference w:id="13"/>
      </w:r>
      <w:r w:rsidRPr="00D81F91">
        <w:rPr>
          <w:bCs/>
          <w:snapToGrid/>
          <w:kern w:val="0"/>
          <w:szCs w:val="22"/>
        </w:rPr>
        <w:t xml:space="preserve">  </w:t>
      </w:r>
    </w:p>
    <w:p w:rsidR="00143076" w:rsidRPr="00143076" w:rsidP="00143076" w14:paraId="4ED17AAC" w14:textId="12326782">
      <w:pPr>
        <w:widowControl/>
        <w:autoSpaceDE w:val="0"/>
        <w:autoSpaceDN w:val="0"/>
        <w:adjustRightInd w:val="0"/>
        <w:spacing w:after="120"/>
        <w:ind w:firstLine="720"/>
        <w:rPr>
          <w:bCs/>
          <w:szCs w:val="22"/>
        </w:rPr>
      </w:pPr>
      <w:r>
        <w:rPr>
          <w:bCs/>
          <w:szCs w:val="22"/>
        </w:rPr>
        <w:t>Applicants assert that a grant of the Application would serve the public interest, convenience, and necessity.  They</w:t>
      </w:r>
      <w:r>
        <w:t xml:space="preserve"> state that the proposed transaction would be transparent to customers and that “no carrier change charges will result from the transaction, and no customer service or billing contact information will change as a result of the transaction.”</w:t>
      </w:r>
      <w:r>
        <w:rPr>
          <w:rStyle w:val="FootnoteReference"/>
        </w:rPr>
        <w:footnoteReference w:id="14"/>
      </w:r>
      <w:r>
        <w:rPr>
          <w:szCs w:val="22"/>
        </w:rPr>
        <w:t xml:space="preserve">  </w:t>
      </w:r>
      <w:r>
        <w:t>Applicants</w:t>
      </w:r>
      <w:r>
        <w:rPr>
          <w:szCs w:val="22"/>
        </w:rPr>
        <w:t xml:space="preserve"> maintain</w:t>
      </w:r>
      <w:r>
        <w:t xml:space="preserve"> that each has the “necessary managerial and operational expertise to meet the buildout and performance obligations it will be assuming upon consummation of the exchange pursuant to the Application.”</w:t>
      </w:r>
      <w:r>
        <w:rPr>
          <w:rStyle w:val="FootnoteReference"/>
        </w:rPr>
        <w:footnoteReference w:id="15"/>
      </w:r>
      <w:r>
        <w:t xml:space="preserve">  They further assert that</w:t>
      </w:r>
      <w:r>
        <w:rPr>
          <w:szCs w:val="22"/>
        </w:rPr>
        <w:t xml:space="preserve"> “[t]he transaction will benefit future customers by enabling each Applicant to deploy CAF facilities in a more efficient </w:t>
      </w:r>
      <w:r>
        <w:rPr>
          <w:szCs w:val="22"/>
        </w:rPr>
        <w:t>manner because the obligations each seeks to assume are for census blocks in closer proximity to its existing network and other CAF‐supported census blocks.”</w:t>
      </w:r>
      <w:r>
        <w:rPr>
          <w:rStyle w:val="FootnoteReference"/>
          <w:szCs w:val="22"/>
        </w:rPr>
        <w:footnoteReference w:id="16"/>
      </w:r>
      <w:r>
        <w:t xml:space="preserve"> </w:t>
      </w:r>
    </w:p>
    <w:p w:rsidR="008D5B54" w:rsidRPr="00B02A93" w:rsidP="006C1880" w14:paraId="460F2DA2" w14:textId="77777777">
      <w:pPr>
        <w:keepNext/>
        <w:widowControl/>
        <w:autoSpaceDE w:val="0"/>
        <w:autoSpaceDN w:val="0"/>
        <w:adjustRightInd w:val="0"/>
        <w:spacing w:after="120"/>
        <w:rPr>
          <w:b/>
          <w:bCs/>
          <w:szCs w:val="22"/>
          <w:u w:val="single"/>
        </w:rPr>
      </w:pPr>
      <w:r w:rsidRPr="00B02A93">
        <w:rPr>
          <w:b/>
          <w:bCs/>
          <w:szCs w:val="22"/>
          <w:u w:val="single"/>
        </w:rPr>
        <w:t>Discussion</w:t>
      </w:r>
    </w:p>
    <w:p w:rsidR="00CF6523" w:rsidP="005A7365" w14:paraId="53690B39" w14:textId="7EC1CDE5">
      <w:pPr>
        <w:widowControl/>
        <w:autoSpaceDE w:val="0"/>
        <w:autoSpaceDN w:val="0"/>
        <w:adjustRightInd w:val="0"/>
        <w:spacing w:after="120"/>
        <w:ind w:firstLine="720"/>
        <w:rPr>
          <w:snapToGrid/>
          <w:kern w:val="0"/>
          <w:szCs w:val="22"/>
        </w:rPr>
      </w:pPr>
      <w:r w:rsidRPr="00B02A93">
        <w:rPr>
          <w:szCs w:val="22"/>
        </w:rPr>
        <w:t xml:space="preserve">We find, upon </w:t>
      </w:r>
      <w:r w:rsidRPr="001A7655">
        <w:rPr>
          <w:szCs w:val="22"/>
        </w:rPr>
        <w:t xml:space="preserve">consideration </w:t>
      </w:r>
      <w:r w:rsidRPr="00B02A93">
        <w:rPr>
          <w:szCs w:val="22"/>
        </w:rPr>
        <w:t>of the record, that grant of the Application will serve the public interest, convenience, and necessity.</w:t>
      </w:r>
      <w:r>
        <w:rPr>
          <w:szCs w:val="22"/>
          <w:vertAlign w:val="superscript"/>
        </w:rPr>
        <w:footnoteReference w:id="17"/>
      </w:r>
      <w:r w:rsidRPr="00B02A93">
        <w:rPr>
          <w:szCs w:val="22"/>
        </w:rPr>
        <w:t xml:space="preserve">  </w:t>
      </w:r>
      <w:r>
        <w:rPr>
          <w:color w:val="000000"/>
          <w:szCs w:val="22"/>
        </w:rPr>
        <w:t xml:space="preserve">As </w:t>
      </w:r>
      <w:r w:rsidRPr="00880227">
        <w:rPr>
          <w:szCs w:val="22"/>
        </w:rPr>
        <w:t xml:space="preserve">Applicants </w:t>
      </w:r>
      <w:r>
        <w:rPr>
          <w:szCs w:val="22"/>
        </w:rPr>
        <w:t xml:space="preserve">explain, </w:t>
      </w:r>
      <w:r>
        <w:rPr>
          <w:snapToGrid/>
          <w:kern w:val="0"/>
          <w:szCs w:val="22"/>
        </w:rPr>
        <w:t>n</w:t>
      </w:r>
      <w:r w:rsidRPr="00D81F91">
        <w:rPr>
          <w:snapToGrid/>
          <w:kern w:val="0"/>
          <w:szCs w:val="22"/>
        </w:rPr>
        <w:t xml:space="preserve">either Applicant has commenced </w:t>
      </w:r>
      <w:r w:rsidRPr="00D81F91">
        <w:rPr>
          <w:szCs w:val="22"/>
        </w:rPr>
        <w:t>construction</w:t>
      </w:r>
      <w:r w:rsidRPr="00D81F91">
        <w:rPr>
          <w:snapToGrid/>
          <w:kern w:val="0"/>
          <w:szCs w:val="22"/>
        </w:rPr>
        <w:t xml:space="preserve"> or deployed service in the census blocks it has agreed to exchange</w:t>
      </w:r>
      <w:r w:rsidR="00C5129F">
        <w:rPr>
          <w:snapToGrid/>
          <w:kern w:val="0"/>
          <w:szCs w:val="22"/>
        </w:rPr>
        <w:t>,</w:t>
      </w:r>
      <w:r>
        <w:rPr>
          <w:snapToGrid/>
          <w:kern w:val="0"/>
          <w:szCs w:val="22"/>
          <w:vertAlign w:val="superscript"/>
        </w:rPr>
        <w:footnoteReference w:id="18"/>
      </w:r>
      <w:r w:rsidRPr="00D81F91" w:rsidR="00C5129F">
        <w:rPr>
          <w:bCs/>
          <w:snapToGrid/>
          <w:kern w:val="0"/>
          <w:szCs w:val="22"/>
        </w:rPr>
        <w:t xml:space="preserve"> </w:t>
      </w:r>
      <w:r w:rsidR="00C5129F">
        <w:rPr>
          <w:snapToGrid/>
          <w:kern w:val="0"/>
          <w:szCs w:val="22"/>
        </w:rPr>
        <w:t>but each has been authorized by the Commission to receive CAF support and has attested that it has the necessary managerial and operational expertise to meet the buildout and performance obligations it will be assuming</w:t>
      </w:r>
      <w:r w:rsidR="00FB0DCC">
        <w:rPr>
          <w:snapToGrid/>
          <w:kern w:val="0"/>
          <w:szCs w:val="22"/>
        </w:rPr>
        <w:t>.</w:t>
      </w:r>
      <w:r>
        <w:rPr>
          <w:rStyle w:val="FootnoteReference"/>
          <w:snapToGrid/>
          <w:kern w:val="0"/>
          <w:szCs w:val="22"/>
        </w:rPr>
        <w:footnoteReference w:id="19"/>
      </w:r>
      <w:r w:rsidRPr="00D81F91">
        <w:rPr>
          <w:bCs/>
          <w:snapToGrid/>
          <w:kern w:val="0"/>
          <w:szCs w:val="22"/>
        </w:rPr>
        <w:t xml:space="preserve"> </w:t>
      </w:r>
      <w:r w:rsidR="00FB0DCC">
        <w:rPr>
          <w:bCs/>
          <w:snapToGrid/>
          <w:kern w:val="0"/>
          <w:szCs w:val="22"/>
        </w:rPr>
        <w:t xml:space="preserve"> </w:t>
      </w:r>
      <w:r w:rsidRPr="00880227">
        <w:rPr>
          <w:szCs w:val="22"/>
        </w:rPr>
        <w:t xml:space="preserve">There are no adverse competitive harms resulting from the proposed transaction, and no commenter has raised claims of other potential harms.  </w:t>
      </w:r>
      <w:r>
        <w:rPr>
          <w:szCs w:val="22"/>
        </w:rPr>
        <w:t>As proposed, Applicants state that the transaction will be transparent to customers, and therefore, we expect no</w:t>
      </w:r>
      <w:r w:rsidR="000C67E7">
        <w:rPr>
          <w:szCs w:val="22"/>
        </w:rPr>
        <w:t xml:space="preserve"> additional customer expense or inconvenience to result from the transaction.</w:t>
      </w:r>
      <w:r>
        <w:rPr>
          <w:rStyle w:val="FootnoteReference"/>
          <w:szCs w:val="22"/>
        </w:rPr>
        <w:footnoteReference w:id="20"/>
      </w:r>
      <w:r w:rsidR="00DE070F">
        <w:rPr>
          <w:snapToGrid/>
          <w:kern w:val="0"/>
          <w:szCs w:val="22"/>
        </w:rPr>
        <w:t xml:space="preserve">  </w:t>
      </w:r>
    </w:p>
    <w:p w:rsidR="00CB52EB" w:rsidRPr="005A7365" w:rsidP="005A7365" w14:paraId="18FB47C3" w14:textId="6C04B8C8">
      <w:pPr>
        <w:widowControl/>
        <w:autoSpaceDE w:val="0"/>
        <w:autoSpaceDN w:val="0"/>
        <w:adjustRightInd w:val="0"/>
        <w:spacing w:after="120"/>
        <w:ind w:firstLine="720"/>
      </w:pPr>
      <w:r>
        <w:rPr>
          <w:szCs w:val="22"/>
        </w:rPr>
        <w:t xml:space="preserve">In addition, we expect the proposed transaction </w:t>
      </w:r>
      <w:r w:rsidR="00C5129F">
        <w:rPr>
          <w:szCs w:val="22"/>
        </w:rPr>
        <w:t>may</w:t>
      </w:r>
      <w:r>
        <w:rPr>
          <w:szCs w:val="22"/>
        </w:rPr>
        <w:t xml:space="preserve"> benefit the public interest, particularly by </w:t>
      </w:r>
      <w:r w:rsidR="00306D00">
        <w:rPr>
          <w:szCs w:val="22"/>
        </w:rPr>
        <w:t xml:space="preserve">conserving public resources by </w:t>
      </w:r>
      <w:r>
        <w:rPr>
          <w:szCs w:val="22"/>
        </w:rPr>
        <w:t>enabling each Applicant to deploy CAF facilities more efficient</w:t>
      </w:r>
      <w:r w:rsidR="00003905">
        <w:rPr>
          <w:szCs w:val="22"/>
        </w:rPr>
        <w:t>ly.</w:t>
      </w:r>
      <w:r>
        <w:rPr>
          <w:rStyle w:val="FootnoteReference"/>
          <w:szCs w:val="22"/>
        </w:rPr>
        <w:footnoteReference w:id="21"/>
      </w:r>
      <w:r w:rsidR="00003905">
        <w:rPr>
          <w:szCs w:val="22"/>
        </w:rPr>
        <w:t xml:space="preserve">  Specifically, Applicants explain that this transaction is structured such that</w:t>
      </w:r>
      <w:r>
        <w:rPr>
          <w:szCs w:val="22"/>
        </w:rPr>
        <w:t xml:space="preserve"> the obligations each seeks to assume are for census blocks in closer proximity to its existing network and other CAF‐supported census blocks</w:t>
      </w:r>
      <w:r w:rsidR="00003905">
        <w:rPr>
          <w:szCs w:val="22"/>
        </w:rPr>
        <w:t>, allowing each to more efficiently build out its network to satisfy CAF obligations</w:t>
      </w:r>
      <w:r>
        <w:rPr>
          <w:szCs w:val="22"/>
        </w:rPr>
        <w:t>.</w:t>
      </w:r>
      <w:r>
        <w:rPr>
          <w:rStyle w:val="FootnoteReference"/>
          <w:szCs w:val="22"/>
        </w:rPr>
        <w:footnoteReference w:id="22"/>
      </w:r>
      <w:r w:rsidR="007A555E">
        <w:rPr>
          <w:szCs w:val="22"/>
        </w:rPr>
        <w:t xml:space="preserve">  </w:t>
      </w:r>
      <w:r w:rsidR="00747C64">
        <w:t>Applicants</w:t>
      </w:r>
      <w:r w:rsidR="007A555E">
        <w:t xml:space="preserve"> acknowledge that </w:t>
      </w:r>
      <w:r w:rsidR="005A7365">
        <w:t>they</w:t>
      </w:r>
      <w:r w:rsidRPr="005A7365" w:rsidR="005A7365">
        <w:t xml:space="preserve"> will meet all relevant CAF support obligations, including the requirement</w:t>
      </w:r>
      <w:r w:rsidR="005A7365">
        <w:t xml:space="preserve"> </w:t>
      </w:r>
      <w:r w:rsidRPr="005A7365" w:rsidR="005A7365">
        <w:t>to obtain revised letters of credit reflecting the adjusted support amounts resulting from the transaction.</w:t>
      </w:r>
      <w:r>
        <w:rPr>
          <w:rStyle w:val="FootnoteReference"/>
        </w:rPr>
        <w:footnoteReference w:id="23"/>
      </w:r>
      <w:r w:rsidRPr="005A7365" w:rsidR="005A7365">
        <w:t xml:space="preserve"> </w:t>
      </w:r>
      <w:r w:rsidR="005A7365">
        <w:t xml:space="preserve"> Applicants are responsible for ensuring that they remain financially and technically capable to fulfill the obligations required as a condition of receiving such support.  </w:t>
      </w:r>
    </w:p>
    <w:p w:rsidR="00D06F09" w:rsidP="00D0137A" w14:paraId="588EC071" w14:textId="0C31D4C2">
      <w:pPr>
        <w:widowControl/>
        <w:autoSpaceDE w:val="0"/>
        <w:autoSpaceDN w:val="0"/>
        <w:adjustRightInd w:val="0"/>
        <w:spacing w:after="120"/>
        <w:ind w:firstLine="720"/>
        <w:rPr>
          <w:szCs w:val="22"/>
        </w:rPr>
      </w:pPr>
      <w:r w:rsidRPr="00B02A93">
        <w:rPr>
          <w:szCs w:val="22"/>
        </w:rPr>
        <w:t xml:space="preserve">Therefore, pursuant to section 214 of the Act, 47 U.S.C. § 214, and sections 0.91, 0.291, </w:t>
      </w:r>
      <w:r w:rsidRPr="00B02A93">
        <w:rPr>
          <w:snapToGrid/>
          <w:kern w:val="0"/>
          <w:szCs w:val="22"/>
        </w:rPr>
        <w:t>63.03, and 63.04</w:t>
      </w:r>
      <w:r w:rsidRPr="00B02A93">
        <w:rPr>
          <w:szCs w:val="22"/>
        </w:rPr>
        <w:t xml:space="preserve"> of the Commission’s rules, 47 C</w:t>
      </w:r>
      <w:r w:rsidR="00F159B2">
        <w:rPr>
          <w:szCs w:val="22"/>
        </w:rPr>
        <w:t>.</w:t>
      </w:r>
      <w:r w:rsidRPr="00B02A93">
        <w:rPr>
          <w:szCs w:val="22"/>
        </w:rPr>
        <w:t>F</w:t>
      </w:r>
      <w:r w:rsidR="00F159B2">
        <w:rPr>
          <w:szCs w:val="22"/>
        </w:rPr>
        <w:t>.</w:t>
      </w:r>
      <w:r w:rsidRPr="00B02A93">
        <w:rPr>
          <w:szCs w:val="22"/>
        </w:rPr>
        <w:t>R</w:t>
      </w:r>
      <w:r w:rsidR="00F159B2">
        <w:rPr>
          <w:szCs w:val="22"/>
        </w:rPr>
        <w:t>.</w:t>
      </w:r>
      <w:r w:rsidRPr="00B02A93">
        <w:rPr>
          <w:szCs w:val="22"/>
        </w:rPr>
        <w:t xml:space="preserve"> §§ 0.91, 0.291, 63.03, and 63.04, the Bureau hereby grants the </w:t>
      </w:r>
      <w:r w:rsidRPr="00D0137A">
        <w:t>Application</w:t>
      </w:r>
      <w:r w:rsidRPr="00B02A93">
        <w:rPr>
          <w:szCs w:val="22"/>
        </w:rPr>
        <w:t xml:space="preserve"> discussed in this Public Notice.  </w:t>
      </w:r>
    </w:p>
    <w:p w:rsidR="002D7CCE" w:rsidRPr="00B02A93" w:rsidP="00D0137A" w14:paraId="110330C6" w14:textId="05CD2487">
      <w:pPr>
        <w:widowControl/>
        <w:autoSpaceDE w:val="0"/>
        <w:autoSpaceDN w:val="0"/>
        <w:adjustRightInd w:val="0"/>
        <w:spacing w:after="120"/>
        <w:ind w:firstLine="720"/>
        <w:rPr>
          <w:szCs w:val="22"/>
        </w:rPr>
      </w:pPr>
      <w:r w:rsidRPr="00B02A93">
        <w:rPr>
          <w:szCs w:val="22"/>
        </w:rPr>
        <w:t>Pursuant to section 1.103 of the Commission</w:t>
      </w:r>
      <w:r w:rsidR="00BC1F26">
        <w:rPr>
          <w:szCs w:val="22"/>
        </w:rPr>
        <w:t>’</w:t>
      </w:r>
      <w:r w:rsidRPr="00B02A93">
        <w:rPr>
          <w:szCs w:val="22"/>
        </w:rPr>
        <w:t>s rules, 47 C.F.R. § 1.103, the grant is effective upon release of this Public Notice.</w:t>
      </w:r>
      <w:r>
        <w:rPr>
          <w:szCs w:val="22"/>
          <w:vertAlign w:val="superscript"/>
        </w:rPr>
        <w:footnoteReference w:id="24"/>
      </w:r>
      <w:r w:rsidRPr="00B02A93">
        <w:rPr>
          <w:szCs w:val="22"/>
        </w:rPr>
        <w:t xml:space="preserve">  Petitions for reconsideration under section 1.106 or applications for review under section 1.115 of the Commission</w:t>
      </w:r>
      <w:r w:rsidR="00033AD2">
        <w:rPr>
          <w:szCs w:val="22"/>
        </w:rPr>
        <w:t>’</w:t>
      </w:r>
      <w:r w:rsidRPr="00B02A93">
        <w:rPr>
          <w:szCs w:val="22"/>
        </w:rPr>
        <w:t>s rules, 47 C.F.R. §§ 1.106, 1.115, may be filed within 30 days of the date of this Public Notice.</w:t>
      </w:r>
      <w:bookmarkStart w:id="8" w:name="FN[FN9]"/>
      <w:bookmarkStart w:id="9" w:name="sp_999_1"/>
      <w:bookmarkStart w:id="10" w:name="SDU_1"/>
      <w:bookmarkEnd w:id="8"/>
      <w:bookmarkEnd w:id="9"/>
      <w:bookmarkEnd w:id="10"/>
    </w:p>
    <w:p w:rsidR="002D7CCE" w:rsidRPr="00B02A93" w:rsidP="00986B91" w14:paraId="4272D04E" w14:textId="79B20C7F">
      <w:pPr>
        <w:ind w:firstLine="720"/>
        <w:rPr>
          <w:szCs w:val="22"/>
        </w:rPr>
      </w:pPr>
      <w:bookmarkStart w:id="11" w:name="sp_999_2"/>
      <w:bookmarkStart w:id="12" w:name="SDU_2"/>
      <w:bookmarkEnd w:id="11"/>
      <w:bookmarkEnd w:id="12"/>
      <w:r w:rsidRPr="00B02A93">
        <w:rPr>
          <w:szCs w:val="22"/>
        </w:rPr>
        <w:t xml:space="preserve">For further information, please contact </w:t>
      </w:r>
      <w:r w:rsidR="005A3ADF">
        <w:rPr>
          <w:szCs w:val="22"/>
        </w:rPr>
        <w:t>Christi Shewman</w:t>
      </w:r>
      <w:r w:rsidRPr="00B02A93">
        <w:rPr>
          <w:szCs w:val="22"/>
        </w:rPr>
        <w:t>, Wireline Competition Bureau, Competition Policy Division, (202) 418-</w:t>
      </w:r>
      <w:r w:rsidR="005A3ADF">
        <w:rPr>
          <w:szCs w:val="22"/>
        </w:rPr>
        <w:t>0646</w:t>
      </w:r>
      <w:r w:rsidRPr="00B02A93">
        <w:rPr>
          <w:szCs w:val="22"/>
        </w:rPr>
        <w:t>.</w:t>
      </w:r>
    </w:p>
    <w:p w:rsidR="002D7CCE" w:rsidRPr="00B02A93" w:rsidP="002D7CCE" w14:paraId="49AE18E7" w14:textId="77777777">
      <w:pPr>
        <w:pStyle w:val="Default"/>
        <w:rPr>
          <w:color w:val="auto"/>
          <w:sz w:val="22"/>
          <w:szCs w:val="22"/>
        </w:rPr>
      </w:pPr>
    </w:p>
    <w:p w:rsidR="002D7CCE" w:rsidRPr="00B02A93" w:rsidP="002D7CCE" w14:paraId="36FE2438" w14:textId="77777777">
      <w:pPr>
        <w:pStyle w:val="Default"/>
        <w:jc w:val="center"/>
        <w:rPr>
          <w:b/>
          <w:bCs/>
          <w:color w:val="auto"/>
          <w:sz w:val="22"/>
          <w:szCs w:val="22"/>
        </w:rPr>
      </w:pPr>
      <w:r w:rsidRPr="00B02A93">
        <w:rPr>
          <w:b/>
          <w:bCs/>
          <w:color w:val="auto"/>
          <w:sz w:val="22"/>
          <w:szCs w:val="22"/>
        </w:rPr>
        <w:t>-FCC-</w:t>
      </w:r>
    </w:p>
    <w:p w:rsidR="00B17B13" w:rsidRPr="00B02A93" w:rsidP="00E61137" w14:paraId="1C186417"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55614C" w14:paraId="02F7F1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5AE7" w14:paraId="7CFEA2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910F12" w14:paraId="7385F844"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14:paraId="7AE8A7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1544" w14:paraId="025A6EB4" w14:textId="77777777">
      <w:r>
        <w:separator/>
      </w:r>
    </w:p>
  </w:footnote>
  <w:footnote w:type="continuationSeparator" w:id="1">
    <w:p w:rsidR="00C71544" w14:paraId="08816568" w14:textId="77777777">
      <w:pPr>
        <w:rPr>
          <w:sz w:val="20"/>
        </w:rPr>
      </w:pPr>
      <w:r>
        <w:rPr>
          <w:sz w:val="20"/>
        </w:rPr>
        <w:t xml:space="preserve">(Continued from previous page)  </w:t>
      </w:r>
      <w:r>
        <w:rPr>
          <w:sz w:val="20"/>
        </w:rPr>
        <w:separator/>
      </w:r>
    </w:p>
  </w:footnote>
  <w:footnote w:type="continuationNotice" w:id="2">
    <w:p w:rsidR="00C71544" w:rsidP="00910F12" w14:paraId="37EC412F" w14:textId="77777777">
      <w:pPr>
        <w:jc w:val="right"/>
        <w:rPr>
          <w:sz w:val="20"/>
        </w:rPr>
      </w:pPr>
      <w:r>
        <w:rPr>
          <w:sz w:val="20"/>
        </w:rPr>
        <w:t>(continued….)</w:t>
      </w:r>
    </w:p>
  </w:footnote>
  <w:footnote w:id="3">
    <w:p w:rsidR="008774D9" w:rsidRPr="00746759" w:rsidP="008774D9" w14:paraId="06AD6A0E" w14:textId="2D36ABCA">
      <w:pPr>
        <w:spacing w:after="120"/>
        <w:rPr>
          <w:sz w:val="20"/>
        </w:rPr>
      </w:pPr>
      <w:r w:rsidRPr="00746759">
        <w:rPr>
          <w:rStyle w:val="FootnoteReference"/>
          <w:sz w:val="20"/>
        </w:rPr>
        <w:footnoteRef/>
      </w:r>
      <w:r w:rsidRPr="00746759">
        <w:rPr>
          <w:sz w:val="20"/>
        </w:rPr>
        <w:t xml:space="preserve"> </w:t>
      </w:r>
      <w:r w:rsidRPr="00746759">
        <w:rPr>
          <w:i/>
          <w:sz w:val="20"/>
        </w:rPr>
        <w:t>See</w:t>
      </w:r>
      <w:r w:rsidRPr="00746759">
        <w:rPr>
          <w:sz w:val="20"/>
        </w:rPr>
        <w:t xml:space="preserve"> 47 U.S.C. § 214; 47 C</w:t>
      </w:r>
      <w:r w:rsidR="005D7816">
        <w:rPr>
          <w:sz w:val="20"/>
        </w:rPr>
        <w:t>.</w:t>
      </w:r>
      <w:r w:rsidRPr="00746759">
        <w:rPr>
          <w:sz w:val="20"/>
        </w:rPr>
        <w:t>F</w:t>
      </w:r>
      <w:r w:rsidR="005D7816">
        <w:rPr>
          <w:sz w:val="20"/>
        </w:rPr>
        <w:t>.</w:t>
      </w:r>
      <w:r w:rsidRPr="00746759">
        <w:rPr>
          <w:sz w:val="20"/>
        </w:rPr>
        <w:t>R</w:t>
      </w:r>
      <w:r w:rsidR="005D7816">
        <w:rPr>
          <w:sz w:val="20"/>
        </w:rPr>
        <w:t>.</w:t>
      </w:r>
      <w:r w:rsidRPr="00746759">
        <w:rPr>
          <w:sz w:val="20"/>
        </w:rPr>
        <w:t xml:space="preserve"> § 63.03-04</w:t>
      </w:r>
      <w:r w:rsidR="00F61F48">
        <w:rPr>
          <w:sz w:val="20"/>
        </w:rPr>
        <w:t>;</w:t>
      </w:r>
      <w:r w:rsidRPr="00746759">
        <w:rPr>
          <w:sz w:val="20"/>
        </w:rPr>
        <w:t xml:space="preserve"> </w:t>
      </w:r>
      <w:r w:rsidRPr="005D7816" w:rsidR="005D7816">
        <w:rPr>
          <w:sz w:val="20"/>
        </w:rPr>
        <w:t xml:space="preserve">Joint Application for Consent to Assignment of AMG Technology Investment Group, LLC dba </w:t>
      </w:r>
      <w:r w:rsidRPr="005D7816" w:rsidR="005D7816">
        <w:rPr>
          <w:sz w:val="20"/>
        </w:rPr>
        <w:t>Nextlink</w:t>
      </w:r>
      <w:r w:rsidRPr="005D7816" w:rsidR="005D7816">
        <w:rPr>
          <w:sz w:val="20"/>
        </w:rPr>
        <w:t xml:space="preserve"> Internet and Plains Internet, LLC, for Consent to Assignment </w:t>
      </w:r>
      <w:r w:rsidR="005D7816">
        <w:rPr>
          <w:sz w:val="20"/>
        </w:rPr>
        <w:t>u</w:t>
      </w:r>
      <w:r w:rsidRPr="005D7816" w:rsidR="005D7816">
        <w:rPr>
          <w:sz w:val="20"/>
        </w:rPr>
        <w:t>nder Domestic Section 214 Authorizations, WC Docket No. 21-266 (filed June 17, 2021) (Application)</w:t>
      </w:r>
      <w:r w:rsidR="005D7816">
        <w:rPr>
          <w:sz w:val="20"/>
        </w:rPr>
        <w:t xml:space="preserve">.  </w:t>
      </w:r>
      <w:r w:rsidRPr="005D7816" w:rsidR="005D7816">
        <w:rPr>
          <w:sz w:val="20"/>
        </w:rPr>
        <w:t xml:space="preserve">On July 12, 2021, Applicants filed a supplement to their domestic section 214 application.  Letter from Stephen E. Coran, Counsel </w:t>
      </w:r>
      <w:r w:rsidR="005D7816">
        <w:rPr>
          <w:sz w:val="20"/>
        </w:rPr>
        <w:t>for</w:t>
      </w:r>
      <w:r w:rsidRPr="005D7816" w:rsidR="005D7816">
        <w:rPr>
          <w:sz w:val="20"/>
        </w:rPr>
        <w:t xml:space="preserve"> Applicants, to Marlene H. Dortch, Secretary, FCC, WC Docket No. 21-266 (filed July 12, 2021) (Supplement).  </w:t>
      </w:r>
      <w:r w:rsidRPr="00746759">
        <w:rPr>
          <w:sz w:val="20"/>
        </w:rPr>
        <w:t>Any action on this domestic section 214 application is without prejudice to Commission action on other related, pending applications</w:t>
      </w:r>
      <w:r w:rsidRPr="00746759">
        <w:rPr>
          <w:rFonts w:eastAsia="Calibri"/>
          <w:sz w:val="20"/>
        </w:rPr>
        <w:t>.</w:t>
      </w:r>
    </w:p>
  </w:footnote>
  <w:footnote w:id="4">
    <w:p w:rsidR="008774D9" w:rsidP="005F5D60" w14:paraId="45CA48F1" w14:textId="1BF582DF">
      <w:pPr>
        <w:spacing w:after="120"/>
      </w:pPr>
      <w:r>
        <w:rPr>
          <w:rStyle w:val="FootnoteReference"/>
        </w:rPr>
        <w:footnoteRef/>
      </w:r>
      <w:r>
        <w:t xml:space="preserve"> </w:t>
      </w:r>
      <w:bookmarkStart w:id="2" w:name="_Hlk519509475"/>
      <w:bookmarkStart w:id="3" w:name="_Hlk502044717"/>
      <w:bookmarkStart w:id="4" w:name="_Hlk516578398"/>
      <w:r w:rsidRPr="005F5D60" w:rsidR="005F5D60">
        <w:rPr>
          <w:rFonts w:eastAsia="Calibri"/>
          <w:i/>
          <w:iCs/>
          <w:sz w:val="20"/>
        </w:rPr>
        <w:t xml:space="preserve">Domestic Section 214 Application Filed </w:t>
      </w:r>
      <w:r w:rsidR="005F5D60">
        <w:rPr>
          <w:rFonts w:eastAsia="Calibri"/>
          <w:i/>
          <w:iCs/>
          <w:sz w:val="20"/>
        </w:rPr>
        <w:t>f</w:t>
      </w:r>
      <w:r w:rsidRPr="005F5D60" w:rsidR="005F5D60">
        <w:rPr>
          <w:rFonts w:eastAsia="Calibri"/>
          <w:i/>
          <w:iCs/>
          <w:sz w:val="20"/>
        </w:rPr>
        <w:t xml:space="preserve">or </w:t>
      </w:r>
      <w:r w:rsidR="005F5D60">
        <w:rPr>
          <w:rFonts w:eastAsia="Calibri"/>
          <w:i/>
          <w:iCs/>
          <w:sz w:val="20"/>
        </w:rPr>
        <w:t>t</w:t>
      </w:r>
      <w:r w:rsidRPr="005F5D60" w:rsidR="005F5D60">
        <w:rPr>
          <w:rFonts w:eastAsia="Calibri"/>
          <w:i/>
          <w:iCs/>
          <w:sz w:val="20"/>
        </w:rPr>
        <w:t xml:space="preserve">he Transfer </w:t>
      </w:r>
      <w:r w:rsidR="005F5D60">
        <w:rPr>
          <w:rFonts w:eastAsia="Calibri"/>
          <w:i/>
          <w:iCs/>
          <w:sz w:val="20"/>
        </w:rPr>
        <w:t>o</w:t>
      </w:r>
      <w:r w:rsidRPr="005F5D60" w:rsidR="005F5D60">
        <w:rPr>
          <w:rFonts w:eastAsia="Calibri"/>
          <w:i/>
          <w:iCs/>
          <w:sz w:val="20"/>
        </w:rPr>
        <w:t xml:space="preserve">f Certain Authorizations </w:t>
      </w:r>
      <w:r w:rsidR="005F5D60">
        <w:rPr>
          <w:rFonts w:eastAsia="Calibri"/>
          <w:i/>
          <w:iCs/>
          <w:sz w:val="20"/>
        </w:rPr>
        <w:t>o</w:t>
      </w:r>
      <w:r w:rsidRPr="005F5D60" w:rsidR="005F5D60">
        <w:rPr>
          <w:rFonts w:eastAsia="Calibri"/>
          <w:i/>
          <w:iCs/>
          <w:sz w:val="20"/>
        </w:rPr>
        <w:t>f A</w:t>
      </w:r>
      <w:r w:rsidR="005F5D60">
        <w:rPr>
          <w:rFonts w:eastAsia="Calibri"/>
          <w:i/>
          <w:iCs/>
          <w:sz w:val="20"/>
        </w:rPr>
        <w:t>MG</w:t>
      </w:r>
      <w:r w:rsidRPr="005F5D60" w:rsidR="005F5D60">
        <w:rPr>
          <w:rFonts w:eastAsia="Calibri"/>
          <w:i/>
          <w:iCs/>
          <w:sz w:val="20"/>
        </w:rPr>
        <w:t xml:space="preserve"> Technology Investment Group </w:t>
      </w:r>
      <w:r w:rsidR="00DA63CD">
        <w:rPr>
          <w:rFonts w:eastAsia="Calibri"/>
          <w:i/>
          <w:iCs/>
          <w:sz w:val="20"/>
        </w:rPr>
        <w:t>d</w:t>
      </w:r>
      <w:r w:rsidRPr="005F5D60" w:rsidR="005F5D60">
        <w:rPr>
          <w:rFonts w:eastAsia="Calibri"/>
          <w:i/>
          <w:iCs/>
          <w:sz w:val="20"/>
        </w:rPr>
        <w:t xml:space="preserve">ba </w:t>
      </w:r>
      <w:r w:rsidRPr="005F5D60" w:rsidR="005F5D60">
        <w:rPr>
          <w:rFonts w:eastAsia="Calibri"/>
          <w:i/>
          <w:iCs/>
          <w:sz w:val="20"/>
        </w:rPr>
        <w:t>Nextlink</w:t>
      </w:r>
      <w:r w:rsidRPr="005F5D60" w:rsidR="005F5D60">
        <w:rPr>
          <w:rFonts w:eastAsia="Calibri"/>
          <w:i/>
          <w:iCs/>
          <w:sz w:val="20"/>
        </w:rPr>
        <w:t xml:space="preserve"> Internet </w:t>
      </w:r>
      <w:r w:rsidR="005F5D60">
        <w:rPr>
          <w:rFonts w:eastAsia="Calibri"/>
          <w:i/>
          <w:iCs/>
          <w:sz w:val="20"/>
        </w:rPr>
        <w:t>a</w:t>
      </w:r>
      <w:r w:rsidRPr="005F5D60" w:rsidR="005F5D60">
        <w:rPr>
          <w:rFonts w:eastAsia="Calibri"/>
          <w:i/>
          <w:iCs/>
          <w:sz w:val="20"/>
        </w:rPr>
        <w:t>nd Plains Internet, LLC</w:t>
      </w:r>
      <w:bookmarkEnd w:id="2"/>
      <w:bookmarkEnd w:id="3"/>
      <w:bookmarkEnd w:id="4"/>
      <w:r w:rsidRPr="005F5D60">
        <w:rPr>
          <w:rFonts w:eastAsia="Calibri"/>
          <w:sz w:val="20"/>
        </w:rPr>
        <w:t>, WC Docket No. 21-</w:t>
      </w:r>
      <w:r w:rsidR="005F5D60">
        <w:rPr>
          <w:rFonts w:eastAsia="Calibri"/>
          <w:sz w:val="20"/>
        </w:rPr>
        <w:t>266</w:t>
      </w:r>
      <w:r w:rsidRPr="005F5D60">
        <w:rPr>
          <w:rFonts w:eastAsia="Calibri"/>
          <w:sz w:val="20"/>
        </w:rPr>
        <w:t>, Public Notice, DA 21-</w:t>
      </w:r>
      <w:r w:rsidR="005F5D60">
        <w:rPr>
          <w:rFonts w:eastAsia="Calibri"/>
          <w:sz w:val="20"/>
        </w:rPr>
        <w:t>833</w:t>
      </w:r>
      <w:r w:rsidRPr="005F5D60">
        <w:rPr>
          <w:rFonts w:eastAsia="Calibri"/>
          <w:sz w:val="20"/>
        </w:rPr>
        <w:t xml:space="preserve"> (WCB 2021). </w:t>
      </w:r>
    </w:p>
  </w:footnote>
  <w:footnote w:id="5">
    <w:p w:rsidR="006C28BB" w:rsidP="006C28BB" w14:paraId="2D7E7F56" w14:textId="77777777">
      <w:pPr>
        <w:pStyle w:val="FootnoteText"/>
      </w:pPr>
      <w:r>
        <w:rPr>
          <w:rStyle w:val="FootnoteReference"/>
        </w:rPr>
        <w:footnoteRef/>
      </w:r>
      <w:r>
        <w:t xml:space="preserve"> Application at 3-4 and </w:t>
      </w:r>
      <w:r>
        <w:t>Exh</w:t>
      </w:r>
      <w:r>
        <w:t>. 3 (</w:t>
      </w:r>
      <w:r>
        <w:rPr>
          <w:i/>
          <w:iCs/>
        </w:rPr>
        <w:t xml:space="preserve">Joint Application of Plains Internet, LLC and AMG Technology Investment Group, LLC dba </w:t>
      </w:r>
      <w:r>
        <w:rPr>
          <w:i/>
          <w:iCs/>
        </w:rPr>
        <w:t>Nextlink</w:t>
      </w:r>
      <w:r>
        <w:rPr>
          <w:i/>
          <w:iCs/>
        </w:rPr>
        <w:t xml:space="preserve"> Internet to Revise Eligible Telecommunications Carrier Service Areas</w:t>
      </w:r>
      <w:r>
        <w:t>, Docket No. 50807, Order, at 8 (Pub. Util. Comm’n. of Texas, May 6, 2021) (approving each Applicant’s relinquishment of census blocks and the other Applicant’s designation as an ETC in each such census block involved in the proposed transaction) (</w:t>
      </w:r>
      <w:r>
        <w:rPr>
          <w:i/>
          <w:iCs/>
        </w:rPr>
        <w:t>Texas ETC Order</w:t>
      </w:r>
      <w:r>
        <w:t>)).</w:t>
      </w:r>
    </w:p>
  </w:footnote>
  <w:footnote w:id="6">
    <w:p w:rsidR="006C28BB" w:rsidP="006C28BB" w14:paraId="68E7D810" w14:textId="77777777">
      <w:pPr>
        <w:pStyle w:val="FootnoteText"/>
      </w:pPr>
      <w:r>
        <w:rPr>
          <w:rStyle w:val="FootnoteReference"/>
        </w:rPr>
        <w:footnoteRef/>
      </w:r>
      <w:r>
        <w:t xml:space="preserve"> Application at 3, 11.</w:t>
      </w:r>
    </w:p>
  </w:footnote>
  <w:footnote w:id="7">
    <w:p w:rsidR="006C28BB" w:rsidP="006C28BB" w14:paraId="2158C524" w14:textId="77777777">
      <w:pPr>
        <w:pStyle w:val="FootnoteText"/>
      </w:pPr>
      <w:r>
        <w:rPr>
          <w:rStyle w:val="FootnoteReference"/>
        </w:rPr>
        <w:footnoteRef/>
      </w:r>
      <w:r>
        <w:t xml:space="preserve"> </w:t>
      </w:r>
      <w:r>
        <w:rPr>
          <w:i/>
          <w:iCs/>
        </w:rPr>
        <w:t>Id.</w:t>
      </w:r>
      <w:r>
        <w:t xml:space="preserve"> at 10.</w:t>
      </w:r>
    </w:p>
  </w:footnote>
  <w:footnote w:id="8">
    <w:p w:rsidR="00976938" w:rsidP="00976938" w14:paraId="35CFA2A7" w14:textId="4D6A7B90">
      <w:pPr>
        <w:pStyle w:val="FootnoteText"/>
      </w:pPr>
      <w:r>
        <w:rPr>
          <w:rStyle w:val="FootnoteReference"/>
        </w:rPr>
        <w:footnoteRef/>
      </w:r>
      <w:r>
        <w:t xml:space="preserve"> Application at 4-5.  </w:t>
      </w:r>
      <w:r>
        <w:rPr>
          <w:i/>
          <w:iCs/>
        </w:rPr>
        <w:t>See Texas ETC Order</w:t>
      </w:r>
      <w:r>
        <w:t xml:space="preserve"> at 8.  Plains also participated in and won the rights to provide service in Kansas, Texas, and Wyoming through the Rural Digital Opportunity Fund (RDOF) Auction.  </w:t>
      </w:r>
      <w:r>
        <w:rPr>
          <w:i/>
          <w:iCs/>
        </w:rPr>
        <w:t>See Rural Digital Opportunity Fund Phase I Auction (Auction 904) Closes; Winning Bidders Announced</w:t>
      </w:r>
      <w:r>
        <w:t xml:space="preserve">, AU Docket No. 20-34, WC Docket No. 19-126, WC Docket No. 10-90, Public Notice, 20 FCC </w:t>
      </w:r>
      <w:r>
        <w:t>Rcd</w:t>
      </w:r>
      <w:r>
        <w:t xml:space="preserve"> 13888, 13922, Attach. A (Winning Bidder Summary) (WCB/OEA 2020). </w:t>
      </w:r>
      <w:r w:rsidR="00C07BDE">
        <w:t xml:space="preserve"> In July 2021, the Bureau</w:t>
      </w:r>
      <w:r w:rsidR="00B11D8C">
        <w:t xml:space="preserve">, </w:t>
      </w:r>
      <w:r w:rsidR="00C07BDE">
        <w:t>the Rural Broadband Auctions Task Force</w:t>
      </w:r>
      <w:r w:rsidR="00B11D8C">
        <w:t>,</w:t>
      </w:r>
      <w:r w:rsidR="00C07BDE">
        <w:t xml:space="preserve"> and the Office of Economics and Analytics announced they were prepared to authorize Plains for RDOF support in these three states subject to the submission of the required letters of credit and Bankruptcy Code opinion letter(s).  </w:t>
      </w:r>
      <w:r w:rsidRPr="006548AC" w:rsidR="00C07BDE">
        <w:rPr>
          <w:i/>
          <w:iCs/>
        </w:rPr>
        <w:t xml:space="preserve">Rural Digital Opportunity Fund </w:t>
      </w:r>
      <w:r w:rsidR="00C07BDE">
        <w:rPr>
          <w:i/>
          <w:iCs/>
        </w:rPr>
        <w:t xml:space="preserve">Auction </w:t>
      </w:r>
      <w:r w:rsidRPr="006548AC" w:rsidR="00C07BDE">
        <w:rPr>
          <w:i/>
          <w:iCs/>
        </w:rPr>
        <w:t>Support for 1,460 Winning Bids Ready to be Authorized</w:t>
      </w:r>
      <w:r w:rsidR="00C07BDE">
        <w:t>, AU Docket No. 20-34 et al., Public Notice, DA 21-909, Attach. A (Ready to Authorize Long-Form Applicants and Winning Bids) (WCB/OEA 2021).  RDOF support will be authorized</w:t>
      </w:r>
      <w:r w:rsidR="00B11D8C">
        <w:t xml:space="preserve"> by future public notice</w:t>
      </w:r>
      <w:r w:rsidR="00C07BDE">
        <w:t xml:space="preserve"> for the specific winning bids for which all requirements have been met</w:t>
      </w:r>
      <w:r w:rsidR="00B11D8C">
        <w:t>.</w:t>
      </w:r>
      <w:r w:rsidR="00C07BDE">
        <w:t xml:space="preserve">   </w:t>
      </w:r>
    </w:p>
  </w:footnote>
  <w:footnote w:id="9">
    <w:p w:rsidR="00976938" w:rsidP="00976938" w14:paraId="799FAF44" w14:textId="77777777">
      <w:pPr>
        <w:pStyle w:val="FootnoteText"/>
      </w:pPr>
      <w:r>
        <w:rPr>
          <w:rStyle w:val="FootnoteReference"/>
        </w:rPr>
        <w:footnoteRef/>
      </w:r>
      <w:r>
        <w:t xml:space="preserve"> Application at 3, 11.</w:t>
      </w:r>
    </w:p>
  </w:footnote>
  <w:footnote w:id="10">
    <w:p w:rsidR="00976938" w:rsidP="00976938" w14:paraId="7E13B24B" w14:textId="77777777">
      <w:pPr>
        <w:pStyle w:val="FootnoteText"/>
      </w:pPr>
      <w:r>
        <w:rPr>
          <w:rStyle w:val="FootnoteReference"/>
        </w:rPr>
        <w:footnoteRef/>
      </w:r>
      <w:r>
        <w:t xml:space="preserve"> </w:t>
      </w:r>
      <w:r>
        <w:rPr>
          <w:i/>
          <w:iCs/>
          <w:color w:val="020100"/>
        </w:rPr>
        <w:t>Id.</w:t>
      </w:r>
      <w:r>
        <w:rPr>
          <w:color w:val="020100"/>
        </w:rPr>
        <w:t xml:space="preserve"> at 10.  Applicants state that neither </w:t>
      </w:r>
      <w:r>
        <w:rPr>
          <w:color w:val="020100"/>
        </w:rPr>
        <w:t>Nextlink</w:t>
      </w:r>
      <w:r>
        <w:rPr>
          <w:color w:val="020100"/>
        </w:rPr>
        <w:t xml:space="preserve"> nor Plains hold a 10% or greater interest in any other telecommunications provider.  Supplement at 1.</w:t>
      </w:r>
    </w:p>
  </w:footnote>
  <w:footnote w:id="11">
    <w:p w:rsidR="00D81F91" w:rsidP="00D81F91" w14:paraId="1623B52B" w14:textId="227A6F51">
      <w:pPr>
        <w:pStyle w:val="FootnoteText"/>
      </w:pPr>
      <w:r>
        <w:rPr>
          <w:rStyle w:val="FootnoteReference"/>
        </w:rPr>
        <w:footnoteRef/>
      </w:r>
      <w:r>
        <w:rPr>
          <w:color w:val="020100"/>
        </w:rPr>
        <w:t xml:space="preserve"> </w:t>
      </w:r>
      <w:r>
        <w:rPr>
          <w:i/>
          <w:iCs/>
          <w:color w:val="020100"/>
        </w:rPr>
        <w:t>See</w:t>
      </w:r>
      <w:r>
        <w:rPr>
          <w:color w:val="020100"/>
        </w:rPr>
        <w:t xml:space="preserve"> </w:t>
      </w:r>
      <w:r w:rsidR="00B4215C">
        <w:rPr>
          <w:color w:val="020100"/>
        </w:rPr>
        <w:t>Application</w:t>
      </w:r>
      <w:r>
        <w:rPr>
          <w:color w:val="020100"/>
        </w:rPr>
        <w:t xml:space="preserve"> at </w:t>
      </w:r>
      <w:r>
        <w:rPr>
          <w:color w:val="020100"/>
        </w:rPr>
        <w:t>Exh</w:t>
      </w:r>
      <w:r>
        <w:rPr>
          <w:color w:val="020100"/>
        </w:rPr>
        <w:t xml:space="preserve">. 1 (listing census blocks being assigned from Plains to </w:t>
      </w:r>
      <w:r>
        <w:rPr>
          <w:color w:val="020100"/>
        </w:rPr>
        <w:t>Nextlink</w:t>
      </w:r>
      <w:r>
        <w:rPr>
          <w:color w:val="020100"/>
        </w:rPr>
        <w:t xml:space="preserve">), </w:t>
      </w:r>
      <w:r>
        <w:rPr>
          <w:color w:val="020100"/>
        </w:rPr>
        <w:t>Exh</w:t>
      </w:r>
      <w:r>
        <w:rPr>
          <w:color w:val="020100"/>
        </w:rPr>
        <w:t xml:space="preserve">. 2 (listing census blocks being assigned from </w:t>
      </w:r>
      <w:r>
        <w:rPr>
          <w:color w:val="020100"/>
        </w:rPr>
        <w:t>Nextlink</w:t>
      </w:r>
      <w:r>
        <w:rPr>
          <w:color w:val="020100"/>
        </w:rPr>
        <w:t xml:space="preserve"> to Plains).  </w:t>
      </w:r>
    </w:p>
  </w:footnote>
  <w:footnote w:id="12">
    <w:p w:rsidR="00E169CC" w:rsidP="00E169CC" w14:paraId="6CB3531A" w14:textId="0B33D41E">
      <w:pPr>
        <w:spacing w:after="120"/>
        <w:rPr>
          <w:bCs/>
          <w:sz w:val="20"/>
        </w:rPr>
      </w:pPr>
      <w:r>
        <w:rPr>
          <w:rStyle w:val="FootnoteReference"/>
          <w:sz w:val="20"/>
        </w:rPr>
        <w:footnoteRef/>
      </w:r>
      <w:r>
        <w:rPr>
          <w:sz w:val="20"/>
        </w:rPr>
        <w:t xml:space="preserve"> </w:t>
      </w:r>
      <w:r w:rsidR="00B4215C">
        <w:rPr>
          <w:i/>
          <w:iCs/>
          <w:color w:val="020100"/>
          <w:sz w:val="20"/>
        </w:rPr>
        <w:t>Id.</w:t>
      </w:r>
      <w:r>
        <w:rPr>
          <w:sz w:val="20"/>
        </w:rPr>
        <w:t xml:space="preserve"> at 1. </w:t>
      </w:r>
      <w:bookmarkStart w:id="6" w:name="_Hlk77059285"/>
      <w:r>
        <w:rPr>
          <w:sz w:val="20"/>
        </w:rPr>
        <w:t xml:space="preserve"> </w:t>
      </w:r>
      <w:r>
        <w:rPr>
          <w:i/>
          <w:sz w:val="20"/>
        </w:rPr>
        <w:t>See</w:t>
      </w:r>
      <w:r>
        <w:rPr>
          <w:sz w:val="20"/>
        </w:rPr>
        <w:t xml:space="preserve"> </w:t>
      </w:r>
      <w:r>
        <w:rPr>
          <w:i/>
          <w:iCs/>
          <w:sz w:val="20"/>
        </w:rPr>
        <w:t>Connect America Fund Phase II Auction Support Authorized for 2,413 Winning Bids</w:t>
      </w:r>
      <w:r>
        <w:rPr>
          <w:sz w:val="20"/>
        </w:rPr>
        <w:t xml:space="preserve">, AU Docket No. 17-182, WC Docket No. 10-90, Public Notice, 34 FCC </w:t>
      </w:r>
      <w:r>
        <w:rPr>
          <w:sz w:val="20"/>
        </w:rPr>
        <w:t>Rcd</w:t>
      </w:r>
      <w:r>
        <w:rPr>
          <w:sz w:val="20"/>
        </w:rPr>
        <w:t xml:space="preserve"> 5966, 5974-6026, Attach. A (Authorized Long Form Applicants and Winning Bids) (WCB 2019) (authorizing CAF support for </w:t>
      </w:r>
      <w:r>
        <w:rPr>
          <w:sz w:val="20"/>
        </w:rPr>
        <w:t>Nextlink</w:t>
      </w:r>
      <w:r>
        <w:rPr>
          <w:sz w:val="20"/>
        </w:rPr>
        <w:t xml:space="preserve">); </w:t>
      </w:r>
      <w:r>
        <w:rPr>
          <w:i/>
          <w:iCs/>
          <w:sz w:val="20"/>
        </w:rPr>
        <w:t>Connect America Fund Phase II Auction Support Authorized for 593 Winning Bids</w:t>
      </w:r>
      <w:r>
        <w:rPr>
          <w:sz w:val="20"/>
        </w:rPr>
        <w:t xml:space="preserve">, AU Docket No. 17-182, WC Docket No. 10-90, Public Notice, 34 FCC </w:t>
      </w:r>
      <w:r>
        <w:rPr>
          <w:sz w:val="20"/>
        </w:rPr>
        <w:t>Rcd</w:t>
      </w:r>
      <w:r>
        <w:rPr>
          <w:sz w:val="20"/>
        </w:rPr>
        <w:t xml:space="preserve"> 7081, 7111-115, Attach. A (Authorized Long Form Applicants and Winning Bids) (WCB 2019) (authorizing CAF support for Plains).</w:t>
      </w:r>
      <w:bookmarkEnd w:id="6"/>
      <w:r>
        <w:rPr>
          <w:sz w:val="20"/>
        </w:rPr>
        <w:t xml:space="preserve"> </w:t>
      </w:r>
    </w:p>
  </w:footnote>
  <w:footnote w:id="13">
    <w:p w:rsidR="00D81F91" w:rsidP="00D81F91" w14:paraId="72E9EAE4" w14:textId="77777777">
      <w:pPr>
        <w:pStyle w:val="FootnoteText"/>
      </w:pPr>
      <w:r>
        <w:rPr>
          <w:rStyle w:val="FootnoteReference"/>
        </w:rPr>
        <w:footnoteRef/>
      </w:r>
      <w:r>
        <w:t xml:space="preserve"> </w:t>
      </w:r>
      <w:r w:rsidRPr="00AC5DFB">
        <w:t>Application at 1-2.</w:t>
      </w:r>
    </w:p>
  </w:footnote>
  <w:footnote w:id="14">
    <w:p w:rsidR="00143076" w:rsidP="00143076" w14:paraId="77DF8DEA" w14:textId="77777777">
      <w:pPr>
        <w:pStyle w:val="FootnoteText"/>
      </w:pPr>
      <w:r>
        <w:rPr>
          <w:rStyle w:val="FootnoteReference"/>
        </w:rPr>
        <w:footnoteRef/>
      </w:r>
      <w:r>
        <w:t xml:space="preserve"> </w:t>
      </w:r>
      <w:r>
        <w:rPr>
          <w:i/>
          <w:iCs/>
        </w:rPr>
        <w:t>Id</w:t>
      </w:r>
      <w:r>
        <w:t xml:space="preserve">. at 4. </w:t>
      </w:r>
    </w:p>
  </w:footnote>
  <w:footnote w:id="15">
    <w:p w:rsidR="00143076" w:rsidP="00143076" w14:paraId="56543561" w14:textId="77777777">
      <w:pPr>
        <w:pStyle w:val="FootnoteText"/>
      </w:pPr>
      <w:r>
        <w:rPr>
          <w:rStyle w:val="FootnoteReference"/>
        </w:rPr>
        <w:footnoteRef/>
      </w:r>
      <w:r>
        <w:t xml:space="preserve"> </w:t>
      </w:r>
      <w:bookmarkStart w:id="7" w:name="_Hlk80000852"/>
      <w:r>
        <w:t xml:space="preserve">Supplement at 1. </w:t>
      </w:r>
      <w:r>
        <w:rPr>
          <w:i/>
          <w:iCs/>
        </w:rPr>
        <w:t>See</w:t>
      </w:r>
      <w:r>
        <w:t xml:space="preserve"> Application at 4-5.</w:t>
      </w:r>
      <w:bookmarkEnd w:id="7"/>
    </w:p>
  </w:footnote>
  <w:footnote w:id="16">
    <w:p w:rsidR="00143076" w:rsidP="00143076" w14:paraId="7790AF50" w14:textId="77777777">
      <w:pPr>
        <w:pStyle w:val="FootnoteText"/>
      </w:pPr>
      <w:r>
        <w:rPr>
          <w:rStyle w:val="FootnoteReference"/>
        </w:rPr>
        <w:footnoteRef/>
      </w:r>
      <w:r>
        <w:t xml:space="preserve"> Supplement at 1.  </w:t>
      </w:r>
      <w:r>
        <w:rPr>
          <w:i/>
          <w:iCs/>
        </w:rPr>
        <w:t xml:space="preserve">See </w:t>
      </w:r>
      <w:r>
        <w:t>Application at 5-6.</w:t>
      </w:r>
    </w:p>
  </w:footnote>
  <w:footnote w:id="17">
    <w:p w:rsidR="00CB52EB" w:rsidP="00CB52EB" w14:paraId="471B9C11" w14:textId="0D6CE47C">
      <w:pPr>
        <w:pStyle w:val="FootnoteText"/>
      </w:pPr>
      <w:r>
        <w:rPr>
          <w:rStyle w:val="FootnoteReference"/>
        </w:rPr>
        <w:footnoteRef/>
      </w:r>
      <w:r>
        <w:t xml:space="preserve"> 47 U.S.C. § 214(a); 47 C</w:t>
      </w:r>
      <w:r w:rsidR="00D64012">
        <w:t>.</w:t>
      </w:r>
      <w:r>
        <w:t>F</w:t>
      </w:r>
      <w:r w:rsidR="00D64012">
        <w:t>.</w:t>
      </w:r>
      <w:r>
        <w:t>R</w:t>
      </w:r>
      <w:r w:rsidR="00D64012">
        <w:t>.</w:t>
      </w:r>
      <w:r>
        <w:t xml:space="preserve"> § 63.03.</w:t>
      </w:r>
      <w:r w:rsidR="00070000">
        <w:t xml:space="preserve">  </w:t>
      </w:r>
      <w:r w:rsidR="00070000">
        <w:rPr>
          <w:i/>
          <w:iCs/>
        </w:rPr>
        <w:t>See Telecommunications Carriers Eligible for Universal Service Support</w:t>
      </w:r>
      <w:r w:rsidR="00070000">
        <w:t xml:space="preserve">, WC Docket No. 09-197, </w:t>
      </w:r>
      <w:r w:rsidR="00070000">
        <w:rPr>
          <w:i/>
          <w:iCs/>
        </w:rPr>
        <w:t>Connect America Fund</w:t>
      </w:r>
      <w:r w:rsidR="00070000">
        <w:t>, WC Docket No. 10-90, Order, DA 21-663, para. 30 (WCB 2021) (“ETCs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w:t>
      </w:r>
    </w:p>
  </w:footnote>
  <w:footnote w:id="18">
    <w:p w:rsidR="00C5129F" w:rsidP="00C5129F" w14:paraId="774C803C" w14:textId="77777777">
      <w:pPr>
        <w:pStyle w:val="FootnoteText"/>
      </w:pPr>
      <w:r>
        <w:rPr>
          <w:rStyle w:val="FootnoteReference"/>
        </w:rPr>
        <w:footnoteRef/>
      </w:r>
      <w:r>
        <w:t xml:space="preserve"> </w:t>
      </w:r>
      <w:r w:rsidRPr="00AC5DFB">
        <w:t>Application at 1-2.</w:t>
      </w:r>
    </w:p>
  </w:footnote>
  <w:footnote w:id="19">
    <w:p w:rsidR="00C5129F" w14:paraId="092A2E95" w14:textId="32B22902">
      <w:pPr>
        <w:pStyle w:val="FootnoteText"/>
      </w:pPr>
      <w:r>
        <w:rPr>
          <w:rStyle w:val="FootnoteReference"/>
        </w:rPr>
        <w:footnoteRef/>
      </w:r>
      <w:r>
        <w:t xml:space="preserve"> Supplement at 1.</w:t>
      </w:r>
    </w:p>
  </w:footnote>
  <w:footnote w:id="20">
    <w:p w:rsidR="000C67E7" w14:paraId="1B0A57C7" w14:textId="57324FD2">
      <w:pPr>
        <w:pStyle w:val="FootnoteText"/>
      </w:pPr>
      <w:r>
        <w:rPr>
          <w:rStyle w:val="FootnoteReference"/>
        </w:rPr>
        <w:footnoteRef/>
      </w:r>
      <w:r>
        <w:t xml:space="preserve"> </w:t>
      </w:r>
      <w:r w:rsidRPr="000C67E7">
        <w:rPr>
          <w:i/>
          <w:iCs/>
        </w:rPr>
        <w:t>Id.</w:t>
      </w:r>
      <w:r>
        <w:t xml:space="preserve"> at 4.</w:t>
      </w:r>
    </w:p>
  </w:footnote>
  <w:footnote w:id="21">
    <w:p w:rsidR="00333030" w:rsidRPr="00FB0DCC" w14:paraId="4FCC741D" w14:textId="6E42829A">
      <w:pPr>
        <w:pStyle w:val="FootnoteText"/>
        <w:rPr>
          <w:u w:val="single"/>
        </w:rPr>
      </w:pPr>
      <w:r>
        <w:rPr>
          <w:rStyle w:val="FootnoteReference"/>
        </w:rPr>
        <w:footnoteRef/>
      </w:r>
      <w:r>
        <w:t xml:space="preserve"> </w:t>
      </w:r>
      <w:r w:rsidRPr="00DC1A63" w:rsidR="00395CFE">
        <w:t xml:space="preserve">In adopting the CAF framework, the Commission sought to transition high cost providers to incentive-based support mechanisms and require </w:t>
      </w:r>
      <w:r w:rsidRPr="00DC1A63" w:rsidR="005D3464">
        <w:t xml:space="preserve">support </w:t>
      </w:r>
      <w:r w:rsidRPr="00DC1A63" w:rsidR="00395CFE">
        <w:t>recipients to comply with defined broadband deployment obl</w:t>
      </w:r>
      <w:r w:rsidRPr="00DC1A63" w:rsidR="005D3464">
        <w:t xml:space="preserve">igations and </w:t>
      </w:r>
      <w:r w:rsidRPr="00DC1A63" w:rsidR="00395CFE">
        <w:t xml:space="preserve">performance standards, </w:t>
      </w:r>
      <w:r w:rsidRPr="00DC1A63" w:rsidR="005D3464">
        <w:t xml:space="preserve">thereby </w:t>
      </w:r>
      <w:r w:rsidRPr="00DC1A63" w:rsidR="00395CFE">
        <w:t>further</w:t>
      </w:r>
      <w:r w:rsidR="00DC1A63">
        <w:t>ing</w:t>
      </w:r>
      <w:r w:rsidRPr="00DC1A63" w:rsidR="00395CFE">
        <w:t xml:space="preserve"> the efficient use of the universal service fund as a publ</w:t>
      </w:r>
      <w:r w:rsidRPr="00070000" w:rsidR="00395CFE">
        <w:t xml:space="preserve">ic resource.  </w:t>
      </w:r>
      <w:r w:rsidRPr="00FB0DCC" w:rsidR="00395CFE">
        <w:rPr>
          <w:rStyle w:val="Emphasis"/>
          <w:color w:val="3D3D3D"/>
          <w:bdr w:val="none" w:sz="0" w:space="0" w:color="auto" w:frame="1"/>
          <w:shd w:val="clear" w:color="auto" w:fill="FFFFFF"/>
        </w:rPr>
        <w:t>See 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rsidRPr="00FB0DCC" w:rsidR="00395CFE">
        <w:rPr>
          <w:color w:val="3D3D3D"/>
          <w:shd w:val="clear" w:color="auto" w:fill="FFFFFF"/>
        </w:rPr>
        <w:t>, WC Docket No. 10-90, et al., Report and Order and Further Notice of Proposed Rulemaking, 26 FCC 17663</w:t>
      </w:r>
      <w:r w:rsidRPr="00FB0DCC" w:rsidR="005D3464">
        <w:rPr>
          <w:color w:val="3D3D3D"/>
          <w:shd w:val="clear" w:color="auto" w:fill="FFFFFF"/>
        </w:rPr>
        <w:t xml:space="preserve">, 17680, </w:t>
      </w:r>
      <w:r w:rsidRPr="00FB0DCC" w:rsidR="00DC1A63">
        <w:rPr>
          <w:color w:val="3D3D3D"/>
          <w:shd w:val="clear" w:color="auto" w:fill="FFFFFF"/>
        </w:rPr>
        <w:t xml:space="preserve">17727-28, </w:t>
      </w:r>
      <w:r w:rsidRPr="00FB0DCC" w:rsidR="005D3464">
        <w:rPr>
          <w:color w:val="3D3D3D"/>
          <w:shd w:val="clear" w:color="auto" w:fill="FFFFFF"/>
        </w:rPr>
        <w:t>para</w:t>
      </w:r>
      <w:r w:rsidRPr="00FB0DCC" w:rsidR="00DC1A63">
        <w:rPr>
          <w:color w:val="3D3D3D"/>
          <w:shd w:val="clear" w:color="auto" w:fill="FFFFFF"/>
        </w:rPr>
        <w:t>s</w:t>
      </w:r>
      <w:r w:rsidRPr="00FB0DCC" w:rsidR="005D3464">
        <w:rPr>
          <w:color w:val="3D3D3D"/>
          <w:shd w:val="clear" w:color="auto" w:fill="FFFFFF"/>
        </w:rPr>
        <w:t xml:space="preserve">. 48, </w:t>
      </w:r>
      <w:r w:rsidRPr="00FB0DCC" w:rsidR="00DC1A63">
        <w:rPr>
          <w:color w:val="3D3D3D"/>
          <w:shd w:val="clear" w:color="auto" w:fill="FFFFFF"/>
        </w:rPr>
        <w:t>165</w:t>
      </w:r>
      <w:r w:rsidRPr="00FB0DCC" w:rsidR="00395CFE">
        <w:rPr>
          <w:color w:val="3D3D3D"/>
          <w:shd w:val="clear" w:color="auto" w:fill="FFFFFF"/>
        </w:rPr>
        <w:t xml:space="preserve"> (2011), </w:t>
      </w:r>
      <w:r w:rsidRPr="00FB0DCC" w:rsidR="00395CFE">
        <w:rPr>
          <w:rStyle w:val="Emphasis"/>
          <w:color w:val="3D3D3D"/>
          <w:bdr w:val="none" w:sz="0" w:space="0" w:color="auto" w:frame="1"/>
          <w:shd w:val="clear" w:color="auto" w:fill="FFFFFF"/>
        </w:rPr>
        <w:t>aff'd</w:t>
      </w:r>
      <w:r w:rsidRPr="00FB0DCC" w:rsidR="00395CFE">
        <w:rPr>
          <w:color w:val="3D3D3D"/>
          <w:shd w:val="clear" w:color="auto" w:fill="FFFFFF"/>
        </w:rPr>
        <w:t>, 753 F.3d 1015 (10th Cir. 2014).</w:t>
      </w:r>
    </w:p>
  </w:footnote>
  <w:footnote w:id="22">
    <w:p w:rsidR="00CB52EB" w:rsidP="00CB52EB" w14:paraId="505E5E91" w14:textId="77777777">
      <w:pPr>
        <w:pStyle w:val="FootnoteText"/>
      </w:pPr>
      <w:r>
        <w:rPr>
          <w:rStyle w:val="FootnoteReference"/>
        </w:rPr>
        <w:footnoteRef/>
      </w:r>
      <w:r>
        <w:t xml:space="preserve"> Supplement at 1.  </w:t>
      </w:r>
      <w:r>
        <w:rPr>
          <w:i/>
          <w:iCs/>
        </w:rPr>
        <w:t xml:space="preserve">See </w:t>
      </w:r>
      <w:r>
        <w:t>Application at 5-6.</w:t>
      </w:r>
    </w:p>
  </w:footnote>
  <w:footnote w:id="23">
    <w:p w:rsidR="005A7365" w14:paraId="3BF680D9" w14:textId="6D50AC3E">
      <w:pPr>
        <w:pStyle w:val="FootnoteText"/>
      </w:pPr>
      <w:r>
        <w:rPr>
          <w:rStyle w:val="FootnoteReference"/>
        </w:rPr>
        <w:footnoteRef/>
      </w:r>
      <w:r>
        <w:t xml:space="preserve"> Supplement at 1.</w:t>
      </w:r>
    </w:p>
  </w:footnote>
  <w:footnote w:id="24">
    <w:p w:rsidR="00023EE2" w:rsidRPr="000B01F0" w:rsidP="000B01F0" w14:paraId="6236ADB7" w14:textId="1505FC26">
      <w:pPr>
        <w:rPr>
          <w:snapToGrid/>
          <w:kern w:val="0"/>
        </w:rPr>
      </w:pPr>
      <w:r w:rsidRPr="00F4366C">
        <w:rPr>
          <w:rStyle w:val="FootnoteReference"/>
          <w:sz w:val="20"/>
        </w:rPr>
        <w:footnoteRef/>
      </w:r>
      <w:r w:rsidR="006813E7">
        <w:rPr>
          <w:color w:val="000000" w:themeColor="text1"/>
        </w:rPr>
        <w:t xml:space="preserve"> </w:t>
      </w:r>
      <w:r w:rsidRPr="006813E7" w:rsidR="006813E7">
        <w:rPr>
          <w:snapToGrid/>
          <w:kern w:val="0"/>
          <w:sz w:val="20"/>
        </w:rPr>
        <w:t>W</w:t>
      </w:r>
      <w:r w:rsidRPr="006813E7">
        <w:rPr>
          <w:snapToGrid/>
          <w:kern w:val="0"/>
          <w:sz w:val="20"/>
        </w:rPr>
        <w:t>e direct Applicants to submit</w:t>
      </w:r>
      <w:r w:rsidRPr="006813E7" w:rsidR="006813E7">
        <w:rPr>
          <w:snapToGrid/>
          <w:kern w:val="0"/>
          <w:sz w:val="20"/>
        </w:rPr>
        <w:t>,</w:t>
      </w:r>
      <w:r w:rsidRPr="006813E7">
        <w:rPr>
          <w:snapToGrid/>
          <w:kern w:val="0"/>
          <w:sz w:val="20"/>
        </w:rPr>
        <w:t xml:space="preserve"> </w:t>
      </w:r>
      <w:r w:rsidRPr="006813E7" w:rsidR="006813E7">
        <w:rPr>
          <w:snapToGrid/>
          <w:kern w:val="0"/>
          <w:sz w:val="20"/>
        </w:rPr>
        <w:t xml:space="preserve">within 30 days of closing the proposed transaction, </w:t>
      </w:r>
      <w:r w:rsidRPr="006813E7">
        <w:rPr>
          <w:snapToGrid/>
          <w:kern w:val="0"/>
          <w:sz w:val="20"/>
        </w:rPr>
        <w:t xml:space="preserve">a notice </w:t>
      </w:r>
      <w:r w:rsidRPr="006813E7" w:rsidR="006813E7">
        <w:rPr>
          <w:snapToGrid/>
          <w:kern w:val="0"/>
          <w:sz w:val="20"/>
        </w:rPr>
        <w:t xml:space="preserve">in WC Docket No. 21-266 </w:t>
      </w:r>
      <w:r w:rsidRPr="006813E7">
        <w:rPr>
          <w:snapToGrid/>
          <w:kern w:val="0"/>
          <w:sz w:val="20"/>
        </w:rPr>
        <w:t>that the proposed transaction has closed with the consummation date, and also provide a courtesy copy of the notice to </w:t>
      </w:r>
      <w:hyperlink r:id="rId1" w:history="1">
        <w:r w:rsidRPr="006813E7" w:rsidR="006813E7">
          <w:rPr>
            <w:snapToGrid/>
            <w:kern w:val="0"/>
            <w:sz w:val="20"/>
          </w:rPr>
          <w:t>hcinfo@usac.org</w:t>
        </w:r>
      </w:hyperlink>
      <w:r w:rsidRPr="006813E7">
        <w:rPr>
          <w:snapToGrid/>
          <w:kern w:val="0"/>
          <w:sz w:val="20"/>
        </w:rPr>
        <w:t>.</w:t>
      </w:r>
      <w:r w:rsidRPr="006813E7" w:rsidR="006813E7">
        <w:rPr>
          <w:snapToGrid/>
          <w:kern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9838BC" w:rsidP="009838BC" w14:paraId="091CA6E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A866AC" w:rsidP="009838BC" w14:paraId="0520FF5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475AE7" w:rsidP="009838BC" w14:textId="77777777">
                          <w:pPr>
                            <w:rPr>
                              <w:rFonts w:ascii="Arial" w:hAnsi="Arial"/>
                              <w:b/>
                            </w:rPr>
                          </w:pPr>
                          <w:r>
                            <w:rPr>
                              <w:rFonts w:ascii="Arial" w:hAnsi="Arial"/>
                              <w:b/>
                            </w:rPr>
                            <w:t>Federal Communications Commission</w:t>
                          </w:r>
                        </w:p>
                        <w:p w:rsidR="00475AE7" w:rsidP="009838BC" w14:textId="77777777">
                          <w:pPr>
                            <w:rPr>
                              <w:rFonts w:ascii="Arial" w:hAnsi="Arial"/>
                              <w:b/>
                            </w:rPr>
                          </w:pPr>
                          <w:r>
                            <w:rPr>
                              <w:rFonts w:ascii="Arial" w:hAnsi="Arial"/>
                              <w:b/>
                            </w:rPr>
                            <w:t>45 L St., N.E.</w:t>
                          </w:r>
                        </w:p>
                        <w:p w:rsidR="00475AE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75AE7" w:rsidP="009838BC" w14:paraId="21A4A4CD" w14:textId="77777777">
                    <w:pPr>
                      <w:rPr>
                        <w:rFonts w:ascii="Arial" w:hAnsi="Arial"/>
                        <w:b/>
                      </w:rPr>
                    </w:pPr>
                    <w:r>
                      <w:rPr>
                        <w:rFonts w:ascii="Arial" w:hAnsi="Arial"/>
                        <w:b/>
                      </w:rPr>
                      <w:t>Federal Communications Commission</w:t>
                    </w:r>
                  </w:p>
                  <w:p w:rsidR="00475AE7" w:rsidP="009838BC" w14:paraId="4453238A" w14:textId="77777777">
                    <w:pPr>
                      <w:rPr>
                        <w:rFonts w:ascii="Arial" w:hAnsi="Arial"/>
                        <w:b/>
                      </w:rPr>
                    </w:pPr>
                    <w:r>
                      <w:rPr>
                        <w:rFonts w:ascii="Arial" w:hAnsi="Arial"/>
                        <w:b/>
                      </w:rPr>
                      <w:t>45 L St., N.E.</w:t>
                    </w:r>
                  </w:p>
                  <w:p w:rsidR="00475AE7" w:rsidP="009838BC" w14:paraId="4487418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75796D0F" w:rsidR="0085777F">
      <w:rPr>
        <w:rFonts w:ascii="Arial" w:hAnsi="Arial" w:cs="Arial"/>
        <w:b/>
        <w:bCs/>
        <w:sz w:val="96"/>
        <w:szCs w:val="96"/>
      </w:rPr>
      <w:t>PUBLIC NOTICE</w:t>
    </w:r>
  </w:p>
  <w:p w:rsidR="00475AE7" w:rsidRPr="00357D50" w:rsidP="009838BC" w14:paraId="5DF084F2"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475AE7" w:rsidP="009838BC" w14:textId="77777777">
                          <w:pPr>
                            <w:spacing w:before="40"/>
                            <w:jc w:val="right"/>
                            <w:rPr>
                              <w:rFonts w:ascii="Arial" w:hAnsi="Arial"/>
                              <w:b/>
                              <w:sz w:val="16"/>
                            </w:rPr>
                          </w:pPr>
                          <w:r>
                            <w:rPr>
                              <w:rFonts w:ascii="Arial" w:hAnsi="Arial"/>
                              <w:b/>
                              <w:sz w:val="16"/>
                            </w:rPr>
                            <w:t>News Media Information 202 / 418-0500</w:t>
                          </w:r>
                        </w:p>
                        <w:p w:rsidR="00475AE7" w:rsidP="009838BC" w14:textId="77777777">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475AE7"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475AE7" w:rsidP="009838BC" w14:paraId="7BA3E3A8" w14:textId="77777777">
                    <w:pPr>
                      <w:spacing w:before="40"/>
                      <w:jc w:val="right"/>
                      <w:rPr>
                        <w:rFonts w:ascii="Arial" w:hAnsi="Arial"/>
                        <w:b/>
                        <w:sz w:val="16"/>
                      </w:rPr>
                    </w:pPr>
                    <w:r>
                      <w:rPr>
                        <w:rFonts w:ascii="Arial" w:hAnsi="Arial"/>
                        <w:b/>
                        <w:sz w:val="16"/>
                      </w:rPr>
                      <w:t>News Media Information 202 / 418-0500</w:t>
                    </w:r>
                  </w:p>
                  <w:p w:rsidR="00475AE7" w:rsidP="009838BC" w14:paraId="5961A55B" w14:textId="77777777">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475AE7" w:rsidP="009838BC" w14:paraId="121181AF" w14:textId="77777777">
                    <w:pPr>
                      <w:jc w:val="right"/>
                    </w:pPr>
                  </w:p>
                </w:txbxContent>
              </v:textbox>
            </v:shape>
          </w:pict>
        </mc:Fallback>
      </mc:AlternateContent>
    </w:r>
  </w:p>
  <w:p w:rsidR="00475AE7" w:rsidRPr="009838BC" w:rsidP="009838BC" w14:paraId="6F2917A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25FE"/>
    <w:rsid w:val="00003905"/>
    <w:rsid w:val="00005C82"/>
    <w:rsid w:val="000072CE"/>
    <w:rsid w:val="000109B1"/>
    <w:rsid w:val="00011ED7"/>
    <w:rsid w:val="00013A8B"/>
    <w:rsid w:val="000157A9"/>
    <w:rsid w:val="00016BF1"/>
    <w:rsid w:val="00021252"/>
    <w:rsid w:val="00021445"/>
    <w:rsid w:val="00023E9D"/>
    <w:rsid w:val="00023EE2"/>
    <w:rsid w:val="0002579D"/>
    <w:rsid w:val="000326B7"/>
    <w:rsid w:val="00033AD2"/>
    <w:rsid w:val="00036039"/>
    <w:rsid w:val="00037F90"/>
    <w:rsid w:val="00040D06"/>
    <w:rsid w:val="000418EE"/>
    <w:rsid w:val="00044FC2"/>
    <w:rsid w:val="0004637E"/>
    <w:rsid w:val="000505D6"/>
    <w:rsid w:val="00052C36"/>
    <w:rsid w:val="00052D7C"/>
    <w:rsid w:val="000578D9"/>
    <w:rsid w:val="000630A2"/>
    <w:rsid w:val="0006453A"/>
    <w:rsid w:val="000654FE"/>
    <w:rsid w:val="00065885"/>
    <w:rsid w:val="00070000"/>
    <w:rsid w:val="0007304F"/>
    <w:rsid w:val="00073D67"/>
    <w:rsid w:val="000875BF"/>
    <w:rsid w:val="00090879"/>
    <w:rsid w:val="000929A6"/>
    <w:rsid w:val="00095E72"/>
    <w:rsid w:val="00096D8C"/>
    <w:rsid w:val="000A15E0"/>
    <w:rsid w:val="000A43AA"/>
    <w:rsid w:val="000A715F"/>
    <w:rsid w:val="000A719C"/>
    <w:rsid w:val="000B01F0"/>
    <w:rsid w:val="000B1EFD"/>
    <w:rsid w:val="000B206F"/>
    <w:rsid w:val="000B3A1F"/>
    <w:rsid w:val="000B5082"/>
    <w:rsid w:val="000B5D03"/>
    <w:rsid w:val="000B6581"/>
    <w:rsid w:val="000B7562"/>
    <w:rsid w:val="000C0B65"/>
    <w:rsid w:val="000C43BA"/>
    <w:rsid w:val="000C5DEF"/>
    <w:rsid w:val="000C67E7"/>
    <w:rsid w:val="000D50EB"/>
    <w:rsid w:val="000D5BC1"/>
    <w:rsid w:val="000D7CAA"/>
    <w:rsid w:val="000E1A64"/>
    <w:rsid w:val="000E340C"/>
    <w:rsid w:val="000E3D42"/>
    <w:rsid w:val="000E5884"/>
    <w:rsid w:val="000E6601"/>
    <w:rsid w:val="000F248A"/>
    <w:rsid w:val="000F3EAA"/>
    <w:rsid w:val="000F4C4E"/>
    <w:rsid w:val="000F652F"/>
    <w:rsid w:val="000F70F5"/>
    <w:rsid w:val="000F7336"/>
    <w:rsid w:val="000F7AFB"/>
    <w:rsid w:val="00103CFD"/>
    <w:rsid w:val="001050B1"/>
    <w:rsid w:val="001073A5"/>
    <w:rsid w:val="00107713"/>
    <w:rsid w:val="001137A6"/>
    <w:rsid w:val="00114C73"/>
    <w:rsid w:val="00116C3F"/>
    <w:rsid w:val="00122BD5"/>
    <w:rsid w:val="0012361D"/>
    <w:rsid w:val="00125C60"/>
    <w:rsid w:val="001265C3"/>
    <w:rsid w:val="00132378"/>
    <w:rsid w:val="0013301F"/>
    <w:rsid w:val="001330FF"/>
    <w:rsid w:val="00135F54"/>
    <w:rsid w:val="00136137"/>
    <w:rsid w:val="001415BA"/>
    <w:rsid w:val="00143076"/>
    <w:rsid w:val="00144A2D"/>
    <w:rsid w:val="001539F3"/>
    <w:rsid w:val="001541A8"/>
    <w:rsid w:val="00154EB8"/>
    <w:rsid w:val="00161259"/>
    <w:rsid w:val="00164F1D"/>
    <w:rsid w:val="00164FFA"/>
    <w:rsid w:val="00171F2B"/>
    <w:rsid w:val="001807A4"/>
    <w:rsid w:val="00181174"/>
    <w:rsid w:val="00181795"/>
    <w:rsid w:val="00183949"/>
    <w:rsid w:val="001856A8"/>
    <w:rsid w:val="001975FA"/>
    <w:rsid w:val="001979D9"/>
    <w:rsid w:val="001A0E9C"/>
    <w:rsid w:val="001A312A"/>
    <w:rsid w:val="001A3A79"/>
    <w:rsid w:val="001A6361"/>
    <w:rsid w:val="001A7655"/>
    <w:rsid w:val="001B158F"/>
    <w:rsid w:val="001B7D51"/>
    <w:rsid w:val="001C4655"/>
    <w:rsid w:val="001C6F20"/>
    <w:rsid w:val="001D052E"/>
    <w:rsid w:val="001D0A43"/>
    <w:rsid w:val="001D6BCF"/>
    <w:rsid w:val="001E01CA"/>
    <w:rsid w:val="001E397D"/>
    <w:rsid w:val="001E410D"/>
    <w:rsid w:val="001F1CB2"/>
    <w:rsid w:val="001F1FC6"/>
    <w:rsid w:val="001F1FF1"/>
    <w:rsid w:val="001F3582"/>
    <w:rsid w:val="001F5903"/>
    <w:rsid w:val="001F731B"/>
    <w:rsid w:val="001F795B"/>
    <w:rsid w:val="002025E9"/>
    <w:rsid w:val="002027F0"/>
    <w:rsid w:val="00203604"/>
    <w:rsid w:val="00203A09"/>
    <w:rsid w:val="002049B9"/>
    <w:rsid w:val="00204D99"/>
    <w:rsid w:val="002060D9"/>
    <w:rsid w:val="00206137"/>
    <w:rsid w:val="002078DE"/>
    <w:rsid w:val="00207939"/>
    <w:rsid w:val="00215AF2"/>
    <w:rsid w:val="0021655B"/>
    <w:rsid w:val="00224DB8"/>
    <w:rsid w:val="0022664E"/>
    <w:rsid w:val="00226822"/>
    <w:rsid w:val="00227E61"/>
    <w:rsid w:val="00230331"/>
    <w:rsid w:val="002334CD"/>
    <w:rsid w:val="00240A9F"/>
    <w:rsid w:val="00242F44"/>
    <w:rsid w:val="00243092"/>
    <w:rsid w:val="00245087"/>
    <w:rsid w:val="002456F6"/>
    <w:rsid w:val="0025072B"/>
    <w:rsid w:val="0025082C"/>
    <w:rsid w:val="00252AB1"/>
    <w:rsid w:val="00253923"/>
    <w:rsid w:val="00254E19"/>
    <w:rsid w:val="002557CC"/>
    <w:rsid w:val="00256D48"/>
    <w:rsid w:val="002572DC"/>
    <w:rsid w:val="00260594"/>
    <w:rsid w:val="002610EC"/>
    <w:rsid w:val="00264313"/>
    <w:rsid w:val="00265992"/>
    <w:rsid w:val="00273BAD"/>
    <w:rsid w:val="00276C04"/>
    <w:rsid w:val="00280975"/>
    <w:rsid w:val="00281B21"/>
    <w:rsid w:val="00285017"/>
    <w:rsid w:val="00286468"/>
    <w:rsid w:val="00290BBA"/>
    <w:rsid w:val="002979E3"/>
    <w:rsid w:val="002A03DD"/>
    <w:rsid w:val="002A11B4"/>
    <w:rsid w:val="002A2D2E"/>
    <w:rsid w:val="002A6D6A"/>
    <w:rsid w:val="002B0207"/>
    <w:rsid w:val="002B0351"/>
    <w:rsid w:val="002B3B0D"/>
    <w:rsid w:val="002B4C9C"/>
    <w:rsid w:val="002B54FB"/>
    <w:rsid w:val="002B7763"/>
    <w:rsid w:val="002C1AF9"/>
    <w:rsid w:val="002C3ECE"/>
    <w:rsid w:val="002C5846"/>
    <w:rsid w:val="002D2146"/>
    <w:rsid w:val="002D447E"/>
    <w:rsid w:val="002D6286"/>
    <w:rsid w:val="002D62DD"/>
    <w:rsid w:val="002D7A48"/>
    <w:rsid w:val="002D7CCE"/>
    <w:rsid w:val="002E5941"/>
    <w:rsid w:val="002F2339"/>
    <w:rsid w:val="002F4819"/>
    <w:rsid w:val="002F7221"/>
    <w:rsid w:val="00306D00"/>
    <w:rsid w:val="00307030"/>
    <w:rsid w:val="0031328E"/>
    <w:rsid w:val="003231F8"/>
    <w:rsid w:val="0032799C"/>
    <w:rsid w:val="00327A84"/>
    <w:rsid w:val="00333030"/>
    <w:rsid w:val="0033308B"/>
    <w:rsid w:val="00334D34"/>
    <w:rsid w:val="00337EDD"/>
    <w:rsid w:val="00343749"/>
    <w:rsid w:val="00344102"/>
    <w:rsid w:val="00351B89"/>
    <w:rsid w:val="00351E93"/>
    <w:rsid w:val="00353A57"/>
    <w:rsid w:val="00353EAF"/>
    <w:rsid w:val="00357D50"/>
    <w:rsid w:val="003602FC"/>
    <w:rsid w:val="003609F7"/>
    <w:rsid w:val="00366291"/>
    <w:rsid w:val="00376E27"/>
    <w:rsid w:val="00377C00"/>
    <w:rsid w:val="00377F86"/>
    <w:rsid w:val="003816CE"/>
    <w:rsid w:val="00381FE8"/>
    <w:rsid w:val="00385229"/>
    <w:rsid w:val="0038758C"/>
    <w:rsid w:val="00387EAB"/>
    <w:rsid w:val="003925DC"/>
    <w:rsid w:val="003942C1"/>
    <w:rsid w:val="00395CFE"/>
    <w:rsid w:val="00395F38"/>
    <w:rsid w:val="0039668F"/>
    <w:rsid w:val="00396E41"/>
    <w:rsid w:val="003A1093"/>
    <w:rsid w:val="003A2F1B"/>
    <w:rsid w:val="003A3B46"/>
    <w:rsid w:val="003A3FC6"/>
    <w:rsid w:val="003A49D1"/>
    <w:rsid w:val="003A67F6"/>
    <w:rsid w:val="003B0550"/>
    <w:rsid w:val="003B06B7"/>
    <w:rsid w:val="003B18C4"/>
    <w:rsid w:val="003B28FF"/>
    <w:rsid w:val="003B366F"/>
    <w:rsid w:val="003B694F"/>
    <w:rsid w:val="003B7D0E"/>
    <w:rsid w:val="003C2436"/>
    <w:rsid w:val="003C47B1"/>
    <w:rsid w:val="003C48AB"/>
    <w:rsid w:val="003C589A"/>
    <w:rsid w:val="003C77F1"/>
    <w:rsid w:val="003D2256"/>
    <w:rsid w:val="003E5ACA"/>
    <w:rsid w:val="003E7B6C"/>
    <w:rsid w:val="003F0EF2"/>
    <w:rsid w:val="003F171C"/>
    <w:rsid w:val="003F1EE9"/>
    <w:rsid w:val="004004AF"/>
    <w:rsid w:val="00402A03"/>
    <w:rsid w:val="00403231"/>
    <w:rsid w:val="00412582"/>
    <w:rsid w:val="00412FC5"/>
    <w:rsid w:val="00413423"/>
    <w:rsid w:val="00415EFC"/>
    <w:rsid w:val="00420182"/>
    <w:rsid w:val="00422276"/>
    <w:rsid w:val="00422B9A"/>
    <w:rsid w:val="004242F1"/>
    <w:rsid w:val="004243FE"/>
    <w:rsid w:val="00432406"/>
    <w:rsid w:val="0043254C"/>
    <w:rsid w:val="00432569"/>
    <w:rsid w:val="00437716"/>
    <w:rsid w:val="00441312"/>
    <w:rsid w:val="00445A00"/>
    <w:rsid w:val="00451B0F"/>
    <w:rsid w:val="00456CBE"/>
    <w:rsid w:val="004570A3"/>
    <w:rsid w:val="0046125F"/>
    <w:rsid w:val="00462520"/>
    <w:rsid w:val="00466B8E"/>
    <w:rsid w:val="0046783E"/>
    <w:rsid w:val="00467C77"/>
    <w:rsid w:val="00470E9D"/>
    <w:rsid w:val="00471CE2"/>
    <w:rsid w:val="00475591"/>
    <w:rsid w:val="00475AE7"/>
    <w:rsid w:val="004806FB"/>
    <w:rsid w:val="004872D0"/>
    <w:rsid w:val="00487524"/>
    <w:rsid w:val="004876D1"/>
    <w:rsid w:val="004903BF"/>
    <w:rsid w:val="0049112B"/>
    <w:rsid w:val="004928F5"/>
    <w:rsid w:val="004943CA"/>
    <w:rsid w:val="0049488B"/>
    <w:rsid w:val="00495252"/>
    <w:rsid w:val="00496106"/>
    <w:rsid w:val="00496949"/>
    <w:rsid w:val="004A660E"/>
    <w:rsid w:val="004B088F"/>
    <w:rsid w:val="004B091D"/>
    <w:rsid w:val="004B6492"/>
    <w:rsid w:val="004C12D0"/>
    <w:rsid w:val="004C2EE3"/>
    <w:rsid w:val="004C3FFB"/>
    <w:rsid w:val="004C70FB"/>
    <w:rsid w:val="004D22C3"/>
    <w:rsid w:val="004D362E"/>
    <w:rsid w:val="004D5869"/>
    <w:rsid w:val="004D6C60"/>
    <w:rsid w:val="004E4A22"/>
    <w:rsid w:val="004E72B7"/>
    <w:rsid w:val="004F35CA"/>
    <w:rsid w:val="004F4239"/>
    <w:rsid w:val="004F60EC"/>
    <w:rsid w:val="004F737A"/>
    <w:rsid w:val="005053A7"/>
    <w:rsid w:val="00506C61"/>
    <w:rsid w:val="005106C5"/>
    <w:rsid w:val="00511968"/>
    <w:rsid w:val="005123BE"/>
    <w:rsid w:val="00516819"/>
    <w:rsid w:val="00516C98"/>
    <w:rsid w:val="0052214B"/>
    <w:rsid w:val="00523F0D"/>
    <w:rsid w:val="00524B7D"/>
    <w:rsid w:val="00525F91"/>
    <w:rsid w:val="00532BEA"/>
    <w:rsid w:val="005357B8"/>
    <w:rsid w:val="00536CF8"/>
    <w:rsid w:val="0054043D"/>
    <w:rsid w:val="00545A19"/>
    <w:rsid w:val="0054650E"/>
    <w:rsid w:val="00550354"/>
    <w:rsid w:val="00552A15"/>
    <w:rsid w:val="0055614C"/>
    <w:rsid w:val="005614FA"/>
    <w:rsid w:val="00563C1F"/>
    <w:rsid w:val="00564FFA"/>
    <w:rsid w:val="00577322"/>
    <w:rsid w:val="00577BFF"/>
    <w:rsid w:val="00581C61"/>
    <w:rsid w:val="00582BAF"/>
    <w:rsid w:val="00584B7F"/>
    <w:rsid w:val="00595381"/>
    <w:rsid w:val="0059746C"/>
    <w:rsid w:val="005A0BF4"/>
    <w:rsid w:val="005A3062"/>
    <w:rsid w:val="005A31B2"/>
    <w:rsid w:val="005A3ADF"/>
    <w:rsid w:val="005A445D"/>
    <w:rsid w:val="005A4610"/>
    <w:rsid w:val="005A7365"/>
    <w:rsid w:val="005B3EC2"/>
    <w:rsid w:val="005B5B7B"/>
    <w:rsid w:val="005C24D8"/>
    <w:rsid w:val="005C680A"/>
    <w:rsid w:val="005C7EF4"/>
    <w:rsid w:val="005D0403"/>
    <w:rsid w:val="005D092D"/>
    <w:rsid w:val="005D0A49"/>
    <w:rsid w:val="005D3464"/>
    <w:rsid w:val="005D7816"/>
    <w:rsid w:val="005E347C"/>
    <w:rsid w:val="005E5BA2"/>
    <w:rsid w:val="005E5F6A"/>
    <w:rsid w:val="005E74A9"/>
    <w:rsid w:val="005F0449"/>
    <w:rsid w:val="005F4263"/>
    <w:rsid w:val="005F5D60"/>
    <w:rsid w:val="00603CBE"/>
    <w:rsid w:val="00607BA5"/>
    <w:rsid w:val="006126AF"/>
    <w:rsid w:val="00615C48"/>
    <w:rsid w:val="00620DBB"/>
    <w:rsid w:val="00620F82"/>
    <w:rsid w:val="00621457"/>
    <w:rsid w:val="00625270"/>
    <w:rsid w:val="00626EB6"/>
    <w:rsid w:val="006275B0"/>
    <w:rsid w:val="00631B71"/>
    <w:rsid w:val="006353A3"/>
    <w:rsid w:val="00637E27"/>
    <w:rsid w:val="00642E7B"/>
    <w:rsid w:val="00643878"/>
    <w:rsid w:val="006439DA"/>
    <w:rsid w:val="00644B2C"/>
    <w:rsid w:val="006548AC"/>
    <w:rsid w:val="00655D03"/>
    <w:rsid w:val="00660386"/>
    <w:rsid w:val="00664AB4"/>
    <w:rsid w:val="006650A4"/>
    <w:rsid w:val="006665E6"/>
    <w:rsid w:val="00675E8A"/>
    <w:rsid w:val="0068023C"/>
    <w:rsid w:val="006813E7"/>
    <w:rsid w:val="00683F84"/>
    <w:rsid w:val="00684738"/>
    <w:rsid w:val="0068763E"/>
    <w:rsid w:val="006901C6"/>
    <w:rsid w:val="00694196"/>
    <w:rsid w:val="00694C92"/>
    <w:rsid w:val="006953EE"/>
    <w:rsid w:val="0069577D"/>
    <w:rsid w:val="006972E8"/>
    <w:rsid w:val="006A467F"/>
    <w:rsid w:val="006A6A81"/>
    <w:rsid w:val="006B2F55"/>
    <w:rsid w:val="006B5D0A"/>
    <w:rsid w:val="006B68F8"/>
    <w:rsid w:val="006B6F46"/>
    <w:rsid w:val="006C1880"/>
    <w:rsid w:val="006C28BB"/>
    <w:rsid w:val="006C47FA"/>
    <w:rsid w:val="006C7A94"/>
    <w:rsid w:val="006D0FAA"/>
    <w:rsid w:val="006D40DD"/>
    <w:rsid w:val="006D660A"/>
    <w:rsid w:val="006D6AFD"/>
    <w:rsid w:val="006D760F"/>
    <w:rsid w:val="006D7B2B"/>
    <w:rsid w:val="006E26AF"/>
    <w:rsid w:val="006E57B3"/>
    <w:rsid w:val="006F1183"/>
    <w:rsid w:val="006F3559"/>
    <w:rsid w:val="006F4636"/>
    <w:rsid w:val="006F7393"/>
    <w:rsid w:val="00701094"/>
    <w:rsid w:val="007019B6"/>
    <w:rsid w:val="007019FF"/>
    <w:rsid w:val="0070224F"/>
    <w:rsid w:val="00703BB5"/>
    <w:rsid w:val="0070486C"/>
    <w:rsid w:val="007056A4"/>
    <w:rsid w:val="007115F7"/>
    <w:rsid w:val="007178B4"/>
    <w:rsid w:val="00717B07"/>
    <w:rsid w:val="00725674"/>
    <w:rsid w:val="0072578B"/>
    <w:rsid w:val="00726F80"/>
    <w:rsid w:val="00731C3E"/>
    <w:rsid w:val="00735B84"/>
    <w:rsid w:val="00740AD9"/>
    <w:rsid w:val="00744F93"/>
    <w:rsid w:val="00746759"/>
    <w:rsid w:val="00747C64"/>
    <w:rsid w:val="007525C3"/>
    <w:rsid w:val="00762FC4"/>
    <w:rsid w:val="007668C8"/>
    <w:rsid w:val="00770F47"/>
    <w:rsid w:val="00780E7D"/>
    <w:rsid w:val="00785689"/>
    <w:rsid w:val="00792664"/>
    <w:rsid w:val="0079754B"/>
    <w:rsid w:val="007A0B06"/>
    <w:rsid w:val="007A1E6D"/>
    <w:rsid w:val="007A29A0"/>
    <w:rsid w:val="007A555E"/>
    <w:rsid w:val="007B1170"/>
    <w:rsid w:val="007B1F0E"/>
    <w:rsid w:val="007B72F9"/>
    <w:rsid w:val="007B7C16"/>
    <w:rsid w:val="007C179B"/>
    <w:rsid w:val="007C2228"/>
    <w:rsid w:val="007C4371"/>
    <w:rsid w:val="007C5078"/>
    <w:rsid w:val="007C53B3"/>
    <w:rsid w:val="007C674D"/>
    <w:rsid w:val="007D3761"/>
    <w:rsid w:val="007D4842"/>
    <w:rsid w:val="007D4DB7"/>
    <w:rsid w:val="007D6054"/>
    <w:rsid w:val="007E32AB"/>
    <w:rsid w:val="007F0701"/>
    <w:rsid w:val="007F0DBB"/>
    <w:rsid w:val="007F1D7C"/>
    <w:rsid w:val="007F29ED"/>
    <w:rsid w:val="007F400A"/>
    <w:rsid w:val="007F40C5"/>
    <w:rsid w:val="007F5818"/>
    <w:rsid w:val="007F5C59"/>
    <w:rsid w:val="00800267"/>
    <w:rsid w:val="00801AAA"/>
    <w:rsid w:val="00801FDC"/>
    <w:rsid w:val="00805401"/>
    <w:rsid w:val="008068FD"/>
    <w:rsid w:val="00822CE0"/>
    <w:rsid w:val="00825E7D"/>
    <w:rsid w:val="008271E2"/>
    <w:rsid w:val="008275B8"/>
    <w:rsid w:val="0083155B"/>
    <w:rsid w:val="008338CE"/>
    <w:rsid w:val="00837C62"/>
    <w:rsid w:val="00841404"/>
    <w:rsid w:val="00841AB1"/>
    <w:rsid w:val="00844109"/>
    <w:rsid w:val="0084412A"/>
    <w:rsid w:val="00845944"/>
    <w:rsid w:val="00851E64"/>
    <w:rsid w:val="008550B5"/>
    <w:rsid w:val="0085777F"/>
    <w:rsid w:val="0086068D"/>
    <w:rsid w:val="00861958"/>
    <w:rsid w:val="0086597B"/>
    <w:rsid w:val="008670A1"/>
    <w:rsid w:val="00872701"/>
    <w:rsid w:val="008759A0"/>
    <w:rsid w:val="008774D9"/>
    <w:rsid w:val="00880227"/>
    <w:rsid w:val="00880549"/>
    <w:rsid w:val="00880961"/>
    <w:rsid w:val="008823A6"/>
    <w:rsid w:val="00885346"/>
    <w:rsid w:val="008860DF"/>
    <w:rsid w:val="008865BD"/>
    <w:rsid w:val="00890537"/>
    <w:rsid w:val="008928B0"/>
    <w:rsid w:val="00892BEE"/>
    <w:rsid w:val="00893955"/>
    <w:rsid w:val="008969B3"/>
    <w:rsid w:val="0089722C"/>
    <w:rsid w:val="008A5F0D"/>
    <w:rsid w:val="008A6865"/>
    <w:rsid w:val="008A72A2"/>
    <w:rsid w:val="008B3790"/>
    <w:rsid w:val="008B3951"/>
    <w:rsid w:val="008B3DC7"/>
    <w:rsid w:val="008B51AD"/>
    <w:rsid w:val="008C0043"/>
    <w:rsid w:val="008C09B2"/>
    <w:rsid w:val="008C1A0F"/>
    <w:rsid w:val="008C1DAA"/>
    <w:rsid w:val="008C22FD"/>
    <w:rsid w:val="008C2513"/>
    <w:rsid w:val="008C5059"/>
    <w:rsid w:val="008D327D"/>
    <w:rsid w:val="008D5B54"/>
    <w:rsid w:val="008D5EA0"/>
    <w:rsid w:val="008D6240"/>
    <w:rsid w:val="008E5D2B"/>
    <w:rsid w:val="008F58CF"/>
    <w:rsid w:val="00902F76"/>
    <w:rsid w:val="0090545D"/>
    <w:rsid w:val="00910F12"/>
    <w:rsid w:val="00913041"/>
    <w:rsid w:val="0091539A"/>
    <w:rsid w:val="0091650F"/>
    <w:rsid w:val="00922696"/>
    <w:rsid w:val="00923F59"/>
    <w:rsid w:val="00925ACF"/>
    <w:rsid w:val="00926397"/>
    <w:rsid w:val="00926503"/>
    <w:rsid w:val="0092692D"/>
    <w:rsid w:val="00926C1D"/>
    <w:rsid w:val="00930ECF"/>
    <w:rsid w:val="00931CEB"/>
    <w:rsid w:val="0093267F"/>
    <w:rsid w:val="009432A3"/>
    <w:rsid w:val="00943407"/>
    <w:rsid w:val="00943B23"/>
    <w:rsid w:val="00946DF9"/>
    <w:rsid w:val="0095053C"/>
    <w:rsid w:val="0095057C"/>
    <w:rsid w:val="009556CA"/>
    <w:rsid w:val="0096037E"/>
    <w:rsid w:val="00960B05"/>
    <w:rsid w:val="00967271"/>
    <w:rsid w:val="00970A34"/>
    <w:rsid w:val="009713DD"/>
    <w:rsid w:val="00976129"/>
    <w:rsid w:val="00976938"/>
    <w:rsid w:val="009801F8"/>
    <w:rsid w:val="009838BC"/>
    <w:rsid w:val="00983A14"/>
    <w:rsid w:val="00983EE2"/>
    <w:rsid w:val="00986B91"/>
    <w:rsid w:val="00987966"/>
    <w:rsid w:val="00987A27"/>
    <w:rsid w:val="009901F7"/>
    <w:rsid w:val="009929EC"/>
    <w:rsid w:val="0099720B"/>
    <w:rsid w:val="009A65B8"/>
    <w:rsid w:val="009A685A"/>
    <w:rsid w:val="009B3988"/>
    <w:rsid w:val="009B63B0"/>
    <w:rsid w:val="009C2EC9"/>
    <w:rsid w:val="009C448A"/>
    <w:rsid w:val="009C73EF"/>
    <w:rsid w:val="009D175D"/>
    <w:rsid w:val="009D36AB"/>
    <w:rsid w:val="009D708B"/>
    <w:rsid w:val="009E0A80"/>
    <w:rsid w:val="009F1761"/>
    <w:rsid w:val="009F71A2"/>
    <w:rsid w:val="00A011D2"/>
    <w:rsid w:val="00A029B6"/>
    <w:rsid w:val="00A03FAC"/>
    <w:rsid w:val="00A06E7E"/>
    <w:rsid w:val="00A13DDC"/>
    <w:rsid w:val="00A1615A"/>
    <w:rsid w:val="00A164EA"/>
    <w:rsid w:val="00A22D46"/>
    <w:rsid w:val="00A239D2"/>
    <w:rsid w:val="00A30968"/>
    <w:rsid w:val="00A32C6E"/>
    <w:rsid w:val="00A351CE"/>
    <w:rsid w:val="00A40309"/>
    <w:rsid w:val="00A42060"/>
    <w:rsid w:val="00A45F4F"/>
    <w:rsid w:val="00A5137A"/>
    <w:rsid w:val="00A51758"/>
    <w:rsid w:val="00A554EE"/>
    <w:rsid w:val="00A600A9"/>
    <w:rsid w:val="00A61E25"/>
    <w:rsid w:val="00A6263A"/>
    <w:rsid w:val="00A6329B"/>
    <w:rsid w:val="00A6538C"/>
    <w:rsid w:val="00A663DB"/>
    <w:rsid w:val="00A7404D"/>
    <w:rsid w:val="00A7407D"/>
    <w:rsid w:val="00A77268"/>
    <w:rsid w:val="00A84BCC"/>
    <w:rsid w:val="00A8620D"/>
    <w:rsid w:val="00A86681"/>
    <w:rsid w:val="00A866AC"/>
    <w:rsid w:val="00A90ABC"/>
    <w:rsid w:val="00A922E8"/>
    <w:rsid w:val="00A92712"/>
    <w:rsid w:val="00A92F17"/>
    <w:rsid w:val="00A950E2"/>
    <w:rsid w:val="00A95C94"/>
    <w:rsid w:val="00AA020D"/>
    <w:rsid w:val="00AA412A"/>
    <w:rsid w:val="00AA52F2"/>
    <w:rsid w:val="00AA55B7"/>
    <w:rsid w:val="00AA5B9E"/>
    <w:rsid w:val="00AB2109"/>
    <w:rsid w:val="00AB2407"/>
    <w:rsid w:val="00AB3596"/>
    <w:rsid w:val="00AB53DF"/>
    <w:rsid w:val="00AB61ED"/>
    <w:rsid w:val="00AB7889"/>
    <w:rsid w:val="00AC4DB3"/>
    <w:rsid w:val="00AC51D3"/>
    <w:rsid w:val="00AC5DFB"/>
    <w:rsid w:val="00AC669A"/>
    <w:rsid w:val="00AD3257"/>
    <w:rsid w:val="00AD50D4"/>
    <w:rsid w:val="00AD62E9"/>
    <w:rsid w:val="00AE1813"/>
    <w:rsid w:val="00AE3C92"/>
    <w:rsid w:val="00AE47E9"/>
    <w:rsid w:val="00AE522A"/>
    <w:rsid w:val="00AF2B5C"/>
    <w:rsid w:val="00B021EE"/>
    <w:rsid w:val="00B02A93"/>
    <w:rsid w:val="00B07E5C"/>
    <w:rsid w:val="00B11D8C"/>
    <w:rsid w:val="00B17836"/>
    <w:rsid w:val="00B17B13"/>
    <w:rsid w:val="00B238E7"/>
    <w:rsid w:val="00B31B86"/>
    <w:rsid w:val="00B326E3"/>
    <w:rsid w:val="00B334D7"/>
    <w:rsid w:val="00B3351F"/>
    <w:rsid w:val="00B368CC"/>
    <w:rsid w:val="00B36901"/>
    <w:rsid w:val="00B402F4"/>
    <w:rsid w:val="00B4215C"/>
    <w:rsid w:val="00B43169"/>
    <w:rsid w:val="00B44339"/>
    <w:rsid w:val="00B47261"/>
    <w:rsid w:val="00B5389B"/>
    <w:rsid w:val="00B61C60"/>
    <w:rsid w:val="00B7124D"/>
    <w:rsid w:val="00B721C8"/>
    <w:rsid w:val="00B73C0C"/>
    <w:rsid w:val="00B74EB4"/>
    <w:rsid w:val="00B811F7"/>
    <w:rsid w:val="00B82285"/>
    <w:rsid w:val="00B848FE"/>
    <w:rsid w:val="00B84BD2"/>
    <w:rsid w:val="00B84CD9"/>
    <w:rsid w:val="00B905AA"/>
    <w:rsid w:val="00B90BD1"/>
    <w:rsid w:val="00B959E6"/>
    <w:rsid w:val="00B97BD5"/>
    <w:rsid w:val="00BA1134"/>
    <w:rsid w:val="00BA1383"/>
    <w:rsid w:val="00BA196F"/>
    <w:rsid w:val="00BA4A23"/>
    <w:rsid w:val="00BA5DC6"/>
    <w:rsid w:val="00BA6196"/>
    <w:rsid w:val="00BA7043"/>
    <w:rsid w:val="00BB0D65"/>
    <w:rsid w:val="00BB2DCC"/>
    <w:rsid w:val="00BB4022"/>
    <w:rsid w:val="00BB6496"/>
    <w:rsid w:val="00BB6DCE"/>
    <w:rsid w:val="00BC1F26"/>
    <w:rsid w:val="00BC6BB5"/>
    <w:rsid w:val="00BC6D8C"/>
    <w:rsid w:val="00BC6FB9"/>
    <w:rsid w:val="00BC76BB"/>
    <w:rsid w:val="00BD0A9B"/>
    <w:rsid w:val="00BD1F31"/>
    <w:rsid w:val="00BD332E"/>
    <w:rsid w:val="00BD38DB"/>
    <w:rsid w:val="00BD41D9"/>
    <w:rsid w:val="00BD4B59"/>
    <w:rsid w:val="00BD50BA"/>
    <w:rsid w:val="00BD5994"/>
    <w:rsid w:val="00BE1AA3"/>
    <w:rsid w:val="00BF43CF"/>
    <w:rsid w:val="00BF4EC4"/>
    <w:rsid w:val="00BF7678"/>
    <w:rsid w:val="00C00B2A"/>
    <w:rsid w:val="00C01B19"/>
    <w:rsid w:val="00C0633C"/>
    <w:rsid w:val="00C07140"/>
    <w:rsid w:val="00C077E1"/>
    <w:rsid w:val="00C07BDE"/>
    <w:rsid w:val="00C10E83"/>
    <w:rsid w:val="00C1189E"/>
    <w:rsid w:val="00C14E8F"/>
    <w:rsid w:val="00C16AF2"/>
    <w:rsid w:val="00C2261D"/>
    <w:rsid w:val="00C2475E"/>
    <w:rsid w:val="00C24DD2"/>
    <w:rsid w:val="00C27664"/>
    <w:rsid w:val="00C27859"/>
    <w:rsid w:val="00C27EA3"/>
    <w:rsid w:val="00C31891"/>
    <w:rsid w:val="00C33898"/>
    <w:rsid w:val="00C34006"/>
    <w:rsid w:val="00C35272"/>
    <w:rsid w:val="00C360F5"/>
    <w:rsid w:val="00C367FB"/>
    <w:rsid w:val="00C41A27"/>
    <w:rsid w:val="00C420D6"/>
    <w:rsid w:val="00C426B1"/>
    <w:rsid w:val="00C43525"/>
    <w:rsid w:val="00C4665E"/>
    <w:rsid w:val="00C47FF8"/>
    <w:rsid w:val="00C509AC"/>
    <w:rsid w:val="00C50A2E"/>
    <w:rsid w:val="00C5129F"/>
    <w:rsid w:val="00C61BB7"/>
    <w:rsid w:val="00C621EC"/>
    <w:rsid w:val="00C70F5B"/>
    <w:rsid w:val="00C71544"/>
    <w:rsid w:val="00C7200D"/>
    <w:rsid w:val="00C7218A"/>
    <w:rsid w:val="00C7222F"/>
    <w:rsid w:val="00C7392A"/>
    <w:rsid w:val="00C80924"/>
    <w:rsid w:val="00C82B6B"/>
    <w:rsid w:val="00C850D8"/>
    <w:rsid w:val="00C90D6A"/>
    <w:rsid w:val="00C96CB6"/>
    <w:rsid w:val="00CA23D7"/>
    <w:rsid w:val="00CA5E0B"/>
    <w:rsid w:val="00CA63AF"/>
    <w:rsid w:val="00CB14D4"/>
    <w:rsid w:val="00CB4801"/>
    <w:rsid w:val="00CB52EB"/>
    <w:rsid w:val="00CC3745"/>
    <w:rsid w:val="00CC4904"/>
    <w:rsid w:val="00CC60EB"/>
    <w:rsid w:val="00CC6A10"/>
    <w:rsid w:val="00CC72B6"/>
    <w:rsid w:val="00CD1437"/>
    <w:rsid w:val="00CD1447"/>
    <w:rsid w:val="00CD2FA0"/>
    <w:rsid w:val="00CD30B5"/>
    <w:rsid w:val="00CD5655"/>
    <w:rsid w:val="00CE359D"/>
    <w:rsid w:val="00CE3C68"/>
    <w:rsid w:val="00CF1A56"/>
    <w:rsid w:val="00CF6523"/>
    <w:rsid w:val="00D0137A"/>
    <w:rsid w:val="00D0218D"/>
    <w:rsid w:val="00D03809"/>
    <w:rsid w:val="00D04868"/>
    <w:rsid w:val="00D06F09"/>
    <w:rsid w:val="00D06FA2"/>
    <w:rsid w:val="00D12B3C"/>
    <w:rsid w:val="00D13707"/>
    <w:rsid w:val="00D216CD"/>
    <w:rsid w:val="00D22B78"/>
    <w:rsid w:val="00D238CC"/>
    <w:rsid w:val="00D26EF4"/>
    <w:rsid w:val="00D351CC"/>
    <w:rsid w:val="00D3650B"/>
    <w:rsid w:val="00D41B3B"/>
    <w:rsid w:val="00D45A14"/>
    <w:rsid w:val="00D5095E"/>
    <w:rsid w:val="00D51481"/>
    <w:rsid w:val="00D53ADF"/>
    <w:rsid w:val="00D64012"/>
    <w:rsid w:val="00D6557E"/>
    <w:rsid w:val="00D6581B"/>
    <w:rsid w:val="00D74AEC"/>
    <w:rsid w:val="00D76953"/>
    <w:rsid w:val="00D806AA"/>
    <w:rsid w:val="00D8081B"/>
    <w:rsid w:val="00D81F91"/>
    <w:rsid w:val="00D8472B"/>
    <w:rsid w:val="00D84C22"/>
    <w:rsid w:val="00D851AB"/>
    <w:rsid w:val="00D85EF5"/>
    <w:rsid w:val="00D90DAC"/>
    <w:rsid w:val="00DA07AA"/>
    <w:rsid w:val="00DA2529"/>
    <w:rsid w:val="00DA455F"/>
    <w:rsid w:val="00DA63CD"/>
    <w:rsid w:val="00DA77F0"/>
    <w:rsid w:val="00DB130A"/>
    <w:rsid w:val="00DB36BF"/>
    <w:rsid w:val="00DB54CA"/>
    <w:rsid w:val="00DB5AC1"/>
    <w:rsid w:val="00DB6527"/>
    <w:rsid w:val="00DC10A1"/>
    <w:rsid w:val="00DC1A63"/>
    <w:rsid w:val="00DC44DE"/>
    <w:rsid w:val="00DC4D66"/>
    <w:rsid w:val="00DC53B1"/>
    <w:rsid w:val="00DC56D1"/>
    <w:rsid w:val="00DC655F"/>
    <w:rsid w:val="00DC7BAE"/>
    <w:rsid w:val="00DD0336"/>
    <w:rsid w:val="00DD0F22"/>
    <w:rsid w:val="00DD6C7F"/>
    <w:rsid w:val="00DD7CEF"/>
    <w:rsid w:val="00DD7EBD"/>
    <w:rsid w:val="00DE070F"/>
    <w:rsid w:val="00DE0D04"/>
    <w:rsid w:val="00DE4B07"/>
    <w:rsid w:val="00DF1B24"/>
    <w:rsid w:val="00DF4E87"/>
    <w:rsid w:val="00DF62B6"/>
    <w:rsid w:val="00E04D5A"/>
    <w:rsid w:val="00E07225"/>
    <w:rsid w:val="00E155B7"/>
    <w:rsid w:val="00E15AD6"/>
    <w:rsid w:val="00E15F88"/>
    <w:rsid w:val="00E169CC"/>
    <w:rsid w:val="00E17865"/>
    <w:rsid w:val="00E21870"/>
    <w:rsid w:val="00E262F3"/>
    <w:rsid w:val="00E27214"/>
    <w:rsid w:val="00E3399D"/>
    <w:rsid w:val="00E4245C"/>
    <w:rsid w:val="00E50130"/>
    <w:rsid w:val="00E504A8"/>
    <w:rsid w:val="00E50F11"/>
    <w:rsid w:val="00E5409F"/>
    <w:rsid w:val="00E61137"/>
    <w:rsid w:val="00E63E9C"/>
    <w:rsid w:val="00E65904"/>
    <w:rsid w:val="00E70C9B"/>
    <w:rsid w:val="00E72298"/>
    <w:rsid w:val="00E73463"/>
    <w:rsid w:val="00E743F2"/>
    <w:rsid w:val="00E74F67"/>
    <w:rsid w:val="00E77864"/>
    <w:rsid w:val="00E85276"/>
    <w:rsid w:val="00E87847"/>
    <w:rsid w:val="00E96AC2"/>
    <w:rsid w:val="00E96B4B"/>
    <w:rsid w:val="00E9794F"/>
    <w:rsid w:val="00EA003B"/>
    <w:rsid w:val="00EA1D70"/>
    <w:rsid w:val="00EA5DC5"/>
    <w:rsid w:val="00EB08CE"/>
    <w:rsid w:val="00EB17F9"/>
    <w:rsid w:val="00EB2C44"/>
    <w:rsid w:val="00EC0185"/>
    <w:rsid w:val="00EC0BF7"/>
    <w:rsid w:val="00EC195C"/>
    <w:rsid w:val="00EC2DFD"/>
    <w:rsid w:val="00EC68BF"/>
    <w:rsid w:val="00ED05B6"/>
    <w:rsid w:val="00ED11B3"/>
    <w:rsid w:val="00ED33DB"/>
    <w:rsid w:val="00ED3D49"/>
    <w:rsid w:val="00ED61CE"/>
    <w:rsid w:val="00ED6F96"/>
    <w:rsid w:val="00EE0028"/>
    <w:rsid w:val="00EE6ADD"/>
    <w:rsid w:val="00EF064F"/>
    <w:rsid w:val="00EF5C69"/>
    <w:rsid w:val="00EF5E4D"/>
    <w:rsid w:val="00F021FA"/>
    <w:rsid w:val="00F03EE6"/>
    <w:rsid w:val="00F051B1"/>
    <w:rsid w:val="00F10131"/>
    <w:rsid w:val="00F10428"/>
    <w:rsid w:val="00F11F96"/>
    <w:rsid w:val="00F13114"/>
    <w:rsid w:val="00F13E8E"/>
    <w:rsid w:val="00F14D69"/>
    <w:rsid w:val="00F159B2"/>
    <w:rsid w:val="00F1632C"/>
    <w:rsid w:val="00F23750"/>
    <w:rsid w:val="00F243B7"/>
    <w:rsid w:val="00F304C0"/>
    <w:rsid w:val="00F311FC"/>
    <w:rsid w:val="00F322CA"/>
    <w:rsid w:val="00F37BD3"/>
    <w:rsid w:val="00F40476"/>
    <w:rsid w:val="00F432AC"/>
    <w:rsid w:val="00F4366C"/>
    <w:rsid w:val="00F43E3B"/>
    <w:rsid w:val="00F446CC"/>
    <w:rsid w:val="00F46420"/>
    <w:rsid w:val="00F5223B"/>
    <w:rsid w:val="00F57ACA"/>
    <w:rsid w:val="00F61F48"/>
    <w:rsid w:val="00F62E97"/>
    <w:rsid w:val="00F64209"/>
    <w:rsid w:val="00F65711"/>
    <w:rsid w:val="00F66D37"/>
    <w:rsid w:val="00F67726"/>
    <w:rsid w:val="00F72B31"/>
    <w:rsid w:val="00F73399"/>
    <w:rsid w:val="00F7410E"/>
    <w:rsid w:val="00F76515"/>
    <w:rsid w:val="00F84F68"/>
    <w:rsid w:val="00F93BF5"/>
    <w:rsid w:val="00F96438"/>
    <w:rsid w:val="00F96F63"/>
    <w:rsid w:val="00F9742C"/>
    <w:rsid w:val="00FA3284"/>
    <w:rsid w:val="00FB0C37"/>
    <w:rsid w:val="00FB0DCC"/>
    <w:rsid w:val="00FB1102"/>
    <w:rsid w:val="00FB2F91"/>
    <w:rsid w:val="00FB3EDD"/>
    <w:rsid w:val="00FB6AC1"/>
    <w:rsid w:val="00FC392C"/>
    <w:rsid w:val="00FC565D"/>
    <w:rsid w:val="00FC734F"/>
    <w:rsid w:val="00FC7C2A"/>
    <w:rsid w:val="00FE1675"/>
    <w:rsid w:val="00FE56A1"/>
    <w:rsid w:val="00FE56C4"/>
    <w:rsid w:val="00FE583B"/>
    <w:rsid w:val="00FF4199"/>
    <w:rsid w:val="00FF6278"/>
    <w:rsid w:val="00FF682A"/>
    <w:rsid w:val="00FF7A37"/>
    <w:rsid w:val="75796D0F"/>
    <w:rsid w:val="7AC21DF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964AAE2"/>
  <w15:chartTrackingRefBased/>
  <w15:docId w15:val="{781F4A31-8D49-4320-B192-22E1A73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lang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uiPriority w:val="99"/>
    <w:qFormat/>
    <w:rsid w:val="000E3D42"/>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uiPriority w:val="99"/>
    <w:rsid w:val="009901F7"/>
  </w:style>
  <w:style w:type="paragraph" w:styleId="Revision">
    <w:name w:val="Revision"/>
    <w:hidden/>
    <w:uiPriority w:val="99"/>
    <w:semiHidden/>
    <w:rsid w:val="007019FF"/>
    <w:rPr>
      <w:snapToGrid w:val="0"/>
      <w:kern w:val="28"/>
      <w:sz w:val="22"/>
      <w:lang w:eastAsia="en-US"/>
    </w:rPr>
  </w:style>
  <w:style w:type="character" w:styleId="Emphasis">
    <w:name w:val="Emphasis"/>
    <w:uiPriority w:val="20"/>
    <w:qFormat/>
    <w:rsid w:val="002049B9"/>
    <w:rPr>
      <w:i/>
      <w:iCs/>
    </w:rPr>
  </w:style>
  <w:style w:type="character" w:customStyle="1" w:styleId="cosearchterm">
    <w:name w:val="co_searchterm"/>
    <w:basedOn w:val="DefaultParagraphFont"/>
    <w:rsid w:val="002049B9"/>
  </w:style>
  <w:style w:type="character" w:customStyle="1" w:styleId="copinpointicon">
    <w:name w:val="co_pinpointicon"/>
    <w:basedOn w:val="DefaultParagraphFont"/>
    <w:rsid w:val="005B5B7B"/>
  </w:style>
  <w:style w:type="character" w:customStyle="1" w:styleId="UnresolvedMention1">
    <w:name w:val="Unresolved Mention1"/>
    <w:uiPriority w:val="99"/>
    <w:rsid w:val="00432569"/>
    <w:rPr>
      <w:color w:val="605E5C"/>
      <w:shd w:val="clear" w:color="auto" w:fill="E1DFDD"/>
    </w:rPr>
  </w:style>
  <w:style w:type="character" w:styleId="FollowedHyperlink">
    <w:name w:val="FollowedHyperlink"/>
    <w:uiPriority w:val="99"/>
    <w:semiHidden/>
    <w:unhideWhenUsed/>
    <w:rsid w:val="00432569"/>
    <w:rPr>
      <w:color w:val="954F72"/>
      <w:u w:val="single"/>
    </w:rPr>
  </w:style>
  <w:style w:type="paragraph" w:customStyle="1" w:styleId="xmsonormal">
    <w:name w:val="x_msonormal"/>
    <w:basedOn w:val="Normal"/>
    <w:rsid w:val="00EC68BF"/>
    <w:pPr>
      <w:widowControl/>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681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