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4A5D47B1">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2833A8">
        <w:rPr>
          <w:b/>
          <w:szCs w:val="22"/>
        </w:rPr>
        <w:t>1065</w:t>
      </w:r>
    </w:p>
    <w:p w:rsidR="006076B9" w:rsidP="007D67D9" w14:paraId="6DA34BF3" w14:textId="1FC1856C">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EF047C">
        <w:rPr>
          <w:b/>
          <w:szCs w:val="22"/>
        </w:rPr>
        <w:t>August 2</w:t>
      </w:r>
      <w:r w:rsidR="007A0425">
        <w:rPr>
          <w:b/>
          <w:szCs w:val="22"/>
        </w:rPr>
        <w:t>7</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3D5F1D" w:rsidP="003D0F05" w14:paraId="06E22205"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APPLICATION OF </w:t>
      </w:r>
      <w:r w:rsidRPr="00506769" w:rsidR="00506769">
        <w:rPr>
          <w:b/>
          <w:kern w:val="0"/>
          <w:szCs w:val="22"/>
        </w:rPr>
        <w:t>E</w:t>
      </w:r>
      <w:r w:rsidR="00506769">
        <w:rPr>
          <w:b/>
          <w:kern w:val="0"/>
          <w:szCs w:val="22"/>
        </w:rPr>
        <w:t>MBARQ</w:t>
      </w:r>
      <w:r w:rsidRPr="00506769" w:rsidR="00506769">
        <w:rPr>
          <w:b/>
          <w:kern w:val="0"/>
          <w:szCs w:val="22"/>
        </w:rPr>
        <w:t xml:space="preserve"> M</w:t>
      </w:r>
      <w:r w:rsidR="00506769">
        <w:rPr>
          <w:b/>
          <w:kern w:val="0"/>
          <w:szCs w:val="22"/>
        </w:rPr>
        <w:t>ISSOURI,</w:t>
      </w:r>
      <w:r w:rsidRPr="00506769" w:rsidR="00506769">
        <w:rPr>
          <w:b/>
          <w:kern w:val="0"/>
          <w:szCs w:val="22"/>
        </w:rPr>
        <w:t xml:space="preserve"> I</w:t>
      </w:r>
      <w:r w:rsidR="00506769">
        <w:rPr>
          <w:b/>
          <w:kern w:val="0"/>
          <w:szCs w:val="22"/>
        </w:rPr>
        <w:t>NC. D/B/A CENTURYLINK</w:t>
      </w:r>
      <w:r w:rsidR="00B719F5">
        <w:rPr>
          <w:b/>
          <w:kern w:val="0"/>
          <w:szCs w:val="22"/>
        </w:rPr>
        <w:t xml:space="preserve"> </w:t>
      </w:r>
    </w:p>
    <w:p w:rsidR="003D5F1D" w:rsidP="003D0F05" w14:paraId="151438D1"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PURSUANT TO 47 C.F.R. </w:t>
      </w:r>
      <w:r w:rsidRPr="00B719F5">
        <w:rPr>
          <w:b/>
          <w:kern w:val="0"/>
          <w:szCs w:val="22"/>
        </w:rPr>
        <w:t>§</w:t>
      </w:r>
      <w:r>
        <w:rPr>
          <w:b/>
          <w:kern w:val="0"/>
          <w:szCs w:val="22"/>
        </w:rPr>
        <w:t xml:space="preserve"> </w:t>
      </w:r>
      <w:r>
        <w:rPr>
          <w:b/>
          <w:kern w:val="0"/>
          <w:szCs w:val="22"/>
        </w:rPr>
        <w:t xml:space="preserve">63.63 </w:t>
      </w:r>
      <w:r w:rsidR="00EA51ED">
        <w:rPr>
          <w:b/>
          <w:kern w:val="0"/>
          <w:szCs w:val="22"/>
        </w:rPr>
        <w:t xml:space="preserve">FOR </w:t>
      </w:r>
      <w:r>
        <w:rPr>
          <w:b/>
          <w:kern w:val="0"/>
          <w:szCs w:val="22"/>
        </w:rPr>
        <w:t>THE</w:t>
      </w:r>
      <w:r w:rsidR="00EA51ED">
        <w:rPr>
          <w:b/>
          <w:kern w:val="0"/>
          <w:szCs w:val="22"/>
        </w:rPr>
        <w:t xml:space="preserve"> EMERGENCY </w:t>
      </w:r>
      <w:r>
        <w:rPr>
          <w:b/>
          <w:kern w:val="0"/>
          <w:szCs w:val="22"/>
        </w:rPr>
        <w:t>IMPAIRMENT OF SERVICE</w:t>
      </w:r>
      <w:r w:rsidR="00EA51ED">
        <w:rPr>
          <w:b/>
          <w:kern w:val="0"/>
          <w:szCs w:val="22"/>
        </w:rPr>
        <w:t xml:space="preserve"> </w:t>
      </w:r>
    </w:p>
    <w:p w:rsidR="006076B9" w:rsidP="003D0F05" w14:paraId="69B16D72" w14:textId="287113E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IS NOT </w:t>
      </w:r>
      <w:r w:rsidR="00EA51ED">
        <w:rPr>
          <w:b/>
          <w:kern w:val="0"/>
          <w:szCs w:val="22"/>
        </w:rPr>
        <w:t xml:space="preserve">DEEMED </w:t>
      </w:r>
      <w:r>
        <w:rPr>
          <w:b/>
          <w:kern w:val="0"/>
          <w:szCs w:val="22"/>
        </w:rPr>
        <w:t>GRANTED</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1BA233D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EA51ED">
        <w:rPr>
          <w:b/>
          <w:kern w:val="0"/>
          <w:szCs w:val="22"/>
        </w:rPr>
        <w:t>325</w:t>
      </w:r>
    </w:p>
    <w:p w:rsidR="006076B9" w:rsidP="00151B73" w14:paraId="45A6D30C" w14:textId="1BFFD53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w:t>
      </w:r>
      <w:r w:rsidR="00705CFD">
        <w:rPr>
          <w:b/>
          <w:kern w:val="0"/>
          <w:szCs w:val="22"/>
        </w:rPr>
        <w:t>p</w:t>
      </w:r>
      <w:r w:rsidR="00AB1504">
        <w:rPr>
          <w:b/>
          <w:kern w:val="0"/>
          <w:szCs w:val="22"/>
        </w:rPr>
        <w:t>. Pol. File No. 17</w:t>
      </w:r>
      <w:r w:rsidR="00EA51ED">
        <w:rPr>
          <w:b/>
          <w:kern w:val="0"/>
          <w:szCs w:val="22"/>
        </w:rPr>
        <w:t>14</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51E57" w:rsidRPr="008F1477" w:rsidP="008F1477" w14:paraId="7CDF0817" w14:textId="41737898">
      <w:pPr>
        <w:pStyle w:val="FootnoteText"/>
        <w:rPr>
          <w:spacing w:val="-3"/>
          <w:szCs w:val="22"/>
        </w:rPr>
      </w:pPr>
      <w:r>
        <w:rPr>
          <w:spacing w:val="-3"/>
          <w:szCs w:val="22"/>
        </w:rPr>
        <w:tab/>
      </w:r>
      <w:r w:rsidR="00AB1504">
        <w:rPr>
          <w:spacing w:val="-3"/>
          <w:szCs w:val="22"/>
        </w:rPr>
        <w:t xml:space="preserve">On </w:t>
      </w:r>
      <w:r w:rsidR="00EA51ED">
        <w:rPr>
          <w:spacing w:val="-3"/>
          <w:szCs w:val="22"/>
        </w:rPr>
        <w:t xml:space="preserve">August 12, </w:t>
      </w:r>
      <w:r w:rsidR="00AB1504">
        <w:rPr>
          <w:spacing w:val="-3"/>
          <w:szCs w:val="22"/>
        </w:rPr>
        <w:t xml:space="preserve">2021, </w:t>
      </w:r>
      <w:r w:rsidRPr="00EA51ED" w:rsidR="00EA51ED">
        <w:rPr>
          <w:spacing w:val="-3"/>
          <w:szCs w:val="22"/>
        </w:rPr>
        <w:t xml:space="preserve">Embarq Missouri, Inc. d/b/a CenturyLink </w:t>
      </w:r>
      <w:r w:rsidR="00AB1504">
        <w:rPr>
          <w:spacing w:val="-3"/>
          <w:szCs w:val="22"/>
        </w:rPr>
        <w:t>(</w:t>
      </w:r>
      <w:r w:rsidR="00EA51ED">
        <w:rPr>
          <w:spacing w:val="-3"/>
          <w:szCs w:val="22"/>
        </w:rPr>
        <w:t>CenturyLink</w:t>
      </w:r>
      <w:r w:rsidR="00AB1504">
        <w:rPr>
          <w:spacing w:val="-3"/>
          <w:szCs w:val="22"/>
        </w:rPr>
        <w:t xml:space="preserve">), filed an application </w:t>
      </w:r>
      <w:r w:rsidRPr="00AB1504" w:rsidR="00AB1504">
        <w:rPr>
          <w:spacing w:val="-3"/>
          <w:szCs w:val="22"/>
        </w:rPr>
        <w:t xml:space="preserve">with the Federal Communications Commission </w:t>
      </w:r>
      <w:r w:rsidR="004E203C">
        <w:rPr>
          <w:spacing w:val="-3"/>
          <w:szCs w:val="22"/>
        </w:rPr>
        <w:t xml:space="preserve">(FCC or Commission) </w:t>
      </w:r>
      <w:r w:rsidRPr="00AB1504" w:rsidR="00AB1504">
        <w:rPr>
          <w:spacing w:val="-3"/>
          <w:szCs w:val="22"/>
        </w:rPr>
        <w:t>requesting authority, under section 214 of the Communications Act of 1934, as amended, 47 U.S.C. § 214, and section 63.</w:t>
      </w:r>
      <w:r w:rsidR="00477FF7">
        <w:rPr>
          <w:spacing w:val="-3"/>
          <w:szCs w:val="22"/>
        </w:rPr>
        <w:t>63</w:t>
      </w:r>
      <w:r w:rsidRPr="00AB1504" w:rsidR="00AB1504">
        <w:rPr>
          <w:spacing w:val="-3"/>
          <w:szCs w:val="22"/>
        </w:rPr>
        <w:t xml:space="preserve"> of the Commission’s rules, 47 C.F.R. § 63.</w:t>
      </w:r>
      <w:r w:rsidR="00477FF7">
        <w:rPr>
          <w:spacing w:val="-3"/>
          <w:szCs w:val="22"/>
        </w:rPr>
        <w:t>63</w:t>
      </w:r>
      <w:r w:rsidRPr="00AB1504" w:rsidR="00AB1504">
        <w:rPr>
          <w:spacing w:val="-3"/>
          <w:szCs w:val="22"/>
        </w:rPr>
        <w:t xml:space="preserve">, </w:t>
      </w:r>
      <w:r w:rsidR="00477FF7">
        <w:rPr>
          <w:spacing w:val="-3"/>
          <w:szCs w:val="22"/>
        </w:rPr>
        <w:t xml:space="preserve">for </w:t>
      </w:r>
      <w:r w:rsidR="00C50566">
        <w:rPr>
          <w:spacing w:val="-3"/>
          <w:szCs w:val="22"/>
        </w:rPr>
        <w:t xml:space="preserve">the </w:t>
      </w:r>
      <w:r w:rsidR="00477FF7">
        <w:rPr>
          <w:spacing w:val="-3"/>
          <w:szCs w:val="22"/>
        </w:rPr>
        <w:t xml:space="preserve">emergency </w:t>
      </w:r>
      <w:r w:rsidR="00C50566">
        <w:rPr>
          <w:spacing w:val="-3"/>
          <w:szCs w:val="22"/>
        </w:rPr>
        <w:t xml:space="preserve">impairment </w:t>
      </w:r>
      <w:r w:rsidR="00477FF7">
        <w:rPr>
          <w:spacing w:val="-3"/>
          <w:szCs w:val="22"/>
        </w:rPr>
        <w:t xml:space="preserve">of its </w:t>
      </w:r>
      <w:r w:rsidRPr="00477FF7" w:rsidR="00477FF7">
        <w:rPr>
          <w:spacing w:val="-3"/>
          <w:szCs w:val="22"/>
        </w:rPr>
        <w:t>wireline telecommunications services and other real-time two-way voice</w:t>
      </w:r>
      <w:r w:rsidR="00477FF7">
        <w:rPr>
          <w:spacing w:val="-3"/>
          <w:szCs w:val="22"/>
        </w:rPr>
        <w:t xml:space="preserve"> </w:t>
      </w:r>
      <w:r w:rsidRPr="00477FF7" w:rsidR="00477FF7">
        <w:rPr>
          <w:spacing w:val="-3"/>
          <w:szCs w:val="22"/>
        </w:rPr>
        <w:t>communications services</w:t>
      </w:r>
      <w:r w:rsidR="00477FF7">
        <w:rPr>
          <w:spacing w:val="-3"/>
          <w:szCs w:val="22"/>
        </w:rPr>
        <w:t xml:space="preserve"> </w:t>
      </w:r>
      <w:r w:rsidRPr="00477FF7" w:rsidR="00477FF7">
        <w:rPr>
          <w:spacing w:val="-3"/>
          <w:szCs w:val="22"/>
        </w:rPr>
        <w:t xml:space="preserve">in limited portions of the Mound City, Missouri wire center near Big Lake, Missouri </w:t>
      </w:r>
      <w:r w:rsidR="00477FF7">
        <w:rPr>
          <w:spacing w:val="-3"/>
          <w:szCs w:val="22"/>
        </w:rPr>
        <w:t>due to</w:t>
      </w:r>
      <w:r w:rsidRPr="00477FF7" w:rsidR="00477FF7">
        <w:rPr>
          <w:spacing w:val="-3"/>
          <w:szCs w:val="22"/>
        </w:rPr>
        <w:t xml:space="preserve"> severe flooding that </w:t>
      </w:r>
      <w:r w:rsidR="00477FF7">
        <w:rPr>
          <w:spacing w:val="-3"/>
          <w:szCs w:val="22"/>
        </w:rPr>
        <w:t>damaged its facilities and caused a service outage on March 15, 2019.</w:t>
      </w:r>
      <w:r>
        <w:rPr>
          <w:rStyle w:val="FootnoteReference"/>
          <w:spacing w:val="-3"/>
          <w:szCs w:val="22"/>
        </w:rPr>
        <w:footnoteReference w:id="2"/>
      </w:r>
      <w:r w:rsidR="006228A5">
        <w:rPr>
          <w:spacing w:val="-3"/>
          <w:szCs w:val="22"/>
        </w:rPr>
        <w:t xml:space="preserve">  </w:t>
      </w:r>
      <w:r w:rsidR="00CD779C">
        <w:rPr>
          <w:spacing w:val="-3"/>
          <w:szCs w:val="22"/>
        </w:rPr>
        <w:t>CenturyLink also request</w:t>
      </w:r>
      <w:r w:rsidR="00831850">
        <w:rPr>
          <w:spacing w:val="-3"/>
          <w:szCs w:val="22"/>
        </w:rPr>
        <w:t>s</w:t>
      </w:r>
      <w:r w:rsidR="00CD779C">
        <w:rPr>
          <w:spacing w:val="-3"/>
          <w:szCs w:val="22"/>
        </w:rPr>
        <w:t xml:space="preserve"> a waiver of the Commission’s rule that requires an emergency discontinuance application to be filed no later than 65 days after the occurrence of the conditions which caused the discontinuance.</w:t>
      </w:r>
      <w:r>
        <w:rPr>
          <w:rStyle w:val="FootnoteReference"/>
          <w:spacing w:val="-3"/>
          <w:szCs w:val="22"/>
        </w:rPr>
        <w:footnoteReference w:id="3"/>
      </w:r>
      <w:r w:rsidR="00CD779C">
        <w:rPr>
          <w:spacing w:val="-3"/>
          <w:szCs w:val="22"/>
        </w:rPr>
        <w:t xml:space="preserve">  </w:t>
      </w:r>
      <w:r w:rsidRPr="005849EB" w:rsidR="00E00EAD">
        <w:rPr>
          <w:szCs w:val="22"/>
        </w:rPr>
        <w:t>CenturyLink</w:t>
      </w:r>
      <w:r w:rsidR="00E00EAD">
        <w:rPr>
          <w:szCs w:val="22"/>
        </w:rPr>
        <w:t>’s</w:t>
      </w:r>
      <w:r w:rsidRPr="005849EB" w:rsidR="00E00EAD">
        <w:rPr>
          <w:szCs w:val="22"/>
        </w:rPr>
        <w:t xml:space="preserve"> emergency discontinuance application </w:t>
      </w:r>
      <w:r w:rsidR="00E00EAD">
        <w:rPr>
          <w:szCs w:val="22"/>
        </w:rPr>
        <w:t xml:space="preserve">should have been filed </w:t>
      </w:r>
      <w:r w:rsidRPr="005849EB" w:rsidR="00E00EAD">
        <w:rPr>
          <w:szCs w:val="22"/>
        </w:rPr>
        <w:t>no later than May 17, 2019 after the occurrence of the conditions that caused the March 15, 2019 outage.  Instead, CenturyLink filed its emergency discontinuance application on August 12, 2021</w:t>
      </w:r>
      <w:r w:rsidR="00B07DE4">
        <w:rPr>
          <w:spacing w:val="-3"/>
          <w:szCs w:val="22"/>
        </w:rPr>
        <w:t>.</w:t>
      </w:r>
      <w:r>
        <w:rPr>
          <w:rStyle w:val="FootnoteReference"/>
          <w:spacing w:val="-3"/>
          <w:szCs w:val="22"/>
        </w:rPr>
        <w:footnoteReference w:id="4"/>
      </w:r>
    </w:p>
    <w:p w:rsidR="00051E57" w:rsidRPr="004641C2" w:rsidP="00477FF7" w14:paraId="0AE7EA53" w14:textId="08B113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p>
    <w:p w:rsidR="008F1477" w:rsidP="00477FF7" w14:paraId="4E2A6F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CF6D83" w:rsidRPr="00A30A37" w:rsidP="00477FF7" w14:paraId="271FC511" w14:textId="7E15390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tab/>
      </w:r>
      <w:r w:rsidRPr="00831850" w:rsidR="00831850">
        <w:rPr>
          <w:spacing w:val="-3"/>
          <w:szCs w:val="22"/>
        </w:rPr>
        <w:t xml:space="preserve">Pursuant to section </w:t>
      </w:r>
      <w:r w:rsidRPr="005849EB" w:rsidR="00831850">
        <w:rPr>
          <w:szCs w:val="22"/>
        </w:rPr>
        <w:t xml:space="preserve">63.63(b) </w:t>
      </w:r>
      <w:r w:rsidR="00831850">
        <w:rPr>
          <w:szCs w:val="22"/>
        </w:rPr>
        <w:t>a</w:t>
      </w:r>
      <w:r w:rsidRPr="005849EB" w:rsidR="00831850">
        <w:rPr>
          <w:szCs w:val="22"/>
        </w:rPr>
        <w:t xml:space="preserve">uthority for the emergency discontinuance, reduction, or impairment of service shall be deemed to </w:t>
      </w:r>
      <w:r w:rsidR="00416EA2">
        <w:rPr>
          <w:szCs w:val="22"/>
        </w:rPr>
        <w:t xml:space="preserve">be </w:t>
      </w:r>
      <w:r w:rsidRPr="005849EB" w:rsidR="00831850">
        <w:rPr>
          <w:szCs w:val="22"/>
        </w:rPr>
        <w:t xml:space="preserve">granted </w:t>
      </w:r>
      <w:r w:rsidRPr="00D760B2" w:rsidR="00831850">
        <w:rPr>
          <w:szCs w:val="22"/>
        </w:rPr>
        <w:t xml:space="preserve">for a period of 60 days </w:t>
      </w:r>
      <w:r w:rsidRPr="005849EB" w:rsidR="00831850">
        <w:rPr>
          <w:szCs w:val="22"/>
        </w:rPr>
        <w:t xml:space="preserve">by the Commission effective as of the date of the filing of the request, unless, </w:t>
      </w:r>
      <w:r w:rsidR="00831850">
        <w:rPr>
          <w:szCs w:val="22"/>
        </w:rPr>
        <w:t>“</w:t>
      </w:r>
      <w:r w:rsidRPr="005849EB" w:rsidR="00831850">
        <w:rPr>
          <w:szCs w:val="22"/>
        </w:rPr>
        <w:t>on or before the 15th day after the date of filing, the Commission</w:t>
      </w:r>
      <w:r w:rsidR="00D85112">
        <w:rPr>
          <w:szCs w:val="22"/>
        </w:rPr>
        <w:t xml:space="preserve"> </w:t>
      </w:r>
      <w:r w:rsidRPr="005849EB" w:rsidR="00831850">
        <w:rPr>
          <w:szCs w:val="22"/>
        </w:rPr>
        <w:t>shall notify the carrier to the contrary.”</w:t>
      </w:r>
      <w:r>
        <w:rPr>
          <w:rStyle w:val="FootnoteReference"/>
          <w:szCs w:val="22"/>
        </w:rPr>
        <w:footnoteReference w:id="5"/>
      </w:r>
      <w:r w:rsidRPr="005849EB" w:rsidR="00831850">
        <w:rPr>
          <w:szCs w:val="22"/>
        </w:rPr>
        <w:t xml:space="preserve">  The Bureau hereby notifies CenturyLink that its late-filed application is not granted.</w:t>
      </w:r>
      <w:r>
        <w:rPr>
          <w:rStyle w:val="FootnoteReference"/>
          <w:szCs w:val="22"/>
        </w:rPr>
        <w:footnoteReference w:id="6"/>
      </w:r>
      <w:r>
        <w:rPr>
          <w:szCs w:val="22"/>
        </w:rPr>
        <w:t xml:space="preserve">  </w:t>
      </w:r>
    </w:p>
    <w:p w:rsidR="00CF6D83" w:rsidP="00CF6D83" w14:paraId="08D7D6A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 </w:t>
      </w:r>
    </w:p>
    <w:p w:rsidR="00CF6D83" w:rsidRPr="003B75AC" w:rsidP="00CF6D83" w14:paraId="5B525DFE" w14:textId="699C2B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For further information, contact Kimberly Jackson, (202) 418-7393 (voice), </w:t>
      </w:r>
      <w:r>
        <w:rPr>
          <w:color w:val="000000"/>
          <w:u w:val="single"/>
        </w:rPr>
        <w:t>Kimberly.Jackson@fcc.gov</w:t>
      </w:r>
      <w:r>
        <w:rPr>
          <w:color w:val="000000"/>
        </w:rPr>
        <w:t>,</w:t>
      </w:r>
      <w:r>
        <w:rPr>
          <w:szCs w:val="22"/>
        </w:rPr>
        <w:t xml:space="preserve"> of the Competition Policy Division, Wireline Competition Bureau.  </w:t>
      </w:r>
      <w:r w:rsidRPr="00665F81">
        <w:rPr>
          <w:szCs w:val="22"/>
        </w:rPr>
        <w:t xml:space="preserve">For further information on procedures regarding section 214 </w:t>
      </w:r>
      <w:r>
        <w:rPr>
          <w:szCs w:val="22"/>
        </w:rPr>
        <w:t xml:space="preserve">applications, </w:t>
      </w:r>
      <w:r w:rsidRPr="00665F81">
        <w:rPr>
          <w:szCs w:val="22"/>
        </w:rPr>
        <w:t xml:space="preserve">please visit </w:t>
      </w:r>
      <w:hyperlink r:id="rId5" w:history="1">
        <w:r w:rsidRPr="0034665D">
          <w:rPr>
            <w:rStyle w:val="Hyperlink"/>
            <w:szCs w:val="22"/>
          </w:rPr>
          <w:t>https://www.fcc.gov/encyclopedia/domestic-section-214-discontinuance-service</w:t>
        </w:r>
      </w:hyperlink>
      <w:r>
        <w:rPr>
          <w:szCs w:val="22"/>
        </w:rPr>
        <w:t>.</w:t>
      </w:r>
    </w:p>
    <w:p w:rsidR="00CF6D83" w:rsidP="00CF6D83" w14:paraId="01ECC2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CF6D83" w:rsidP="00CF6D83" w14:paraId="72E4D715" w14:textId="64A9E91C">
      <w:pPr>
        <w:jc w:val="center"/>
        <w:rPr>
          <w:b/>
          <w:color w:val="000000"/>
          <w:szCs w:val="22"/>
        </w:rPr>
      </w:pPr>
      <w:r w:rsidRPr="00FA1648">
        <w:rPr>
          <w:b/>
          <w:color w:val="000000"/>
          <w:szCs w:val="22"/>
        </w:rPr>
        <w:t>– FCC</w:t>
      </w:r>
      <w:r w:rsidRPr="005C1C4A">
        <w:rPr>
          <w:b/>
          <w:color w:val="000000"/>
          <w:szCs w:val="22"/>
        </w:rPr>
        <w:t xml:space="preserve"> </w:t>
      </w:r>
      <w:r w:rsidRPr="00FA1648">
        <w:rPr>
          <w:b/>
          <w:color w:val="000000"/>
          <w:szCs w:val="22"/>
        </w:rPr>
        <w:t>–</w:t>
      </w:r>
    </w:p>
    <w:p w:rsidR="00CF6D83" w:rsidP="00F543F0" w14:paraId="6560B189" w14:textId="0D30F84C">
      <w:pPr>
        <w:rPr>
          <w:b/>
          <w:color w:val="000000"/>
          <w:szCs w:val="22"/>
        </w:rPr>
      </w:pPr>
    </w:p>
    <w:sectPr w:rsidSect="009A0CEF">
      <w:headerReference w:type="default" r:id="rId6"/>
      <w:footerReference w:type="default" r:id="rId7"/>
      <w:headerReference w:type="first" r:id="rId8"/>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54683" w:rsidRPr="00D54683" w14:paraId="06AD21E0" w14:textId="285D459C">
      <w:pPr>
        <w:pStyle w:val="FootnoteText"/>
        <w:rPr>
          <w:sz w:val="20"/>
        </w:rPr>
      </w:pPr>
      <w:r>
        <w:rPr>
          <w:rStyle w:val="FootnoteReference"/>
        </w:rPr>
        <w:footnoteRef/>
      </w:r>
      <w:r>
        <w:t xml:space="preserve"> </w:t>
      </w:r>
      <w:r w:rsidRPr="00AD53B5">
        <w:rPr>
          <w:i/>
          <w:sz w:val="20"/>
        </w:rPr>
        <w:t>See</w:t>
      </w:r>
      <w:r w:rsidRPr="00AD53B5">
        <w:rPr>
          <w:sz w:val="20"/>
        </w:rPr>
        <w:t xml:space="preserve"> </w:t>
      </w:r>
      <w:r w:rsidR="006838D6">
        <w:rPr>
          <w:sz w:val="20"/>
        </w:rPr>
        <w:t>A</w:t>
      </w:r>
      <w:r w:rsidRPr="00AD53B5">
        <w:rPr>
          <w:sz w:val="20"/>
        </w:rPr>
        <w:t xml:space="preserve">pplication of </w:t>
      </w:r>
      <w:r w:rsidRPr="006838D6" w:rsidR="006838D6">
        <w:rPr>
          <w:sz w:val="20"/>
        </w:rPr>
        <w:t xml:space="preserve">Embarq Missouri, Inc. d/b/a CenturyLink </w:t>
      </w:r>
      <w:r w:rsidR="006838D6">
        <w:rPr>
          <w:sz w:val="20"/>
        </w:rPr>
        <w:t>Pursuant to 47 C.F.R.</w:t>
      </w:r>
      <w:r w:rsidRPr="006838D6" w:rsidR="006838D6">
        <w:rPr>
          <w:sz w:val="20"/>
        </w:rPr>
        <w:t>§ 63.63</w:t>
      </w:r>
      <w:r w:rsidR="006838D6">
        <w:rPr>
          <w:sz w:val="20"/>
        </w:rPr>
        <w:t xml:space="preserve"> for the Emergency Impairment of Service, </w:t>
      </w:r>
      <w:r w:rsidRPr="00AD53B5">
        <w:rPr>
          <w:sz w:val="20"/>
        </w:rPr>
        <w:t xml:space="preserve">WC Docket No. </w:t>
      </w:r>
      <w:r w:rsidR="00DD699D">
        <w:rPr>
          <w:sz w:val="20"/>
        </w:rPr>
        <w:t>21</w:t>
      </w:r>
      <w:r w:rsidRPr="00AD53B5">
        <w:rPr>
          <w:sz w:val="20"/>
        </w:rPr>
        <w:t>-</w:t>
      </w:r>
      <w:r>
        <w:rPr>
          <w:sz w:val="20"/>
        </w:rPr>
        <w:t>325</w:t>
      </w:r>
      <w:r w:rsidRPr="00AD53B5">
        <w:rPr>
          <w:sz w:val="20"/>
        </w:rPr>
        <w:t xml:space="preserve"> (filed</w:t>
      </w:r>
      <w:r>
        <w:rPr>
          <w:sz w:val="20"/>
        </w:rPr>
        <w:t xml:space="preserve"> </w:t>
      </w:r>
      <w:r>
        <w:rPr>
          <w:sz w:val="20"/>
        </w:rPr>
        <w:t>August</w:t>
      </w:r>
      <w:r w:rsidR="00436571">
        <w:rPr>
          <w:sz w:val="20"/>
        </w:rPr>
        <w:t xml:space="preserve"> 1</w:t>
      </w:r>
      <w:r>
        <w:rPr>
          <w:sz w:val="20"/>
        </w:rPr>
        <w:t>2</w:t>
      </w:r>
      <w:r w:rsidRPr="00AD53B5">
        <w:rPr>
          <w:sz w:val="20"/>
        </w:rPr>
        <w:t>, 20</w:t>
      </w:r>
      <w:r w:rsidR="00436571">
        <w:rPr>
          <w:sz w:val="20"/>
        </w:rPr>
        <w:t>21</w:t>
      </w:r>
      <w:r w:rsidRPr="00AD53B5">
        <w:rPr>
          <w:sz w:val="20"/>
        </w:rPr>
        <w:t>) (Application</w:t>
      </w:r>
      <w:r w:rsidRPr="00A11FBF">
        <w:rPr>
          <w:sz w:val="20"/>
        </w:rPr>
        <w:t>).</w:t>
      </w:r>
      <w:r>
        <w:rPr>
          <w:sz w:val="20"/>
        </w:rPr>
        <w:t xml:space="preserve">  </w:t>
      </w:r>
      <w:hyperlink r:id="rId1" w:history="1">
        <w:r w:rsidRPr="00FA5FA1">
          <w:rPr>
            <w:rStyle w:val="Hyperlink"/>
            <w:sz w:val="20"/>
          </w:rPr>
          <w:t>https://www.fcc.gov/ecfs/search/filings?proceedings_name=21-325&amp;sort=date_disseminated,DESC</w:t>
        </w:r>
      </w:hyperlink>
      <w:r>
        <w:rPr>
          <w:sz w:val="20"/>
        </w:rPr>
        <w:t>.</w:t>
      </w:r>
      <w:r w:rsidR="00C50566">
        <w:rPr>
          <w:sz w:val="20"/>
        </w:rPr>
        <w:t xml:space="preserve">  References herein shall apply generally to the emergency discontinuance, reduction</w:t>
      </w:r>
      <w:r w:rsidR="00AC180C">
        <w:rPr>
          <w:sz w:val="20"/>
        </w:rPr>
        <w:t>,</w:t>
      </w:r>
      <w:r w:rsidR="00C50566">
        <w:rPr>
          <w:sz w:val="20"/>
        </w:rPr>
        <w:t xml:space="preserve"> or impairment of service under the rule.</w:t>
      </w:r>
      <w:r w:rsidR="007A0425">
        <w:rPr>
          <w:sz w:val="20"/>
        </w:rPr>
        <w:t xml:space="preserve"> </w:t>
      </w:r>
      <w:bookmarkStart w:id="0" w:name="_Hlk80896312"/>
    </w:p>
    <w:bookmarkEnd w:id="0"/>
  </w:footnote>
  <w:footnote w:id="3">
    <w:p w:rsidR="00CD779C" w:rsidRPr="00CD779C" w14:paraId="4B083BF6" w14:textId="6173C9D7">
      <w:pPr>
        <w:pStyle w:val="FootnoteText"/>
        <w:rPr>
          <w:sz w:val="20"/>
        </w:rPr>
      </w:pPr>
      <w:r w:rsidRPr="00CD779C">
        <w:rPr>
          <w:rStyle w:val="FootnoteReference"/>
          <w:sz w:val="20"/>
        </w:rPr>
        <w:footnoteRef/>
      </w:r>
      <w:r w:rsidRPr="00CD779C">
        <w:rPr>
          <w:sz w:val="20"/>
        </w:rPr>
        <w:t xml:space="preserve"> </w:t>
      </w:r>
      <w:r w:rsidRPr="00CD779C">
        <w:rPr>
          <w:i/>
          <w:iCs/>
          <w:sz w:val="20"/>
        </w:rPr>
        <w:t>See</w:t>
      </w:r>
      <w:r w:rsidRPr="00CD779C">
        <w:rPr>
          <w:sz w:val="20"/>
        </w:rPr>
        <w:t xml:space="preserve"> Application at 5.  </w:t>
      </w:r>
      <w:r w:rsidRPr="00CD779C">
        <w:rPr>
          <w:i/>
          <w:iCs/>
          <w:sz w:val="20"/>
        </w:rPr>
        <w:t>See also</w:t>
      </w:r>
      <w:r w:rsidRPr="00CD779C">
        <w:rPr>
          <w:sz w:val="20"/>
        </w:rPr>
        <w:t xml:space="preserve"> 47 C.F.R.§ 63.63</w:t>
      </w:r>
      <w:r>
        <w:rPr>
          <w:sz w:val="20"/>
        </w:rPr>
        <w:t>(a).</w:t>
      </w:r>
    </w:p>
  </w:footnote>
  <w:footnote w:id="4">
    <w:p w:rsidR="00B07DE4" w:rsidRPr="00B07DE4" w:rsidP="00C80F0E" w14:paraId="58A1A1B9" w14:textId="23D39D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40"/>
        <w:rPr>
          <w:sz w:val="20"/>
        </w:rPr>
      </w:pPr>
      <w:r w:rsidRPr="004204F6">
        <w:rPr>
          <w:rStyle w:val="FootnoteReference"/>
          <w:sz w:val="20"/>
        </w:rPr>
        <w:footnoteRef/>
      </w:r>
      <w:r w:rsidRPr="004204F6">
        <w:rPr>
          <w:sz w:val="20"/>
        </w:rPr>
        <w:t xml:space="preserve"> See </w:t>
      </w:r>
      <w:r w:rsidRPr="004204F6" w:rsidR="008B2544">
        <w:rPr>
          <w:sz w:val="20"/>
        </w:rPr>
        <w:t xml:space="preserve">Application at 5.  </w:t>
      </w:r>
      <w:r w:rsidRPr="004204F6" w:rsidR="00416EA2">
        <w:rPr>
          <w:spacing w:val="-3"/>
          <w:sz w:val="20"/>
        </w:rPr>
        <w:t>CenturyLink relies on a previous Wireline Competition Bureau (</w:t>
      </w:r>
      <w:r w:rsidR="004204F6">
        <w:rPr>
          <w:spacing w:val="-3"/>
          <w:sz w:val="20"/>
        </w:rPr>
        <w:t>Bureau</w:t>
      </w:r>
      <w:r w:rsidRPr="004204F6" w:rsidR="00416EA2">
        <w:rPr>
          <w:spacing w:val="-3"/>
          <w:sz w:val="20"/>
        </w:rPr>
        <w:t>) Order granting CenturyLink a waiver of the emergency discontinuance filing deadline</w:t>
      </w:r>
      <w:r w:rsidR="004204F6">
        <w:rPr>
          <w:spacing w:val="-3"/>
          <w:sz w:val="20"/>
        </w:rPr>
        <w:t xml:space="preserve"> and suggests </w:t>
      </w:r>
      <w:r w:rsidRPr="004204F6" w:rsidR="009F4ABA">
        <w:rPr>
          <w:sz w:val="20"/>
        </w:rPr>
        <w:t xml:space="preserve">that the same circumstances that supported the prior waiver occurred in the instant case.  </w:t>
      </w:r>
      <w:r w:rsidRPr="004204F6" w:rsidR="009F4ABA">
        <w:rPr>
          <w:i/>
          <w:iCs/>
          <w:sz w:val="20"/>
        </w:rPr>
        <w:t>Id</w:t>
      </w:r>
      <w:r w:rsidR="004204F6">
        <w:rPr>
          <w:sz w:val="20"/>
        </w:rPr>
        <w:t>;</w:t>
      </w:r>
      <w:r w:rsidRPr="004204F6" w:rsidR="009F4ABA">
        <w:rPr>
          <w:sz w:val="20"/>
        </w:rPr>
        <w:t xml:space="preserve"> </w:t>
      </w:r>
      <w:r w:rsidR="004204F6">
        <w:rPr>
          <w:i/>
          <w:iCs/>
          <w:sz w:val="20"/>
        </w:rPr>
        <w:t>s</w:t>
      </w:r>
      <w:r w:rsidRPr="004204F6" w:rsidR="008B2544">
        <w:rPr>
          <w:i/>
          <w:iCs/>
          <w:sz w:val="20"/>
        </w:rPr>
        <w:t>ee</w:t>
      </w:r>
      <w:r w:rsidRPr="004204F6" w:rsidR="008B2544">
        <w:rPr>
          <w:sz w:val="20"/>
        </w:rPr>
        <w:t xml:space="preserve"> </w:t>
      </w:r>
      <w:r w:rsidRPr="004204F6">
        <w:rPr>
          <w:sz w:val="20"/>
        </w:rPr>
        <w:t xml:space="preserve">Section 63.63 Application of CenturyTel of Michigan, Inc. d/b/a CenturyLink, WC Docket No. 20-278, Order (Nov. 23, 2020) </w:t>
      </w:r>
      <w:r w:rsidR="00D7360C">
        <w:rPr>
          <w:sz w:val="20"/>
        </w:rPr>
        <w:t xml:space="preserve">(“Waiver Order”) </w:t>
      </w:r>
      <w:r w:rsidRPr="004204F6" w:rsidR="00416EA2">
        <w:rPr>
          <w:sz w:val="20"/>
        </w:rPr>
        <w:t>(granting a waiver for a 33-day late-filed application)</w:t>
      </w:r>
      <w:r w:rsidR="004204F6">
        <w:rPr>
          <w:sz w:val="20"/>
        </w:rPr>
        <w:t>,</w:t>
      </w:r>
      <w:r w:rsidRPr="004204F6" w:rsidR="00C91847">
        <w:rPr>
          <w:sz w:val="20"/>
        </w:rPr>
        <w:t xml:space="preserve"> </w:t>
      </w:r>
      <w:hyperlink r:id="rId2" w:history="1">
        <w:r w:rsidRPr="004204F6" w:rsidR="0077369F">
          <w:rPr>
            <w:rStyle w:val="Hyperlink"/>
            <w:sz w:val="20"/>
          </w:rPr>
          <w:t>https://ecfsapi.fcc.gov/file/11232763804590/DA-20-1392A1.pdf</w:t>
        </w:r>
      </w:hyperlink>
      <w:r w:rsidRPr="004204F6" w:rsidR="0077369F">
        <w:rPr>
          <w:sz w:val="20"/>
        </w:rPr>
        <w:t>.</w:t>
      </w:r>
      <w:r w:rsidRPr="004204F6" w:rsidR="004204F6">
        <w:rPr>
          <w:sz w:val="20"/>
        </w:rPr>
        <w:t xml:space="preserve">  </w:t>
      </w:r>
      <w:r w:rsidRPr="00C80F0E" w:rsidR="004204F6">
        <w:rPr>
          <w:sz w:val="20"/>
        </w:rPr>
        <w:t xml:space="preserve">Although the </w:t>
      </w:r>
      <w:r w:rsidR="004204F6">
        <w:rPr>
          <w:sz w:val="20"/>
        </w:rPr>
        <w:t>Bureau</w:t>
      </w:r>
      <w:r w:rsidRPr="00C80F0E" w:rsidR="004204F6">
        <w:rPr>
          <w:sz w:val="20"/>
        </w:rPr>
        <w:t xml:space="preserve"> found that good cause existed to waive the section 63.63 filing deadline for CenturyLink’s previous late-filed emergency discontinuance application, this current case is different.  CenturyLink became aware of the deficiencies in its internal tracking system over a year ago and could have exercised diligence at that time to ensure that other outages necessitating emergency discontinuance applications had not occurred.  It appears to have failed to undertake such diligence to search for similar outages that may have occurred and were unreported as a result of internal system processing errors at that time.  </w:t>
      </w:r>
      <w:r w:rsidR="00D7360C">
        <w:rPr>
          <w:i/>
          <w:iCs/>
          <w:sz w:val="20"/>
        </w:rPr>
        <w:t xml:space="preserve">See </w:t>
      </w:r>
      <w:r w:rsidR="00D7360C">
        <w:rPr>
          <w:sz w:val="20"/>
        </w:rPr>
        <w:t>Waiver Order at para. 9 (reminding CenturyLink and other carriers of the need for full compliance with the timeframes associated with the emergency discontinuance procedures, encouraging providers to check their regulatory compliance processes to meet those requirements, and notifying providers that they may face enforcement action for non-compliance and that “mere process error may not be sufficient to justify a waiver in other cases with different factual circumstances.”).</w:t>
      </w:r>
      <w:r w:rsidR="004204F6">
        <w:rPr>
          <w:sz w:val="20"/>
        </w:rPr>
        <w:t xml:space="preserve"> </w:t>
      </w:r>
      <w:r w:rsidR="00D7360C">
        <w:rPr>
          <w:sz w:val="20"/>
        </w:rPr>
        <w:t xml:space="preserve"> </w:t>
      </w:r>
      <w:r w:rsidR="00E43ED5">
        <w:rPr>
          <w:sz w:val="20"/>
        </w:rPr>
        <w:t>CenturyLink</w:t>
      </w:r>
      <w:r w:rsidRPr="00C80F0E" w:rsidR="004204F6">
        <w:rPr>
          <w:sz w:val="20"/>
        </w:rPr>
        <w:t xml:space="preserve"> now files this emergency discontinuance application over two years after the occurrence of the conditions that caused the March 15, 2019 outage, and almost a full year after noting this process error resulting in the previous application.  Customers were impacted by this current outage and the application suggests at least one customer remained even recently.  CenturyLink provides no indication that it took prompt steps to address the outage in Missouri</w:t>
      </w:r>
      <w:r w:rsidR="004204F6">
        <w:rPr>
          <w:sz w:val="20"/>
        </w:rPr>
        <w:t>,</w:t>
      </w:r>
      <w:r w:rsidRPr="00C80F0E" w:rsidR="004204F6">
        <w:rPr>
          <w:sz w:val="20"/>
        </w:rPr>
        <w:t xml:space="preserve"> as it did </w:t>
      </w:r>
      <w:r w:rsidR="004204F6">
        <w:rPr>
          <w:sz w:val="20"/>
        </w:rPr>
        <w:t>for the 2020 outage in Michigan</w:t>
      </w:r>
      <w:r w:rsidRPr="00C80F0E" w:rsidR="004204F6">
        <w:rPr>
          <w:sz w:val="20"/>
        </w:rPr>
        <w:t>.  Accordingly, we disagree that CenturyLink has demonstrated good cause for a waiver here.</w:t>
      </w:r>
    </w:p>
  </w:footnote>
  <w:footnote w:id="5">
    <w:p w:rsidR="00831850" w:rsidP="00C80F0E" w14:paraId="020A71C4" w14:textId="6A4E168F">
      <w:pPr>
        <w:pStyle w:val="FootnoteText"/>
        <w:spacing w:after="240"/>
      </w:pPr>
      <w:r>
        <w:rPr>
          <w:rStyle w:val="FootnoteReference"/>
        </w:rPr>
        <w:footnoteRef/>
      </w:r>
      <w:r>
        <w:t xml:space="preserve"> </w:t>
      </w:r>
      <w:r w:rsidRPr="00176022">
        <w:rPr>
          <w:sz w:val="20"/>
        </w:rPr>
        <w:t>47 CFR § 63.63(b)</w:t>
      </w:r>
    </w:p>
  </w:footnote>
  <w:footnote w:id="6">
    <w:p w:rsidR="00CF6D83" w:rsidRPr="00176022" w:rsidP="00705DDE" w14:paraId="571F9D35" w14:textId="35F5D437">
      <w:pPr>
        <w:pStyle w:val="FootnoteText"/>
        <w:spacing w:after="120"/>
        <w:rPr>
          <w:sz w:val="20"/>
        </w:rPr>
      </w:pPr>
      <w:r w:rsidRPr="00176022">
        <w:rPr>
          <w:rStyle w:val="FootnoteReference"/>
          <w:sz w:val="20"/>
        </w:rPr>
        <w:footnoteRef/>
      </w:r>
      <w:r w:rsidRPr="00176022">
        <w:rPr>
          <w:sz w:val="20"/>
        </w:rPr>
        <w:t xml:space="preserve"> </w:t>
      </w:r>
      <w:r w:rsidR="00E00EAD">
        <w:rPr>
          <w:sz w:val="20"/>
        </w:rPr>
        <w:t xml:space="preserve">Bureau staff </w:t>
      </w:r>
      <w:r w:rsidR="007A0425">
        <w:rPr>
          <w:sz w:val="20"/>
        </w:rPr>
        <w:t xml:space="preserve">also notified CenturyLink by phone </w:t>
      </w:r>
      <w:r w:rsidR="00E00EAD">
        <w:rPr>
          <w:sz w:val="20"/>
        </w:rPr>
        <w:t xml:space="preserve">on August 27, 2021 </w:t>
      </w:r>
      <w:r w:rsidR="007A0425">
        <w:rPr>
          <w:sz w:val="20"/>
        </w:rPr>
        <w:t>that</w:t>
      </w:r>
      <w:r w:rsidR="00E00EAD">
        <w:rPr>
          <w:sz w:val="20"/>
        </w:rPr>
        <w:t xml:space="preserve"> this</w:t>
      </w:r>
      <w:r w:rsidR="007A0425">
        <w:rPr>
          <w:sz w:val="20"/>
        </w:rPr>
        <w:t xml:space="preserve"> late-filed emergency discontinuance application would not be deemed granted</w:t>
      </w:r>
      <w:r w:rsidR="00E00EAD">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338FFEB2">
    <w:pPr>
      <w:pStyle w:val="Header"/>
    </w:pPr>
    <w:r>
      <w:tab/>
    </w:r>
    <w:r>
      <w:ptab w:relativeTo="margin" w:alignment="right" w:leader="none"/>
    </w:r>
    <w:r>
      <w:t xml:space="preserve">DA </w:t>
    </w:r>
    <w:r w:rsidR="00D26EA7">
      <w:t>2</w:t>
    </w:r>
    <w:r w:rsidR="009D2C06">
      <w:t>1</w:t>
    </w:r>
    <w:r w:rsidR="00C8526E">
      <w:t>-</w:t>
    </w:r>
    <w:r w:rsidR="002833A8">
      <w:t>1065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1582539"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5A4D"/>
    <w:rsid w:val="00027BAB"/>
    <w:rsid w:val="00031B4E"/>
    <w:rsid w:val="00031DB3"/>
    <w:rsid w:val="00033A92"/>
    <w:rsid w:val="00034ECA"/>
    <w:rsid w:val="00035681"/>
    <w:rsid w:val="000357B0"/>
    <w:rsid w:val="00035BA1"/>
    <w:rsid w:val="000364C6"/>
    <w:rsid w:val="0004007B"/>
    <w:rsid w:val="0004038B"/>
    <w:rsid w:val="000410D6"/>
    <w:rsid w:val="0004231D"/>
    <w:rsid w:val="00042786"/>
    <w:rsid w:val="000430FF"/>
    <w:rsid w:val="0004590D"/>
    <w:rsid w:val="00046BFC"/>
    <w:rsid w:val="000475A9"/>
    <w:rsid w:val="00047E2E"/>
    <w:rsid w:val="00051E57"/>
    <w:rsid w:val="0005325B"/>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55B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4F3"/>
    <w:rsid w:val="001576B4"/>
    <w:rsid w:val="00157766"/>
    <w:rsid w:val="00157A40"/>
    <w:rsid w:val="0016080D"/>
    <w:rsid w:val="00161BE7"/>
    <w:rsid w:val="00161DE1"/>
    <w:rsid w:val="001629F4"/>
    <w:rsid w:val="00164FDC"/>
    <w:rsid w:val="001655F0"/>
    <w:rsid w:val="001658BC"/>
    <w:rsid w:val="00167476"/>
    <w:rsid w:val="00171A7F"/>
    <w:rsid w:val="00173EB0"/>
    <w:rsid w:val="00175DA5"/>
    <w:rsid w:val="00176022"/>
    <w:rsid w:val="00176C77"/>
    <w:rsid w:val="001772DB"/>
    <w:rsid w:val="00177690"/>
    <w:rsid w:val="00180CEC"/>
    <w:rsid w:val="00181139"/>
    <w:rsid w:val="00181493"/>
    <w:rsid w:val="00181843"/>
    <w:rsid w:val="001822C8"/>
    <w:rsid w:val="00183240"/>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016F"/>
    <w:rsid w:val="001E13FB"/>
    <w:rsid w:val="001E417B"/>
    <w:rsid w:val="001E4F5D"/>
    <w:rsid w:val="001E5245"/>
    <w:rsid w:val="001E5815"/>
    <w:rsid w:val="001E7188"/>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35C"/>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3A8"/>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C76D8"/>
    <w:rsid w:val="002D108B"/>
    <w:rsid w:val="002D3FCC"/>
    <w:rsid w:val="002D4210"/>
    <w:rsid w:val="002D43D3"/>
    <w:rsid w:val="002D783A"/>
    <w:rsid w:val="002E0A74"/>
    <w:rsid w:val="002E1033"/>
    <w:rsid w:val="002E19BD"/>
    <w:rsid w:val="002E1C7E"/>
    <w:rsid w:val="002E3305"/>
    <w:rsid w:val="002E3D86"/>
    <w:rsid w:val="002E452D"/>
    <w:rsid w:val="002E6425"/>
    <w:rsid w:val="002E6EB7"/>
    <w:rsid w:val="002F04CF"/>
    <w:rsid w:val="002F051F"/>
    <w:rsid w:val="002F0BB2"/>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281"/>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473C3"/>
    <w:rsid w:val="003474AA"/>
    <w:rsid w:val="00350315"/>
    <w:rsid w:val="003503BF"/>
    <w:rsid w:val="00350FA7"/>
    <w:rsid w:val="003513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B75AC"/>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5F1D"/>
    <w:rsid w:val="003D6146"/>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14E"/>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6EA2"/>
    <w:rsid w:val="00417554"/>
    <w:rsid w:val="004175E4"/>
    <w:rsid w:val="00417EEB"/>
    <w:rsid w:val="004204F6"/>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36571"/>
    <w:rsid w:val="00440469"/>
    <w:rsid w:val="00444F32"/>
    <w:rsid w:val="00445072"/>
    <w:rsid w:val="00445394"/>
    <w:rsid w:val="00446348"/>
    <w:rsid w:val="004502C6"/>
    <w:rsid w:val="0045291C"/>
    <w:rsid w:val="00453C3E"/>
    <w:rsid w:val="004558A2"/>
    <w:rsid w:val="004560C0"/>
    <w:rsid w:val="00456586"/>
    <w:rsid w:val="00456B10"/>
    <w:rsid w:val="00457893"/>
    <w:rsid w:val="00457E6E"/>
    <w:rsid w:val="004600A2"/>
    <w:rsid w:val="00460BFD"/>
    <w:rsid w:val="0046158D"/>
    <w:rsid w:val="00461764"/>
    <w:rsid w:val="00461AB2"/>
    <w:rsid w:val="004641C2"/>
    <w:rsid w:val="00465152"/>
    <w:rsid w:val="00465E2C"/>
    <w:rsid w:val="00465FA5"/>
    <w:rsid w:val="0046770E"/>
    <w:rsid w:val="00467E9C"/>
    <w:rsid w:val="00470CBA"/>
    <w:rsid w:val="00472A9C"/>
    <w:rsid w:val="00474509"/>
    <w:rsid w:val="0047675F"/>
    <w:rsid w:val="004769C9"/>
    <w:rsid w:val="0047716B"/>
    <w:rsid w:val="00477FF7"/>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203C"/>
    <w:rsid w:val="004E4354"/>
    <w:rsid w:val="004E4B05"/>
    <w:rsid w:val="004E7058"/>
    <w:rsid w:val="004E76FF"/>
    <w:rsid w:val="004F04E3"/>
    <w:rsid w:val="004F2486"/>
    <w:rsid w:val="004F4233"/>
    <w:rsid w:val="004F6EB6"/>
    <w:rsid w:val="004F7618"/>
    <w:rsid w:val="00501A0B"/>
    <w:rsid w:val="005043EB"/>
    <w:rsid w:val="005060FD"/>
    <w:rsid w:val="00506769"/>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36F6C"/>
    <w:rsid w:val="00541F34"/>
    <w:rsid w:val="00542BEC"/>
    <w:rsid w:val="0054320B"/>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2AF3"/>
    <w:rsid w:val="0057372F"/>
    <w:rsid w:val="00573BF2"/>
    <w:rsid w:val="0057430D"/>
    <w:rsid w:val="00574577"/>
    <w:rsid w:val="00580ED0"/>
    <w:rsid w:val="00581E31"/>
    <w:rsid w:val="00581FE2"/>
    <w:rsid w:val="00583D4C"/>
    <w:rsid w:val="005849EB"/>
    <w:rsid w:val="00584FFD"/>
    <w:rsid w:val="00585A10"/>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C4A"/>
    <w:rsid w:val="005C1FC8"/>
    <w:rsid w:val="005C25CB"/>
    <w:rsid w:val="005C38A3"/>
    <w:rsid w:val="005C486F"/>
    <w:rsid w:val="005C4889"/>
    <w:rsid w:val="005C5396"/>
    <w:rsid w:val="005C6B99"/>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E7D26"/>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28A5"/>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682"/>
    <w:rsid w:val="00676E14"/>
    <w:rsid w:val="0067795F"/>
    <w:rsid w:val="006807A1"/>
    <w:rsid w:val="00680846"/>
    <w:rsid w:val="00682327"/>
    <w:rsid w:val="006838D6"/>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EDF"/>
    <w:rsid w:val="006A7A55"/>
    <w:rsid w:val="006B0236"/>
    <w:rsid w:val="006B0A40"/>
    <w:rsid w:val="006B1409"/>
    <w:rsid w:val="006B4973"/>
    <w:rsid w:val="006B4E2A"/>
    <w:rsid w:val="006B5C08"/>
    <w:rsid w:val="006B5D17"/>
    <w:rsid w:val="006B612F"/>
    <w:rsid w:val="006B6EDB"/>
    <w:rsid w:val="006C2B92"/>
    <w:rsid w:val="006C2DD6"/>
    <w:rsid w:val="006C3EEA"/>
    <w:rsid w:val="006C5B30"/>
    <w:rsid w:val="006C68F4"/>
    <w:rsid w:val="006D154E"/>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696E"/>
    <w:rsid w:val="006F77E0"/>
    <w:rsid w:val="006F79E2"/>
    <w:rsid w:val="006F7CC9"/>
    <w:rsid w:val="006F7DF7"/>
    <w:rsid w:val="0070053B"/>
    <w:rsid w:val="00700B76"/>
    <w:rsid w:val="007014D8"/>
    <w:rsid w:val="00701763"/>
    <w:rsid w:val="00701C7A"/>
    <w:rsid w:val="007024B1"/>
    <w:rsid w:val="00705CFD"/>
    <w:rsid w:val="00705DDE"/>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369F"/>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0425"/>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10B0"/>
    <w:rsid w:val="00822312"/>
    <w:rsid w:val="0082288A"/>
    <w:rsid w:val="00823357"/>
    <w:rsid w:val="008265CB"/>
    <w:rsid w:val="00831850"/>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0EE9"/>
    <w:rsid w:val="00871A05"/>
    <w:rsid w:val="00872419"/>
    <w:rsid w:val="008736A3"/>
    <w:rsid w:val="008745ED"/>
    <w:rsid w:val="00874959"/>
    <w:rsid w:val="00875FAD"/>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544"/>
    <w:rsid w:val="008B270C"/>
    <w:rsid w:val="008B3DBC"/>
    <w:rsid w:val="008B66A7"/>
    <w:rsid w:val="008B766D"/>
    <w:rsid w:val="008C2895"/>
    <w:rsid w:val="008C3D17"/>
    <w:rsid w:val="008C533D"/>
    <w:rsid w:val="008C54C0"/>
    <w:rsid w:val="008C6752"/>
    <w:rsid w:val="008C73F2"/>
    <w:rsid w:val="008C755E"/>
    <w:rsid w:val="008D02B1"/>
    <w:rsid w:val="008D0F86"/>
    <w:rsid w:val="008D104F"/>
    <w:rsid w:val="008D49D0"/>
    <w:rsid w:val="008E0CE9"/>
    <w:rsid w:val="008E3169"/>
    <w:rsid w:val="008E456A"/>
    <w:rsid w:val="008E6520"/>
    <w:rsid w:val="008E6AAB"/>
    <w:rsid w:val="008E6B51"/>
    <w:rsid w:val="008E74CD"/>
    <w:rsid w:val="008F065B"/>
    <w:rsid w:val="008F1477"/>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4A"/>
    <w:rsid w:val="00906687"/>
    <w:rsid w:val="00907088"/>
    <w:rsid w:val="0091159A"/>
    <w:rsid w:val="00913C0A"/>
    <w:rsid w:val="00914A72"/>
    <w:rsid w:val="00915581"/>
    <w:rsid w:val="00917858"/>
    <w:rsid w:val="009221D3"/>
    <w:rsid w:val="00923358"/>
    <w:rsid w:val="00923B23"/>
    <w:rsid w:val="00924A18"/>
    <w:rsid w:val="009270AF"/>
    <w:rsid w:val="0093058B"/>
    <w:rsid w:val="00930C1E"/>
    <w:rsid w:val="009318AD"/>
    <w:rsid w:val="00932B55"/>
    <w:rsid w:val="00932DEF"/>
    <w:rsid w:val="00933338"/>
    <w:rsid w:val="009359EF"/>
    <w:rsid w:val="00935A30"/>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6BA"/>
    <w:rsid w:val="00972E4B"/>
    <w:rsid w:val="00974F51"/>
    <w:rsid w:val="00975A85"/>
    <w:rsid w:val="009779EC"/>
    <w:rsid w:val="00977D4C"/>
    <w:rsid w:val="009810BE"/>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45AA"/>
    <w:rsid w:val="009E549F"/>
    <w:rsid w:val="009F4ABA"/>
    <w:rsid w:val="00A00A8F"/>
    <w:rsid w:val="00A00B03"/>
    <w:rsid w:val="00A02AEA"/>
    <w:rsid w:val="00A047BA"/>
    <w:rsid w:val="00A04A61"/>
    <w:rsid w:val="00A04FC1"/>
    <w:rsid w:val="00A0534E"/>
    <w:rsid w:val="00A06514"/>
    <w:rsid w:val="00A10681"/>
    <w:rsid w:val="00A10A27"/>
    <w:rsid w:val="00A10C1E"/>
    <w:rsid w:val="00A1134F"/>
    <w:rsid w:val="00A11FB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A37"/>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493"/>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0A77"/>
    <w:rsid w:val="00AB1504"/>
    <w:rsid w:val="00AB36CE"/>
    <w:rsid w:val="00AB4949"/>
    <w:rsid w:val="00AB67E4"/>
    <w:rsid w:val="00AC180C"/>
    <w:rsid w:val="00AC204D"/>
    <w:rsid w:val="00AC35B4"/>
    <w:rsid w:val="00AC3DC7"/>
    <w:rsid w:val="00AC52E0"/>
    <w:rsid w:val="00AD0942"/>
    <w:rsid w:val="00AD1169"/>
    <w:rsid w:val="00AD1C9D"/>
    <w:rsid w:val="00AD350E"/>
    <w:rsid w:val="00AD4F4B"/>
    <w:rsid w:val="00AD53B5"/>
    <w:rsid w:val="00AD553A"/>
    <w:rsid w:val="00AD5BA7"/>
    <w:rsid w:val="00AD5D97"/>
    <w:rsid w:val="00AD7312"/>
    <w:rsid w:val="00AD7FB5"/>
    <w:rsid w:val="00AE14DF"/>
    <w:rsid w:val="00AE2560"/>
    <w:rsid w:val="00AE32A4"/>
    <w:rsid w:val="00AE35A1"/>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DE4"/>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67608"/>
    <w:rsid w:val="00B70CB2"/>
    <w:rsid w:val="00B71555"/>
    <w:rsid w:val="00B719F5"/>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33F7"/>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14789"/>
    <w:rsid w:val="00C2046A"/>
    <w:rsid w:val="00C21D3E"/>
    <w:rsid w:val="00C23792"/>
    <w:rsid w:val="00C25F50"/>
    <w:rsid w:val="00C267F2"/>
    <w:rsid w:val="00C3107E"/>
    <w:rsid w:val="00C32672"/>
    <w:rsid w:val="00C327D2"/>
    <w:rsid w:val="00C32B96"/>
    <w:rsid w:val="00C36528"/>
    <w:rsid w:val="00C36D7C"/>
    <w:rsid w:val="00C37199"/>
    <w:rsid w:val="00C37F78"/>
    <w:rsid w:val="00C41320"/>
    <w:rsid w:val="00C418A9"/>
    <w:rsid w:val="00C422A7"/>
    <w:rsid w:val="00C4281B"/>
    <w:rsid w:val="00C440D9"/>
    <w:rsid w:val="00C45C99"/>
    <w:rsid w:val="00C5008D"/>
    <w:rsid w:val="00C50566"/>
    <w:rsid w:val="00C516D3"/>
    <w:rsid w:val="00C53B89"/>
    <w:rsid w:val="00C56EE3"/>
    <w:rsid w:val="00C5711D"/>
    <w:rsid w:val="00C60FAD"/>
    <w:rsid w:val="00C6133C"/>
    <w:rsid w:val="00C61B0C"/>
    <w:rsid w:val="00C6228B"/>
    <w:rsid w:val="00C622E8"/>
    <w:rsid w:val="00C6239E"/>
    <w:rsid w:val="00C6249F"/>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778AC"/>
    <w:rsid w:val="00C80F0E"/>
    <w:rsid w:val="00C8157E"/>
    <w:rsid w:val="00C83B02"/>
    <w:rsid w:val="00C84D48"/>
    <w:rsid w:val="00C8526E"/>
    <w:rsid w:val="00C85FD4"/>
    <w:rsid w:val="00C86EBB"/>
    <w:rsid w:val="00C87289"/>
    <w:rsid w:val="00C879A8"/>
    <w:rsid w:val="00C87B58"/>
    <w:rsid w:val="00C91847"/>
    <w:rsid w:val="00C91996"/>
    <w:rsid w:val="00C91D03"/>
    <w:rsid w:val="00C92DA4"/>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D779C"/>
    <w:rsid w:val="00CE03D3"/>
    <w:rsid w:val="00CE053E"/>
    <w:rsid w:val="00CE0ADB"/>
    <w:rsid w:val="00CE255D"/>
    <w:rsid w:val="00CE2B3F"/>
    <w:rsid w:val="00CE2B78"/>
    <w:rsid w:val="00CE374C"/>
    <w:rsid w:val="00CE39F9"/>
    <w:rsid w:val="00CE5142"/>
    <w:rsid w:val="00CE516C"/>
    <w:rsid w:val="00CE7841"/>
    <w:rsid w:val="00CF030C"/>
    <w:rsid w:val="00CF1EC7"/>
    <w:rsid w:val="00CF2F35"/>
    <w:rsid w:val="00CF4546"/>
    <w:rsid w:val="00CF4996"/>
    <w:rsid w:val="00CF6D83"/>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92E"/>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683"/>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60C"/>
    <w:rsid w:val="00D737EB"/>
    <w:rsid w:val="00D74265"/>
    <w:rsid w:val="00D74CB4"/>
    <w:rsid w:val="00D760B2"/>
    <w:rsid w:val="00D769CE"/>
    <w:rsid w:val="00D80702"/>
    <w:rsid w:val="00D8222A"/>
    <w:rsid w:val="00D82D9C"/>
    <w:rsid w:val="00D83C58"/>
    <w:rsid w:val="00D83FFF"/>
    <w:rsid w:val="00D85112"/>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E7A"/>
    <w:rsid w:val="00DD57D3"/>
    <w:rsid w:val="00DD699D"/>
    <w:rsid w:val="00DE1D8F"/>
    <w:rsid w:val="00DE69BD"/>
    <w:rsid w:val="00DE6D91"/>
    <w:rsid w:val="00DE6F85"/>
    <w:rsid w:val="00DE7E93"/>
    <w:rsid w:val="00DF1423"/>
    <w:rsid w:val="00DF2FF0"/>
    <w:rsid w:val="00DF44AE"/>
    <w:rsid w:val="00DF4D3C"/>
    <w:rsid w:val="00DF78B7"/>
    <w:rsid w:val="00E007C5"/>
    <w:rsid w:val="00E00EAD"/>
    <w:rsid w:val="00E029E6"/>
    <w:rsid w:val="00E02C68"/>
    <w:rsid w:val="00E0623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3ED5"/>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51ED"/>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4551"/>
    <w:rsid w:val="00EE6901"/>
    <w:rsid w:val="00EF047C"/>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B03"/>
    <w:rsid w:val="00F37DE5"/>
    <w:rsid w:val="00F42079"/>
    <w:rsid w:val="00F42A44"/>
    <w:rsid w:val="00F44B48"/>
    <w:rsid w:val="00F44EEA"/>
    <w:rsid w:val="00F51A98"/>
    <w:rsid w:val="00F51D3C"/>
    <w:rsid w:val="00F543F0"/>
    <w:rsid w:val="00F54887"/>
    <w:rsid w:val="00F559B1"/>
    <w:rsid w:val="00F57ACB"/>
    <w:rsid w:val="00F60372"/>
    <w:rsid w:val="00F619F0"/>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060"/>
    <w:rsid w:val="00F81534"/>
    <w:rsid w:val="00F81EAE"/>
    <w:rsid w:val="00F82416"/>
    <w:rsid w:val="00F82F53"/>
    <w:rsid w:val="00F82FE5"/>
    <w:rsid w:val="00F83516"/>
    <w:rsid w:val="00F83C4B"/>
    <w:rsid w:val="00F84249"/>
    <w:rsid w:val="00F8558D"/>
    <w:rsid w:val="00F85C27"/>
    <w:rsid w:val="00F86763"/>
    <w:rsid w:val="00F86F26"/>
    <w:rsid w:val="00F87DE1"/>
    <w:rsid w:val="00F90534"/>
    <w:rsid w:val="00F90AC7"/>
    <w:rsid w:val="00F91698"/>
    <w:rsid w:val="00F9169B"/>
    <w:rsid w:val="00F92C2C"/>
    <w:rsid w:val="00F92F55"/>
    <w:rsid w:val="00F93525"/>
    <w:rsid w:val="00F93D57"/>
    <w:rsid w:val="00F95FE7"/>
    <w:rsid w:val="00F962FC"/>
    <w:rsid w:val="00F97E88"/>
    <w:rsid w:val="00F97F31"/>
    <w:rsid w:val="00FA0AFD"/>
    <w:rsid w:val="00FA0BF5"/>
    <w:rsid w:val="00FA0F72"/>
    <w:rsid w:val="00FA1648"/>
    <w:rsid w:val="00FA31E9"/>
    <w:rsid w:val="00FA5643"/>
    <w:rsid w:val="00FA5FA1"/>
    <w:rsid w:val="00FA6B79"/>
    <w:rsid w:val="00FA7D9F"/>
    <w:rsid w:val="00FA7FB6"/>
    <w:rsid w:val="00FB005A"/>
    <w:rsid w:val="00FB2D07"/>
    <w:rsid w:val="00FB2F26"/>
    <w:rsid w:val="00FB4379"/>
    <w:rsid w:val="00FB73C3"/>
    <w:rsid w:val="00FC0094"/>
    <w:rsid w:val="00FC359D"/>
    <w:rsid w:val="00FC44B3"/>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ncyclopedia/domestic-section-214-discontinuance-service"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filings?proceedings_name=21-325&amp;sort=date_disseminated,DESC" TargetMode="External" /><Relationship Id="rId2" Type="http://schemas.openxmlformats.org/officeDocument/2006/relationships/hyperlink" Target="https://ecfsapi.fcc.gov/file/11232763804590/DA-20-1392A1.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