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823C2" w:rsidRPr="006823C2" w:rsidP="006823C2" w14:paraId="65FAAF98" w14:textId="77777777">
      <w:pPr>
        <w:jc w:val="center"/>
        <w:rPr>
          <w:b/>
          <w:szCs w:val="22"/>
        </w:rPr>
      </w:pPr>
      <w:r w:rsidRPr="006823C2">
        <w:rPr>
          <w:b/>
          <w:szCs w:val="22"/>
        </w:rPr>
        <w:t>Before the</w:t>
      </w:r>
    </w:p>
    <w:p w:rsidR="006823C2" w:rsidRPr="006823C2" w:rsidP="006823C2" w14:paraId="5D2F5879" w14:textId="77777777">
      <w:pPr>
        <w:jc w:val="center"/>
        <w:rPr>
          <w:b/>
          <w:szCs w:val="22"/>
        </w:rPr>
      </w:pPr>
      <w:r w:rsidRPr="006823C2">
        <w:rPr>
          <w:b/>
          <w:szCs w:val="22"/>
        </w:rPr>
        <w:t>Federal Communications Commission</w:t>
      </w:r>
    </w:p>
    <w:p w:rsidR="006823C2" w:rsidRPr="006823C2" w:rsidP="006823C2" w14:paraId="7C61F644" w14:textId="77777777">
      <w:pPr>
        <w:jc w:val="center"/>
        <w:rPr>
          <w:b/>
          <w:szCs w:val="22"/>
        </w:rPr>
      </w:pPr>
      <w:r w:rsidRPr="006823C2">
        <w:rPr>
          <w:b/>
          <w:szCs w:val="22"/>
        </w:rPr>
        <w:t>Washington, D.C. 20554</w:t>
      </w:r>
    </w:p>
    <w:p w:rsidR="006823C2" w:rsidRPr="006823C2" w:rsidP="006823C2" w14:paraId="55318683" w14:textId="77777777">
      <w:pPr>
        <w:rPr>
          <w:szCs w:val="22"/>
        </w:rPr>
      </w:pPr>
    </w:p>
    <w:p w:rsidR="006823C2" w:rsidRPr="006823C2" w:rsidP="006823C2" w14:paraId="68023A83" w14:textId="77777777">
      <w:pPr>
        <w:rPr>
          <w:szCs w:val="22"/>
        </w:rPr>
      </w:pPr>
    </w:p>
    <w:tbl>
      <w:tblPr>
        <w:tblW w:w="0" w:type="auto"/>
        <w:tblLayout w:type="fixed"/>
        <w:tblLook w:val="0000"/>
      </w:tblPr>
      <w:tblGrid>
        <w:gridCol w:w="4698"/>
        <w:gridCol w:w="720"/>
        <w:gridCol w:w="4230"/>
      </w:tblGrid>
      <w:tr w14:paraId="5A7D7F18" w14:textId="77777777" w:rsidTr="005B6DD7">
        <w:tblPrEx>
          <w:tblW w:w="0" w:type="auto"/>
          <w:tblLayout w:type="fixed"/>
          <w:tblLook w:val="0000"/>
        </w:tblPrEx>
        <w:tc>
          <w:tcPr>
            <w:tcW w:w="4698" w:type="dxa"/>
          </w:tcPr>
          <w:p w:rsidR="006823C2" w:rsidRPr="006823C2" w:rsidP="005B6DD7" w14:paraId="388B9526" w14:textId="77777777">
            <w:pPr>
              <w:ind w:right="-18"/>
              <w:rPr>
                <w:szCs w:val="22"/>
              </w:rPr>
            </w:pPr>
            <w:r w:rsidRPr="006823C2">
              <w:rPr>
                <w:szCs w:val="22"/>
              </w:rPr>
              <w:t>In the Matter of</w:t>
            </w:r>
          </w:p>
          <w:p w:rsidR="006823C2" w:rsidRPr="006823C2" w:rsidP="005B6DD7" w14:paraId="5DE59950" w14:textId="77777777">
            <w:pPr>
              <w:ind w:right="-18"/>
              <w:rPr>
                <w:szCs w:val="22"/>
              </w:rPr>
            </w:pPr>
          </w:p>
          <w:p w:rsidR="006823C2" w:rsidRPr="006823C2" w:rsidP="005B6DD7" w14:paraId="4C3768FB" w14:textId="77777777">
            <w:pPr>
              <w:ind w:right="-18"/>
              <w:rPr>
                <w:szCs w:val="22"/>
              </w:rPr>
            </w:pPr>
            <w:r w:rsidRPr="006823C2">
              <w:rPr>
                <w:szCs w:val="22"/>
              </w:rPr>
              <w:t>Telephone Number Portability</w:t>
            </w:r>
          </w:p>
          <w:p w:rsidR="006823C2" w:rsidRPr="006823C2" w:rsidP="005B6DD7" w14:paraId="04C333A3" w14:textId="77777777">
            <w:pPr>
              <w:ind w:right="-18"/>
              <w:rPr>
                <w:szCs w:val="22"/>
              </w:rPr>
            </w:pPr>
          </w:p>
          <w:p w:rsidR="006823C2" w:rsidRPr="006823C2" w:rsidP="005B6DD7" w14:paraId="4FA0AE82" w14:textId="77777777">
            <w:pPr>
              <w:ind w:right="-18"/>
              <w:rPr>
                <w:szCs w:val="22"/>
              </w:rPr>
            </w:pPr>
            <w:r w:rsidRPr="006823C2">
              <w:rPr>
                <w:szCs w:val="22"/>
              </w:rPr>
              <w:t>Numbering Resource Optimization</w:t>
            </w:r>
          </w:p>
        </w:tc>
        <w:tc>
          <w:tcPr>
            <w:tcW w:w="720" w:type="dxa"/>
          </w:tcPr>
          <w:p w:rsidR="006823C2" w:rsidRPr="006823C2" w:rsidP="005B6DD7" w14:paraId="62539734" w14:textId="77777777">
            <w:pPr>
              <w:rPr>
                <w:b/>
                <w:szCs w:val="22"/>
              </w:rPr>
            </w:pPr>
            <w:r w:rsidRPr="006823C2">
              <w:rPr>
                <w:b/>
                <w:szCs w:val="22"/>
              </w:rPr>
              <w:t>)</w:t>
            </w:r>
          </w:p>
          <w:p w:rsidR="006823C2" w:rsidRPr="006823C2" w:rsidP="005B6DD7" w14:paraId="3BDC87E6" w14:textId="77777777">
            <w:pPr>
              <w:rPr>
                <w:b/>
                <w:szCs w:val="22"/>
              </w:rPr>
            </w:pPr>
            <w:r w:rsidRPr="006823C2">
              <w:rPr>
                <w:b/>
                <w:szCs w:val="22"/>
              </w:rPr>
              <w:t>)</w:t>
            </w:r>
          </w:p>
          <w:p w:rsidR="006823C2" w:rsidRPr="006823C2" w:rsidP="005B6DD7" w14:paraId="16564C83" w14:textId="77777777">
            <w:pPr>
              <w:rPr>
                <w:b/>
                <w:szCs w:val="22"/>
              </w:rPr>
            </w:pPr>
            <w:r w:rsidRPr="006823C2">
              <w:rPr>
                <w:b/>
                <w:szCs w:val="22"/>
              </w:rPr>
              <w:t>)</w:t>
            </w:r>
          </w:p>
          <w:p w:rsidR="006823C2" w:rsidRPr="006823C2" w:rsidP="005B6DD7" w14:paraId="07C1FBC9" w14:textId="77777777">
            <w:pPr>
              <w:rPr>
                <w:b/>
                <w:szCs w:val="22"/>
              </w:rPr>
            </w:pPr>
            <w:r w:rsidRPr="006823C2">
              <w:rPr>
                <w:b/>
                <w:szCs w:val="22"/>
              </w:rPr>
              <w:t>)</w:t>
            </w:r>
          </w:p>
          <w:p w:rsidR="006823C2" w:rsidRPr="006823C2" w:rsidP="005B6DD7" w14:paraId="37E4F85B" w14:textId="77777777">
            <w:pPr>
              <w:rPr>
                <w:b/>
                <w:szCs w:val="22"/>
              </w:rPr>
            </w:pPr>
            <w:r w:rsidRPr="006823C2">
              <w:rPr>
                <w:b/>
                <w:szCs w:val="22"/>
              </w:rPr>
              <w:t>)</w:t>
            </w:r>
          </w:p>
          <w:p w:rsidR="006823C2" w:rsidRPr="006823C2" w:rsidP="005B6DD7" w14:paraId="66188696" w14:textId="77777777">
            <w:pPr>
              <w:rPr>
                <w:b/>
                <w:szCs w:val="22"/>
              </w:rPr>
            </w:pPr>
          </w:p>
        </w:tc>
        <w:tc>
          <w:tcPr>
            <w:tcW w:w="4230" w:type="dxa"/>
          </w:tcPr>
          <w:p w:rsidR="006823C2" w:rsidRPr="006823C2" w:rsidP="005B6DD7" w14:paraId="55F005ED" w14:textId="77777777">
            <w:pPr>
              <w:rPr>
                <w:szCs w:val="22"/>
              </w:rPr>
            </w:pPr>
          </w:p>
          <w:p w:rsidR="006823C2" w:rsidRPr="006823C2" w:rsidP="005B6DD7" w14:paraId="74204257" w14:textId="77777777">
            <w:pPr>
              <w:rPr>
                <w:szCs w:val="22"/>
              </w:rPr>
            </w:pPr>
          </w:p>
          <w:p w:rsidR="006823C2" w:rsidRPr="006823C2" w:rsidP="005B6DD7" w14:paraId="149DFD5E" w14:textId="77777777">
            <w:pPr>
              <w:rPr>
                <w:szCs w:val="22"/>
              </w:rPr>
            </w:pPr>
            <w:r w:rsidRPr="006823C2">
              <w:rPr>
                <w:spacing w:val="-2"/>
                <w:szCs w:val="22"/>
              </w:rPr>
              <w:t>CC Docket No. 95-116</w:t>
            </w:r>
          </w:p>
          <w:p w:rsidR="006823C2" w:rsidRPr="006823C2" w:rsidP="005B6DD7" w14:paraId="0C0DB912" w14:textId="77777777">
            <w:pPr>
              <w:rPr>
                <w:szCs w:val="22"/>
              </w:rPr>
            </w:pPr>
          </w:p>
          <w:p w:rsidR="006823C2" w:rsidRPr="006823C2" w:rsidP="005B6DD7" w14:paraId="0581AAAE" w14:textId="77777777">
            <w:pPr>
              <w:rPr>
                <w:szCs w:val="22"/>
              </w:rPr>
            </w:pPr>
            <w:r w:rsidRPr="006823C2">
              <w:rPr>
                <w:szCs w:val="22"/>
              </w:rPr>
              <w:t>CC Docket No. 99-200</w:t>
            </w:r>
          </w:p>
        </w:tc>
      </w:tr>
    </w:tbl>
    <w:p w:rsidR="006823C2" w:rsidRPr="006823C2" w:rsidP="006823C2" w14:paraId="1B81AA2A" w14:textId="77777777">
      <w:pPr>
        <w:rPr>
          <w:szCs w:val="22"/>
        </w:rPr>
      </w:pPr>
    </w:p>
    <w:p w:rsidR="006823C2" w:rsidRPr="006823C2" w:rsidP="006823C2" w14:paraId="5869DD0E" w14:textId="77777777">
      <w:pPr>
        <w:spacing w:before="120"/>
        <w:jc w:val="center"/>
        <w:rPr>
          <w:b/>
          <w:szCs w:val="22"/>
        </w:rPr>
      </w:pPr>
      <w:r w:rsidRPr="006823C2">
        <w:rPr>
          <w:b/>
          <w:szCs w:val="22"/>
        </w:rPr>
        <w:t>ORDER</w:t>
      </w:r>
    </w:p>
    <w:p w:rsidR="006823C2" w:rsidRPr="006823C2" w:rsidP="006823C2" w14:paraId="70524D15" w14:textId="77777777">
      <w:pPr>
        <w:rPr>
          <w:szCs w:val="22"/>
        </w:rPr>
      </w:pPr>
    </w:p>
    <w:p w:rsidR="006823C2" w:rsidRPr="006823C2" w:rsidP="006823C2" w14:paraId="20640728" w14:textId="2CD45CC2">
      <w:pPr>
        <w:tabs>
          <w:tab w:val="left" w:pos="5760"/>
        </w:tabs>
        <w:rPr>
          <w:b/>
          <w:szCs w:val="22"/>
        </w:rPr>
      </w:pPr>
      <w:r w:rsidRPr="006823C2">
        <w:rPr>
          <w:b/>
          <w:szCs w:val="22"/>
        </w:rPr>
        <w:t>Adopted:  August 29</w:t>
      </w:r>
      <w:r w:rsidRPr="006823C2">
        <w:rPr>
          <w:b/>
          <w:spacing w:val="-2"/>
          <w:szCs w:val="22"/>
        </w:rPr>
        <w:t>, 20</w:t>
      </w:r>
      <w:r w:rsidR="00F82819">
        <w:rPr>
          <w:b/>
          <w:spacing w:val="-2"/>
          <w:szCs w:val="22"/>
        </w:rPr>
        <w:t>21</w:t>
      </w:r>
      <w:r w:rsidRPr="006823C2">
        <w:rPr>
          <w:b/>
          <w:szCs w:val="22"/>
        </w:rPr>
        <w:tab/>
      </w:r>
      <w:r w:rsidR="0034783F">
        <w:rPr>
          <w:b/>
          <w:szCs w:val="22"/>
        </w:rPr>
        <w:tab/>
      </w:r>
      <w:r w:rsidRPr="006823C2">
        <w:rPr>
          <w:b/>
          <w:szCs w:val="22"/>
        </w:rPr>
        <w:t>Released:  August 29</w:t>
      </w:r>
      <w:r w:rsidRPr="006823C2">
        <w:rPr>
          <w:b/>
          <w:spacing w:val="-2"/>
          <w:szCs w:val="22"/>
        </w:rPr>
        <w:t xml:space="preserve">, </w:t>
      </w:r>
      <w:r w:rsidRPr="006823C2" w:rsidR="00F82819">
        <w:rPr>
          <w:b/>
          <w:spacing w:val="-2"/>
          <w:szCs w:val="22"/>
        </w:rPr>
        <w:t>20</w:t>
      </w:r>
      <w:r w:rsidR="00F82819">
        <w:rPr>
          <w:b/>
          <w:spacing w:val="-2"/>
          <w:szCs w:val="22"/>
        </w:rPr>
        <w:t>21</w:t>
      </w:r>
    </w:p>
    <w:p w:rsidR="006823C2" w:rsidRPr="006823C2" w:rsidP="006823C2" w14:paraId="38734BFE" w14:textId="77777777">
      <w:pPr>
        <w:tabs>
          <w:tab w:val="left" w:pos="5760"/>
        </w:tabs>
        <w:rPr>
          <w:b/>
          <w:szCs w:val="22"/>
        </w:rPr>
      </w:pPr>
    </w:p>
    <w:p w:rsidR="006823C2" w:rsidRPr="006823C2" w:rsidP="006823C2" w14:paraId="3A372D89" w14:textId="77777777">
      <w:pPr>
        <w:tabs>
          <w:tab w:val="left" w:pos="5760"/>
        </w:tabs>
        <w:rPr>
          <w:szCs w:val="22"/>
        </w:rPr>
      </w:pPr>
      <w:r w:rsidRPr="006823C2">
        <w:rPr>
          <w:szCs w:val="22"/>
        </w:rPr>
        <w:t>By the</w:t>
      </w:r>
      <w:r w:rsidRPr="006823C2">
        <w:rPr>
          <w:spacing w:val="-2"/>
          <w:szCs w:val="22"/>
        </w:rPr>
        <w:t xml:space="preserve"> Chief, Wireline Competition Bureau:</w:t>
      </w:r>
    </w:p>
    <w:p w:rsidR="006823C2" w:rsidRPr="006823C2" w:rsidP="006823C2" w14:paraId="71DAA793" w14:textId="77777777">
      <w:pPr>
        <w:pStyle w:val="Heading1"/>
        <w:numPr>
          <w:ilvl w:val="0"/>
          <w:numId w:val="0"/>
        </w:numPr>
        <w:rPr>
          <w:szCs w:val="22"/>
        </w:rPr>
      </w:pPr>
    </w:p>
    <w:p w:rsidR="006823C2" w:rsidRPr="006823C2" w:rsidP="006823C2" w14:paraId="6C5BA531" w14:textId="3C2ED6D4">
      <w:pPr>
        <w:pStyle w:val="ParaNum"/>
        <w:numPr>
          <w:ilvl w:val="0"/>
          <w:numId w:val="8"/>
        </w:numPr>
        <w:tabs>
          <w:tab w:val="clear" w:pos="1080"/>
          <w:tab w:val="left" w:pos="1440"/>
        </w:tabs>
        <w:spacing w:after="220"/>
        <w:rPr>
          <w:szCs w:val="22"/>
        </w:rPr>
      </w:pPr>
      <w:r w:rsidRPr="006823C2">
        <w:rPr>
          <w:szCs w:val="22"/>
        </w:rPr>
        <w:t xml:space="preserve">On </w:t>
      </w:r>
      <w:r w:rsidR="00F82819">
        <w:rPr>
          <w:szCs w:val="22"/>
        </w:rPr>
        <w:t>Sunday</w:t>
      </w:r>
      <w:r w:rsidRPr="006823C2">
        <w:rPr>
          <w:szCs w:val="22"/>
        </w:rPr>
        <w:t>, August 2</w:t>
      </w:r>
      <w:r w:rsidR="00F82819">
        <w:rPr>
          <w:szCs w:val="22"/>
        </w:rPr>
        <w:t>8</w:t>
      </w:r>
      <w:r w:rsidRPr="006823C2">
        <w:rPr>
          <w:szCs w:val="22"/>
        </w:rPr>
        <w:t>, 20</w:t>
      </w:r>
      <w:r w:rsidR="00F82819">
        <w:rPr>
          <w:szCs w:val="22"/>
        </w:rPr>
        <w:t>21</w:t>
      </w:r>
      <w:r w:rsidRPr="006823C2">
        <w:rPr>
          <w:szCs w:val="22"/>
        </w:rPr>
        <w:t xml:space="preserve">, Hurricane </w:t>
      </w:r>
      <w:r w:rsidR="00F82819">
        <w:rPr>
          <w:szCs w:val="22"/>
        </w:rPr>
        <w:t>Ida</w:t>
      </w:r>
      <w:r w:rsidRPr="006823C2" w:rsidR="00F82819">
        <w:rPr>
          <w:szCs w:val="22"/>
        </w:rPr>
        <w:t xml:space="preserve"> </w:t>
      </w:r>
      <w:r w:rsidRPr="006823C2">
        <w:rPr>
          <w:szCs w:val="22"/>
        </w:rPr>
        <w:t>struck the Gulf Coast of the United States</w:t>
      </w:r>
      <w:r w:rsidR="00F82819">
        <w:rPr>
          <w:szCs w:val="22"/>
        </w:rPr>
        <w:t xml:space="preserve"> as a Category 4 hurricane</w:t>
      </w:r>
      <w:r w:rsidR="002E3FA2">
        <w:rPr>
          <w:szCs w:val="22"/>
        </w:rPr>
        <w:t xml:space="preserve"> and is expected</w:t>
      </w:r>
      <w:r w:rsidRPr="006823C2">
        <w:rPr>
          <w:szCs w:val="22"/>
        </w:rPr>
        <w:t xml:space="preserve"> </w:t>
      </w:r>
      <w:r w:rsidR="002E3FA2">
        <w:rPr>
          <w:szCs w:val="22"/>
        </w:rPr>
        <w:t xml:space="preserve">to </w:t>
      </w:r>
      <w:r w:rsidRPr="006823C2">
        <w:rPr>
          <w:szCs w:val="22"/>
        </w:rPr>
        <w:t>caus</w:t>
      </w:r>
      <w:r w:rsidR="002E3FA2">
        <w:rPr>
          <w:szCs w:val="22"/>
        </w:rPr>
        <w:t>e</w:t>
      </w:r>
      <w:r w:rsidRPr="006823C2">
        <w:rPr>
          <w:szCs w:val="22"/>
        </w:rPr>
        <w:t xml:space="preserve"> significant damage in the state</w:t>
      </w:r>
      <w:r w:rsidR="003976E1">
        <w:rPr>
          <w:szCs w:val="22"/>
        </w:rPr>
        <w:t>s</w:t>
      </w:r>
      <w:r w:rsidRPr="006823C2">
        <w:rPr>
          <w:szCs w:val="22"/>
        </w:rPr>
        <w:t xml:space="preserve"> of </w:t>
      </w:r>
      <w:r w:rsidR="00F82819">
        <w:rPr>
          <w:szCs w:val="22"/>
        </w:rPr>
        <w:t>Louisiana</w:t>
      </w:r>
      <w:r w:rsidR="003976E1">
        <w:rPr>
          <w:szCs w:val="22"/>
        </w:rPr>
        <w:t xml:space="preserve"> and Mississippi</w:t>
      </w:r>
      <w:r w:rsidRPr="006823C2">
        <w:rPr>
          <w:szCs w:val="22"/>
        </w:rPr>
        <w:t>.</w:t>
      </w:r>
      <w:r>
        <w:rPr>
          <w:rStyle w:val="FootnoteReference"/>
          <w:szCs w:val="22"/>
        </w:rPr>
        <w:footnoteReference w:id="3"/>
      </w:r>
      <w:r w:rsidRPr="006823C2">
        <w:rPr>
          <w:szCs w:val="22"/>
        </w:rPr>
        <w:t xml:space="preserve">  Hurricane </w:t>
      </w:r>
      <w:r w:rsidR="00F82819">
        <w:rPr>
          <w:szCs w:val="22"/>
        </w:rPr>
        <w:t>Ida</w:t>
      </w:r>
      <w:r w:rsidRPr="006823C2" w:rsidR="00F82819">
        <w:rPr>
          <w:szCs w:val="22"/>
        </w:rPr>
        <w:t xml:space="preserve"> </w:t>
      </w:r>
      <w:r w:rsidR="00F82819">
        <w:rPr>
          <w:szCs w:val="22"/>
        </w:rPr>
        <w:t>is</w:t>
      </w:r>
      <w:r w:rsidRPr="006823C2" w:rsidR="00F82819">
        <w:rPr>
          <w:szCs w:val="22"/>
        </w:rPr>
        <w:t xml:space="preserve"> </w:t>
      </w:r>
      <w:r w:rsidR="00AB2BE3">
        <w:rPr>
          <w:szCs w:val="22"/>
        </w:rPr>
        <w:t xml:space="preserve">expected to </w:t>
      </w:r>
      <w:r w:rsidRPr="006823C2">
        <w:rPr>
          <w:szCs w:val="22"/>
        </w:rPr>
        <w:t>caus</w:t>
      </w:r>
      <w:r w:rsidR="00AB2BE3">
        <w:rPr>
          <w:szCs w:val="22"/>
        </w:rPr>
        <w:t>e</w:t>
      </w:r>
      <w:r w:rsidRPr="006823C2">
        <w:rPr>
          <w:szCs w:val="22"/>
        </w:rPr>
        <w:t xml:space="preserve"> massive flooding, resulting in significant property damage and personal injury.  It </w:t>
      </w:r>
      <w:r w:rsidR="00F82819">
        <w:rPr>
          <w:szCs w:val="22"/>
        </w:rPr>
        <w:t>is</w:t>
      </w:r>
      <w:r w:rsidRPr="006823C2" w:rsidR="00F82819">
        <w:rPr>
          <w:szCs w:val="22"/>
        </w:rPr>
        <w:t xml:space="preserve"> </w:t>
      </w:r>
      <w:r w:rsidRPr="006823C2">
        <w:rPr>
          <w:szCs w:val="22"/>
        </w:rPr>
        <w:t xml:space="preserve">also </w:t>
      </w:r>
      <w:r w:rsidR="00AB2BE3">
        <w:rPr>
          <w:szCs w:val="22"/>
        </w:rPr>
        <w:t xml:space="preserve">expected to </w:t>
      </w:r>
      <w:r w:rsidRPr="006823C2">
        <w:rPr>
          <w:szCs w:val="22"/>
        </w:rPr>
        <w:t>caus</w:t>
      </w:r>
      <w:r w:rsidR="00AB2BE3">
        <w:rPr>
          <w:szCs w:val="22"/>
        </w:rPr>
        <w:t>e</w:t>
      </w:r>
      <w:r w:rsidRPr="006823C2">
        <w:rPr>
          <w:szCs w:val="22"/>
        </w:rPr>
        <w:t xml:space="preserve"> substantial service disruptions and outages in telephone service in Louisiana </w:t>
      </w:r>
      <w:r w:rsidR="00F82819">
        <w:rPr>
          <w:szCs w:val="22"/>
        </w:rPr>
        <w:t>and</w:t>
      </w:r>
      <w:r w:rsidR="0004614F">
        <w:rPr>
          <w:szCs w:val="22"/>
        </w:rPr>
        <w:t xml:space="preserve"> Mississippi and</w:t>
      </w:r>
      <w:r w:rsidR="00F82819">
        <w:rPr>
          <w:szCs w:val="22"/>
        </w:rPr>
        <w:t xml:space="preserve"> its effects are expected to continue for at least </w:t>
      </w:r>
      <w:r w:rsidRPr="006823C2">
        <w:rPr>
          <w:szCs w:val="22"/>
        </w:rPr>
        <w:t>the next several days.</w:t>
      </w:r>
      <w:r>
        <w:rPr>
          <w:rStyle w:val="FootnoteReference"/>
          <w:sz w:val="22"/>
          <w:szCs w:val="22"/>
        </w:rPr>
        <w:footnoteReference w:id="4"/>
      </w:r>
      <w:r w:rsidRPr="006823C2">
        <w:rPr>
          <w:szCs w:val="22"/>
        </w:rPr>
        <w:t xml:space="preserve">  For these reasons, on our own motion, we are granting a temporary waiver of the Commission’s numbering rules to allow carriers in the states of Louisiana</w:t>
      </w:r>
      <w:r w:rsidR="00473DB5">
        <w:rPr>
          <w:szCs w:val="22"/>
        </w:rPr>
        <w:t xml:space="preserve"> and Mississippi</w:t>
      </w:r>
      <w:r w:rsidRPr="006823C2">
        <w:rPr>
          <w:szCs w:val="22"/>
        </w:rPr>
        <w:t xml:space="preserve">, and the numbering administrators that support them, to port telephone numbers geographically outside of rate centers during this period of service disruption. </w:t>
      </w:r>
    </w:p>
    <w:p w:rsidR="006823C2" w:rsidRPr="006823C2" w:rsidP="006823C2" w14:paraId="12DD2D22" w14:textId="56DC722B">
      <w:pPr>
        <w:pStyle w:val="ParaNum"/>
        <w:numPr>
          <w:ilvl w:val="0"/>
          <w:numId w:val="8"/>
        </w:numPr>
        <w:tabs>
          <w:tab w:val="clear" w:pos="1080"/>
          <w:tab w:val="left" w:pos="1440"/>
        </w:tabs>
        <w:spacing w:after="220"/>
        <w:rPr>
          <w:szCs w:val="22"/>
        </w:rPr>
      </w:pPr>
      <w:r w:rsidRPr="006823C2">
        <w:rPr>
          <w:szCs w:val="22"/>
        </w:rPr>
        <w:t>Pursuant to the Commission’s plenary jurisdiction over numbering matters,</w:t>
      </w:r>
      <w:r>
        <w:rPr>
          <w:rStyle w:val="FootnoteReference"/>
          <w:sz w:val="22"/>
          <w:szCs w:val="22"/>
        </w:rPr>
        <w:footnoteReference w:id="5"/>
      </w:r>
      <w:r w:rsidRPr="006823C2">
        <w:rPr>
          <w:szCs w:val="22"/>
        </w:rPr>
        <w:t xml:space="preserve"> the Commission has adopted numbering rules and policies designed to ensure that carriers have access to numbering resources when needed to serve customers.</w:t>
      </w:r>
      <w:r>
        <w:rPr>
          <w:rStyle w:val="FootnoteReference"/>
          <w:sz w:val="22"/>
          <w:szCs w:val="22"/>
        </w:rPr>
        <w:footnoteReference w:id="6"/>
      </w:r>
      <w:r w:rsidRPr="006823C2">
        <w:rPr>
          <w:szCs w:val="22"/>
        </w:rPr>
        <w:t xml:space="preserve">  Among other things, the Commission’s numbering rules require certain types of carriers to offer local number portability (“LNP”).</w:t>
      </w:r>
      <w:r>
        <w:rPr>
          <w:rStyle w:val="FootnoteReference"/>
          <w:sz w:val="22"/>
          <w:szCs w:val="22"/>
        </w:rPr>
        <w:footnoteReference w:id="7"/>
      </w:r>
      <w:r w:rsidRPr="006823C2">
        <w:rPr>
          <w:szCs w:val="22"/>
        </w:rPr>
        <w:t xml:space="preserve">  The Commission’s number portability rules, however, do not extend to </w:t>
      </w:r>
      <w:r w:rsidRPr="006823C2">
        <w:rPr>
          <w:i/>
          <w:szCs w:val="22"/>
        </w:rPr>
        <w:t xml:space="preserve">location </w:t>
      </w:r>
      <w:r w:rsidRPr="006823C2">
        <w:rPr>
          <w:szCs w:val="22"/>
        </w:rPr>
        <w:t xml:space="preserve">or </w:t>
      </w:r>
      <w:r w:rsidRPr="006823C2">
        <w:rPr>
          <w:i/>
          <w:szCs w:val="22"/>
        </w:rPr>
        <w:t xml:space="preserve">service </w:t>
      </w:r>
      <w:r w:rsidRPr="006823C2">
        <w:rPr>
          <w:szCs w:val="22"/>
        </w:rPr>
        <w:t>portability.</w:t>
      </w:r>
      <w:r>
        <w:rPr>
          <w:rStyle w:val="FootnoteReference"/>
          <w:sz w:val="22"/>
          <w:szCs w:val="22"/>
        </w:rPr>
        <w:footnoteReference w:id="8"/>
      </w:r>
      <w:r w:rsidRPr="006823C2">
        <w:rPr>
          <w:szCs w:val="22"/>
        </w:rPr>
        <w:t xml:space="preserve">  </w:t>
      </w:r>
      <w:r w:rsidRPr="006823C2">
        <w:rPr>
          <w:szCs w:val="22"/>
        </w:rPr>
        <w:t xml:space="preserve">However, due to the substantial damage to telecommunications systems </w:t>
      </w:r>
      <w:r w:rsidR="002E3FA2">
        <w:rPr>
          <w:szCs w:val="22"/>
        </w:rPr>
        <w:t xml:space="preserve">expected to be </w:t>
      </w:r>
      <w:r w:rsidRPr="006823C2">
        <w:rPr>
          <w:szCs w:val="22"/>
        </w:rPr>
        <w:t xml:space="preserve">caused by Hurricane </w:t>
      </w:r>
      <w:r w:rsidR="00F82819">
        <w:rPr>
          <w:szCs w:val="22"/>
        </w:rPr>
        <w:t>Ida</w:t>
      </w:r>
      <w:r w:rsidRPr="006823C2" w:rsidR="00F82819">
        <w:rPr>
          <w:szCs w:val="22"/>
        </w:rPr>
        <w:t xml:space="preserve"> </w:t>
      </w:r>
      <w:r w:rsidRPr="006823C2">
        <w:rPr>
          <w:szCs w:val="22"/>
        </w:rPr>
        <w:t>in Louisiana</w:t>
      </w:r>
      <w:r w:rsidR="00473DB5">
        <w:rPr>
          <w:szCs w:val="22"/>
        </w:rPr>
        <w:t xml:space="preserve"> and Mississippi</w:t>
      </w:r>
      <w:r w:rsidRPr="006823C2">
        <w:rPr>
          <w:szCs w:val="22"/>
        </w:rPr>
        <w:t>, carriers may need to port numbers to destinations outside the affected rate centers.  Section 1.3 of our rules authorizes the Commission to suspend, revoke, amend, or waive a Commission rule for good cause shown.</w:t>
      </w:r>
      <w:r>
        <w:rPr>
          <w:rStyle w:val="FootnoteReference"/>
          <w:sz w:val="22"/>
          <w:szCs w:val="22"/>
        </w:rPr>
        <w:footnoteReference w:id="9"/>
      </w:r>
      <w:r w:rsidRPr="006823C2">
        <w:rPr>
          <w:szCs w:val="22"/>
        </w:rPr>
        <w:t xml:space="preserve">  We recognize that telecommunications service must be restored to the hurricane victims as quickly as possible, and we find that waiver of the Commission’s local number portability and number assignment rules is a reasonable and practical means for doing so.  Accordingly, we find that due to this natural disaster, good cause exists for waiving these rules and that such waiver is in the public interest.</w:t>
      </w:r>
      <w:r>
        <w:rPr>
          <w:rStyle w:val="FootnoteReference"/>
          <w:sz w:val="22"/>
          <w:szCs w:val="22"/>
        </w:rPr>
        <w:footnoteReference w:id="10"/>
      </w:r>
    </w:p>
    <w:p w:rsidR="006823C2" w:rsidRPr="006823C2" w:rsidP="006823C2" w14:paraId="4A192D38" w14:textId="0A8F2BA8">
      <w:pPr>
        <w:pStyle w:val="ParaNum"/>
        <w:numPr>
          <w:ilvl w:val="0"/>
          <w:numId w:val="8"/>
        </w:numPr>
        <w:tabs>
          <w:tab w:val="clear" w:pos="1080"/>
          <w:tab w:val="left" w:pos="1440"/>
        </w:tabs>
        <w:spacing w:after="220"/>
        <w:rPr>
          <w:szCs w:val="22"/>
        </w:rPr>
      </w:pPr>
      <w:r w:rsidRPr="006823C2">
        <w:rPr>
          <w:szCs w:val="22"/>
        </w:rPr>
        <w:t>We therefore waive the Commission’s local number portability and number assignment rules to the extent necessary to permit carriers to port customers’ numbers to remote locations, on a temporary basis.  This waiver applies to carriers to the extent that they provide service in the states of Louisiana</w:t>
      </w:r>
      <w:r w:rsidR="00473DB5">
        <w:rPr>
          <w:szCs w:val="22"/>
        </w:rPr>
        <w:t xml:space="preserve"> and Mississippi</w:t>
      </w:r>
      <w:r w:rsidRPr="006823C2">
        <w:rPr>
          <w:szCs w:val="22"/>
        </w:rPr>
        <w:t>, or to carriers assisting affected carriers in their efforts to continue or restore service.</w:t>
      </w:r>
      <w:r w:rsidRPr="006823C2">
        <w:rPr>
          <w:b/>
          <w:szCs w:val="22"/>
        </w:rPr>
        <w:t xml:space="preserve">  </w:t>
      </w:r>
      <w:r w:rsidRPr="006823C2">
        <w:rPr>
          <w:szCs w:val="22"/>
        </w:rPr>
        <w:t>This waiver also applies to the numbering administrators, to the extent necessary to support carriers in the affected areas.  The waiver is in effect beginning August 2</w:t>
      </w:r>
      <w:r w:rsidR="00F82819">
        <w:rPr>
          <w:szCs w:val="22"/>
        </w:rPr>
        <w:t>9</w:t>
      </w:r>
      <w:r w:rsidRPr="006823C2">
        <w:rPr>
          <w:szCs w:val="22"/>
        </w:rPr>
        <w:t>, 20</w:t>
      </w:r>
      <w:r w:rsidR="00F82819">
        <w:rPr>
          <w:szCs w:val="22"/>
        </w:rPr>
        <w:t>21</w:t>
      </w:r>
      <w:r w:rsidRPr="006823C2">
        <w:rPr>
          <w:szCs w:val="22"/>
        </w:rPr>
        <w:t>, for ninety days, until November 2</w:t>
      </w:r>
      <w:r w:rsidR="00F82819">
        <w:rPr>
          <w:szCs w:val="22"/>
        </w:rPr>
        <w:t>7</w:t>
      </w:r>
      <w:r w:rsidRPr="006823C2">
        <w:rPr>
          <w:szCs w:val="22"/>
        </w:rPr>
        <w:t>, 20</w:t>
      </w:r>
      <w:r w:rsidR="00F82819">
        <w:rPr>
          <w:szCs w:val="22"/>
        </w:rPr>
        <w:t>21</w:t>
      </w:r>
      <w:r w:rsidRPr="006823C2">
        <w:rPr>
          <w:szCs w:val="22"/>
        </w:rPr>
        <w:t xml:space="preserve">.  If carriers are unable to resume service on a normal basis in areas affected by Hurricane </w:t>
      </w:r>
      <w:r w:rsidR="00F82819">
        <w:rPr>
          <w:szCs w:val="22"/>
        </w:rPr>
        <w:t>Ida</w:t>
      </w:r>
      <w:r w:rsidRPr="006823C2" w:rsidR="00F82819">
        <w:rPr>
          <w:szCs w:val="22"/>
        </w:rPr>
        <w:t xml:space="preserve"> </w:t>
      </w:r>
      <w:r w:rsidRPr="006823C2">
        <w:rPr>
          <w:szCs w:val="22"/>
        </w:rPr>
        <w:t xml:space="preserve">after this time period has elapsed, they should request additional relief from the Wireline Competition Bureau.  </w:t>
      </w:r>
    </w:p>
    <w:p w:rsidR="006823C2" w:rsidRPr="006823C2" w:rsidP="006823C2" w14:paraId="42E89C34" w14:textId="77777777">
      <w:pPr>
        <w:pStyle w:val="ParaNum"/>
        <w:numPr>
          <w:ilvl w:val="0"/>
          <w:numId w:val="8"/>
        </w:numPr>
        <w:tabs>
          <w:tab w:val="clear" w:pos="1080"/>
          <w:tab w:val="left" w:pos="1440"/>
        </w:tabs>
        <w:spacing w:after="220"/>
        <w:rPr>
          <w:szCs w:val="22"/>
        </w:rPr>
      </w:pPr>
      <w:r w:rsidRPr="006823C2">
        <w:rPr>
          <w:szCs w:val="22"/>
        </w:rPr>
        <w:t>Accordingly, IT IS ORDERED, pursuant to sections 4(</w:t>
      </w:r>
      <w:r w:rsidRPr="006823C2">
        <w:rPr>
          <w:szCs w:val="22"/>
        </w:rPr>
        <w:t>i</w:t>
      </w:r>
      <w:r w:rsidRPr="006823C2">
        <w:rPr>
          <w:szCs w:val="22"/>
        </w:rPr>
        <w:t>), 251(b)(2), and 251(e) of the Communications Act of 1934, as amended, 47 U.S.C. §§ 154(</w:t>
      </w:r>
      <w:r w:rsidRPr="006823C2">
        <w:rPr>
          <w:szCs w:val="22"/>
        </w:rPr>
        <w:t>i</w:t>
      </w:r>
      <w:r w:rsidRPr="006823C2">
        <w:rPr>
          <w:szCs w:val="22"/>
        </w:rPr>
        <w:t>), 251(b)(2) and 251(e), and sections 0.291 and 1.3 of the Commission’s rules, 47 CFR §§ 0.291, 1.3, that our local number portability and number assignment rules, contained in part 52 of the Commission’s rules, are waived to the extent herein described.</w:t>
      </w:r>
    </w:p>
    <w:p w:rsidR="006823C2" w:rsidRPr="006823C2" w:rsidP="006823C2" w14:paraId="70BD4F14" w14:textId="77777777">
      <w:pPr>
        <w:pStyle w:val="ParaNum"/>
        <w:numPr>
          <w:ilvl w:val="0"/>
          <w:numId w:val="0"/>
        </w:numPr>
        <w:ind w:firstLine="720"/>
        <w:rPr>
          <w:szCs w:val="22"/>
        </w:rPr>
      </w:pPr>
    </w:p>
    <w:p w:rsidR="006823C2" w:rsidRPr="006823C2" w:rsidP="006823C2" w14:paraId="298FAA74" w14:textId="77777777">
      <w:pPr>
        <w:pStyle w:val="ParaNum"/>
        <w:numPr>
          <w:ilvl w:val="0"/>
          <w:numId w:val="0"/>
        </w:numPr>
        <w:ind w:firstLine="720"/>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t>FEDERAL COMMUNICATIONS COMMISSION</w:t>
      </w:r>
    </w:p>
    <w:p w:rsidR="006823C2" w:rsidP="006823C2" w14:paraId="078AE51B" w14:textId="77777777">
      <w:pPr>
        <w:pStyle w:val="ParaNum"/>
        <w:numPr>
          <w:ilvl w:val="0"/>
          <w:numId w:val="0"/>
        </w:numPr>
        <w:ind w:firstLine="720"/>
        <w:contextualSpacing/>
        <w:rPr>
          <w:szCs w:val="22"/>
        </w:rPr>
      </w:pPr>
    </w:p>
    <w:p w:rsidR="006823C2" w:rsidP="006823C2" w14:paraId="768402CA" w14:textId="77777777">
      <w:pPr>
        <w:pStyle w:val="ParaNum"/>
        <w:numPr>
          <w:ilvl w:val="0"/>
          <w:numId w:val="0"/>
        </w:numPr>
        <w:ind w:firstLine="720"/>
        <w:contextualSpacing/>
        <w:rPr>
          <w:szCs w:val="22"/>
        </w:rPr>
      </w:pPr>
    </w:p>
    <w:p w:rsidR="006823C2" w:rsidRPr="006823C2" w:rsidP="006823C2" w14:paraId="416BF240" w14:textId="77777777">
      <w:pPr>
        <w:pStyle w:val="ParaNum"/>
        <w:numPr>
          <w:ilvl w:val="0"/>
          <w:numId w:val="0"/>
        </w:numPr>
        <w:ind w:firstLine="720"/>
        <w:contextualSpacing/>
        <w:rPr>
          <w:szCs w:val="22"/>
        </w:rPr>
      </w:pPr>
    </w:p>
    <w:p w:rsidR="006823C2" w:rsidRPr="006823C2" w:rsidP="006823C2" w14:paraId="65394642" w14:textId="77777777">
      <w:pPr>
        <w:pStyle w:val="ParaNum"/>
        <w:numPr>
          <w:ilvl w:val="0"/>
          <w:numId w:val="0"/>
        </w:numPr>
        <w:ind w:firstLine="720"/>
        <w:contextualSpacing/>
        <w:rPr>
          <w:szCs w:val="22"/>
        </w:rPr>
      </w:pPr>
    </w:p>
    <w:p w:rsidR="006823C2" w:rsidRPr="006823C2" w:rsidP="006823C2" w14:paraId="614936FA"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Kris A. Monteith</w:t>
      </w:r>
    </w:p>
    <w:p w:rsidR="006823C2" w:rsidRPr="006823C2" w:rsidP="006823C2" w14:paraId="50CF0F54" w14:textId="77777777">
      <w:pPr>
        <w:contextualSpacing/>
        <w:rPr>
          <w:szCs w:val="22"/>
        </w:rPr>
      </w:pPr>
      <w:r w:rsidRPr="006823C2">
        <w:rPr>
          <w:szCs w:val="22"/>
        </w:rPr>
        <w:tab/>
      </w:r>
      <w:r w:rsidRPr="006823C2">
        <w:rPr>
          <w:szCs w:val="22"/>
        </w:rPr>
        <w:tab/>
      </w:r>
      <w:r w:rsidRPr="006823C2">
        <w:rPr>
          <w:szCs w:val="22"/>
        </w:rPr>
        <w:tab/>
      </w:r>
      <w:r w:rsidRPr="006823C2">
        <w:rPr>
          <w:szCs w:val="22"/>
        </w:rPr>
        <w:tab/>
      </w:r>
      <w:r w:rsidRPr="006823C2">
        <w:rPr>
          <w:szCs w:val="22"/>
        </w:rPr>
        <w:tab/>
      </w:r>
      <w:r w:rsidRPr="006823C2">
        <w:rPr>
          <w:szCs w:val="22"/>
        </w:rPr>
        <w:tab/>
        <w:t>Chief</w:t>
      </w:r>
    </w:p>
    <w:p w:rsidR="006823C2" w:rsidRPr="006823C2" w:rsidP="006823C2" w14:paraId="328BE2AE" w14:textId="77777777">
      <w:pPr>
        <w:ind w:left="3600" w:firstLine="720"/>
        <w:contextualSpacing/>
        <w:rPr>
          <w:szCs w:val="22"/>
        </w:rPr>
      </w:pPr>
      <w:r w:rsidRPr="006823C2">
        <w:rPr>
          <w:szCs w:val="22"/>
        </w:rPr>
        <w:t>Wireline Competition Bureau</w:t>
      </w:r>
    </w:p>
    <w:p w:rsidR="006823C2" w:rsidRPr="006823C2" w:rsidP="006823C2" w14:paraId="3B840CE5" w14:textId="77777777">
      <w:pPr>
        <w:pStyle w:val="ParaNum"/>
        <w:numPr>
          <w:ilvl w:val="0"/>
          <w:numId w:val="0"/>
        </w:numPr>
        <w:ind w:firstLine="720"/>
        <w:rPr>
          <w:szCs w:val="22"/>
        </w:rPr>
      </w:pPr>
    </w:p>
    <w:p w:rsidR="002C00E8" w:rsidRPr="006823C2" w:rsidP="006823C2" w14:paraId="53EF854E" w14:textId="77777777">
      <w:pPr>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DB1D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3F473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5478BC" w14:textId="77777777">
    <w:pPr>
      <w:pStyle w:val="Footer"/>
      <w:framePr w:wrap="around" w:vAnchor="text" w:hAnchor="margin" w:xAlign="center" w:y="1"/>
    </w:pPr>
    <w:r>
      <w:fldChar w:fldCharType="begin"/>
    </w:r>
    <w:r>
      <w:instrText xml:space="preserve">PAGE  </w:instrText>
    </w:r>
    <w:r>
      <w:fldChar w:fldCharType="separate"/>
    </w:r>
    <w:r w:rsidR="00823285">
      <w:rPr>
        <w:noProof/>
      </w:rPr>
      <w:t>2</w:t>
    </w:r>
    <w:r>
      <w:fldChar w:fldCharType="end"/>
    </w:r>
  </w:p>
  <w:p w:rsidR="00D25FB5" w14:paraId="44A8BE3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BB1E06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46BC" w14:paraId="4A8E4125" w14:textId="77777777">
      <w:r>
        <w:separator/>
      </w:r>
    </w:p>
  </w:footnote>
  <w:footnote w:type="continuationSeparator" w:id="1">
    <w:p w:rsidR="00F746BC" w:rsidP="00C721AC" w14:paraId="39EB3BE8" w14:textId="77777777">
      <w:pPr>
        <w:spacing w:before="120"/>
        <w:rPr>
          <w:sz w:val="20"/>
        </w:rPr>
      </w:pPr>
      <w:r>
        <w:rPr>
          <w:sz w:val="20"/>
        </w:rPr>
        <w:t xml:space="preserve">(Continued from previous page)  </w:t>
      </w:r>
      <w:r>
        <w:rPr>
          <w:sz w:val="20"/>
        </w:rPr>
        <w:separator/>
      </w:r>
    </w:p>
  </w:footnote>
  <w:footnote w:type="continuationNotice" w:id="2">
    <w:p w:rsidR="00F746BC" w:rsidP="00C721AC" w14:paraId="3648CD7A" w14:textId="77777777">
      <w:pPr>
        <w:jc w:val="right"/>
        <w:rPr>
          <w:sz w:val="20"/>
        </w:rPr>
      </w:pPr>
      <w:r>
        <w:rPr>
          <w:sz w:val="20"/>
        </w:rPr>
        <w:t>(continued….)</w:t>
      </w:r>
    </w:p>
  </w:footnote>
  <w:footnote w:id="3">
    <w:p w:rsidR="0004614F" w:rsidRPr="00416341" w14:paraId="142C4B58" w14:textId="3CA3CE4A">
      <w:pPr>
        <w:pStyle w:val="FootnoteText"/>
      </w:pPr>
      <w:r>
        <w:rPr>
          <w:rStyle w:val="FootnoteReference"/>
        </w:rPr>
        <w:footnoteRef/>
      </w:r>
      <w:r>
        <w:t xml:space="preserve"> </w:t>
      </w:r>
      <w:r>
        <w:rPr>
          <w:i/>
          <w:iCs/>
        </w:rPr>
        <w:t>See</w:t>
      </w:r>
      <w:r>
        <w:t xml:space="preserve"> </w:t>
      </w:r>
      <w:r w:rsidR="00416341">
        <w:t xml:space="preserve">Bulletin, U.S. National Weather Service, </w:t>
      </w:r>
      <w:r w:rsidRPr="00AB2BE3">
        <w:t>Forecast to Strengthen Rapidly Before Landfall…Life-Threatening Storm Surge, Potentially Catastrophic Wind Damage and Flooding Rainfal</w:t>
      </w:r>
      <w:r w:rsidRPr="00AB2BE3" w:rsidR="00416341">
        <w:t>l</w:t>
      </w:r>
      <w:r w:rsidRPr="00AB2BE3">
        <w:t xml:space="preserve"> Expected to Impact </w:t>
      </w:r>
      <w:r w:rsidRPr="00AB2BE3" w:rsidR="00416341">
        <w:t>the Northern Gulf Cost Beginning Sunday Morning</w:t>
      </w:r>
      <w:r w:rsidRPr="00416341" w:rsidR="00416341">
        <w:t>,</w:t>
      </w:r>
      <w:r w:rsidR="00416341">
        <w:t xml:space="preserve"> (Aug. 28, 2021</w:t>
      </w:r>
      <w:r w:rsidR="001327C4">
        <w:t>)</w:t>
      </w:r>
      <w:r w:rsidR="00416341">
        <w:t xml:space="preserve">, </w:t>
      </w:r>
      <w:hyperlink r:id="rId1" w:history="1">
        <w:r w:rsidRPr="00345F20" w:rsidR="00416341">
          <w:rPr>
            <w:rStyle w:val="Hyperlink"/>
          </w:rPr>
          <w:t>https://www.nhc.noaa.gov/text/refresh/MIATCPAT4+shtml/282353.shtml</w:t>
        </w:r>
      </w:hyperlink>
      <w:r w:rsidR="00416341">
        <w:t xml:space="preserve">. </w:t>
      </w:r>
      <w:r w:rsidR="00416341">
        <w:rPr>
          <w:i/>
          <w:iCs/>
        </w:rPr>
        <w:t>See also</w:t>
      </w:r>
      <w:r w:rsidR="00416341">
        <w:t>. FEMA, President Joseph R. Biden, Jr. Approves Emergency Declaration for Mississippi (Aug. 18,</w:t>
      </w:r>
      <w:r w:rsidR="001A23BE">
        <w:t xml:space="preserve"> </w:t>
      </w:r>
      <w:r w:rsidR="00416341">
        <w:t xml:space="preserve">2021), </w:t>
      </w:r>
      <w:hyperlink r:id="rId2" w:history="1">
        <w:r w:rsidRPr="00345F20" w:rsidR="00416341">
          <w:rPr>
            <w:rStyle w:val="Hyperlink"/>
          </w:rPr>
          <w:t>https://www.fema.gov/press-release/20210829/president-joseph-r-biden-jr-approves-emergency-declaration-mississippi</w:t>
        </w:r>
      </w:hyperlink>
      <w:r w:rsidR="00416341">
        <w:t xml:space="preserve"> (last visited Aug. 29, 2021) and President Joseph R. Biden, Jr. Approves Emergency Declaration for Louisiana</w:t>
      </w:r>
      <w:r w:rsidR="001327C4">
        <w:t xml:space="preserve"> (Aug. 27, 2021), </w:t>
      </w:r>
      <w:r w:rsidR="00416341">
        <w:t xml:space="preserve"> </w:t>
      </w:r>
      <w:hyperlink r:id="rId3" w:history="1">
        <w:r w:rsidRPr="00345F20" w:rsidR="001327C4">
          <w:rPr>
            <w:rStyle w:val="Hyperlink"/>
          </w:rPr>
          <w:t>https://www.fema.gov/press-release/20210827/president-joseph-r-biden-jr-approves-emergency-declaration-louisiana</w:t>
        </w:r>
      </w:hyperlink>
      <w:r w:rsidR="001327C4">
        <w:t xml:space="preserve"> (last visited </w:t>
      </w:r>
      <w:r w:rsidR="001A23BE">
        <w:t>Aug.</w:t>
      </w:r>
      <w:r w:rsidR="001327C4">
        <w:t xml:space="preserve"> 29, 2021).</w:t>
      </w:r>
    </w:p>
  </w:footnote>
  <w:footnote w:id="4">
    <w:p w:rsidR="006823C2" w:rsidRPr="00AB2BE3" w:rsidP="006823C2" w14:paraId="0EF2F4EA" w14:textId="7E81769B">
      <w:pPr>
        <w:pStyle w:val="FootnoteText"/>
        <w:rPr>
          <w:i/>
          <w:iCs/>
        </w:rPr>
      </w:pPr>
      <w:r>
        <w:rPr>
          <w:rStyle w:val="FootnoteReference"/>
        </w:rPr>
        <w:footnoteRef/>
      </w:r>
      <w:r>
        <w:t xml:space="preserve"> </w:t>
      </w:r>
      <w:r w:rsidRPr="00AB2BE3" w:rsidR="00AB2BE3">
        <w:rPr>
          <w:i/>
          <w:iCs/>
        </w:rPr>
        <w:t>Id.</w:t>
      </w:r>
    </w:p>
  </w:footnote>
  <w:footnote w:id="5">
    <w:p w:rsidR="006823C2" w:rsidRPr="0025159A" w:rsidP="006823C2" w14:paraId="19AA6530" w14:textId="77777777">
      <w:pPr>
        <w:pStyle w:val="FootnoteText"/>
      </w:pPr>
      <w:r>
        <w:rPr>
          <w:rStyle w:val="FootnoteReference"/>
        </w:rPr>
        <w:footnoteRef/>
      </w:r>
      <w:r>
        <w:t xml:space="preserve"> </w:t>
      </w:r>
      <w:r>
        <w:rPr>
          <w:i/>
        </w:rPr>
        <w:t>See</w:t>
      </w:r>
      <w:r>
        <w:t xml:space="preserve"> 47 U.S.C. § 251(e)(1).</w:t>
      </w:r>
    </w:p>
  </w:footnote>
  <w:footnote w:id="6">
    <w:p w:rsidR="006823C2" w:rsidP="006823C2" w14:paraId="38F8B469" w14:textId="77777777">
      <w:pPr>
        <w:pStyle w:val="FootnoteText"/>
      </w:pPr>
      <w:r>
        <w:rPr>
          <w:rStyle w:val="FootnoteReference"/>
        </w:rPr>
        <w:footnoteRef/>
      </w:r>
      <w:r>
        <w:t xml:space="preserve"> </w:t>
      </w:r>
      <w:r w:rsidRPr="00EE148C">
        <w:rPr>
          <w:i/>
        </w:rPr>
        <w:t>See generally</w:t>
      </w:r>
      <w:r>
        <w:t xml:space="preserve"> 47 CFR §§ 52.15 </w:t>
      </w:r>
      <w:r w:rsidRPr="00EE148C">
        <w:rPr>
          <w:i/>
        </w:rPr>
        <w:t>et seq</w:t>
      </w:r>
      <w:r>
        <w:t>.</w:t>
      </w:r>
    </w:p>
  </w:footnote>
  <w:footnote w:id="7">
    <w:p w:rsidR="006823C2" w:rsidP="006823C2" w14:paraId="382DEF0B" w14:textId="77777777">
      <w:pPr>
        <w:pStyle w:val="FootnoteText"/>
      </w:pPr>
      <w:r>
        <w:rPr>
          <w:rStyle w:val="FootnoteReference"/>
        </w:rPr>
        <w:footnoteRef/>
      </w:r>
      <w:r>
        <w:t xml:space="preserve"> </w:t>
      </w:r>
      <w:r w:rsidRPr="00147E7A">
        <w:rPr>
          <w:i/>
        </w:rPr>
        <w:t>See</w:t>
      </w:r>
      <w:r>
        <w:t xml:space="preserve"> 47 CFR §§ 52.23, 52.31.</w:t>
      </w:r>
    </w:p>
  </w:footnote>
  <w:footnote w:id="8">
    <w:p w:rsidR="006823C2" w:rsidRPr="00B80DDF" w:rsidP="006823C2" w14:paraId="55385D19" w14:textId="77777777">
      <w:pPr>
        <w:pStyle w:val="FootnoteText"/>
      </w:pPr>
      <w:r>
        <w:rPr>
          <w:rStyle w:val="FootnoteReference"/>
        </w:rPr>
        <w:footnoteRef/>
      </w:r>
      <w:r>
        <w:t xml:space="preserve"> </w:t>
      </w:r>
      <w:r w:rsidRPr="001F06BB">
        <w:rPr>
          <w:i/>
        </w:rPr>
        <w:t>See Telephone Number Portability</w:t>
      </w:r>
      <w:r>
        <w:t xml:space="preserve">, CC Docket No. 95-116, First Report and Order and Further Notice of Proposed Rulemaking, 11 FCC Rcd 8352, 8447, para. 181 (1996).  </w:t>
      </w:r>
      <w:r w:rsidRPr="001F06BB">
        <w:rPr>
          <w:i/>
        </w:rPr>
        <w:t xml:space="preserve">See </w:t>
      </w:r>
      <w:r>
        <w:rPr>
          <w:i/>
        </w:rPr>
        <w:t xml:space="preserve">also </w:t>
      </w:r>
      <w:r w:rsidRPr="001F06BB">
        <w:rPr>
          <w:i/>
        </w:rPr>
        <w:t>Telephone Number Portability</w:t>
      </w:r>
      <w:r>
        <w:t xml:space="preserve">, CC Docket No. 95-116, Memorandum Opinion and Order and Further Notice of Proposed Rulemaking, 18 FCC Rcd 23697, 23706, para. 22 (2003).  </w:t>
      </w:r>
    </w:p>
  </w:footnote>
  <w:footnote w:id="9">
    <w:p w:rsidR="006823C2" w:rsidP="006823C2" w14:paraId="6E587BB2" w14:textId="77777777">
      <w:pPr>
        <w:pStyle w:val="FootnoteText"/>
      </w:pPr>
      <w:r>
        <w:rPr>
          <w:rStyle w:val="FootnoteReference"/>
        </w:rPr>
        <w:footnoteRef/>
      </w:r>
      <w:r>
        <w:t xml:space="preserve"> 47 CFR § 1.3.  This rule provides that “[a]</w:t>
      </w:r>
      <w:r>
        <w:t>ny</w:t>
      </w:r>
      <w:r>
        <w:t xml:space="preserve"> provision of the rules may be waived by the Commission on its own motion or on petition if good cause therefore is shown.”  </w:t>
      </w:r>
      <w:smartTag w:uri="urn:schemas-microsoft-com:office:smarttags" w:element="place">
        <w:smartTag w:uri="urn:schemas-microsoft-com:office:smarttags" w:element="State">
          <w:r w:rsidRPr="004448D0">
            <w:rPr>
              <w:i/>
            </w:rPr>
            <w:t>Id.</w:t>
          </w:r>
        </w:smartTag>
      </w:smartTag>
    </w:p>
  </w:footnote>
  <w:footnote w:id="10">
    <w:p w:rsidR="006823C2" w:rsidP="006823C2" w14:paraId="538E3FEB"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9D86DE" w14:textId="431DC252">
    <w:pPr>
      <w:pStyle w:val="Header"/>
      <w:rPr>
        <w:b w:val="0"/>
      </w:rPr>
    </w:pPr>
    <w:r>
      <w:tab/>
      <w:t>Federal Communications Commission</w:t>
    </w:r>
    <w:r>
      <w:tab/>
    </w:r>
    <w:r w:rsidR="008A300D">
      <w:t>D</w:t>
    </w:r>
    <w:r w:rsidR="005D0EFE">
      <w:t xml:space="preserve">A </w:t>
    </w:r>
    <w:r w:rsidR="00926945">
      <w:t>21-1069</w:t>
    </w:r>
  </w:p>
  <w:p w:rsidR="00D25FB5" w:rsidRPr="00926945" w:rsidP="00926945" w14:paraId="4EA849DC" w14:textId="6B5336A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D1766E" w14:textId="73C0671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823C2">
      <w:rPr>
        <w:spacing w:val="-2"/>
      </w:rPr>
      <w:t xml:space="preserve">DA </w:t>
    </w:r>
    <w:r w:rsidR="005D3DA2">
      <w:rPr>
        <w:spacing w:val="-2"/>
      </w:rPr>
      <w:t>21-</w:t>
    </w:r>
    <w:r w:rsidR="00926945">
      <w:rPr>
        <w:spacing w:val="-2"/>
      </w:rPr>
      <w:t>1069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31"/>
    <w:rsid w:val="00013518"/>
    <w:rsid w:val="0001667C"/>
    <w:rsid w:val="00036039"/>
    <w:rsid w:val="00037F90"/>
    <w:rsid w:val="0004614F"/>
    <w:rsid w:val="000875BF"/>
    <w:rsid w:val="00095131"/>
    <w:rsid w:val="00096D8C"/>
    <w:rsid w:val="000C0B65"/>
    <w:rsid w:val="000E05FE"/>
    <w:rsid w:val="000E3D42"/>
    <w:rsid w:val="00122BD5"/>
    <w:rsid w:val="001327C4"/>
    <w:rsid w:val="00133F79"/>
    <w:rsid w:val="00147E7A"/>
    <w:rsid w:val="00194A66"/>
    <w:rsid w:val="001A23BE"/>
    <w:rsid w:val="001D6BCF"/>
    <w:rsid w:val="001E01CA"/>
    <w:rsid w:val="001F06BB"/>
    <w:rsid w:val="0025159A"/>
    <w:rsid w:val="00275CF5"/>
    <w:rsid w:val="0028301F"/>
    <w:rsid w:val="00285017"/>
    <w:rsid w:val="002A2D2E"/>
    <w:rsid w:val="002C00E8"/>
    <w:rsid w:val="002E3FA2"/>
    <w:rsid w:val="002F0DC6"/>
    <w:rsid w:val="00343749"/>
    <w:rsid w:val="00345F20"/>
    <w:rsid w:val="0034783F"/>
    <w:rsid w:val="003660ED"/>
    <w:rsid w:val="003976E1"/>
    <w:rsid w:val="003B0550"/>
    <w:rsid w:val="003B694F"/>
    <w:rsid w:val="003C3821"/>
    <w:rsid w:val="003F171C"/>
    <w:rsid w:val="00412FC5"/>
    <w:rsid w:val="00416341"/>
    <w:rsid w:val="00422276"/>
    <w:rsid w:val="004242F1"/>
    <w:rsid w:val="00424E34"/>
    <w:rsid w:val="00425EE8"/>
    <w:rsid w:val="004448D0"/>
    <w:rsid w:val="00445A00"/>
    <w:rsid w:val="00451B0F"/>
    <w:rsid w:val="00473DB5"/>
    <w:rsid w:val="004C2EE3"/>
    <w:rsid w:val="004E4A22"/>
    <w:rsid w:val="00511968"/>
    <w:rsid w:val="0055614C"/>
    <w:rsid w:val="005B6DD7"/>
    <w:rsid w:val="005D0EFE"/>
    <w:rsid w:val="005D3DA2"/>
    <w:rsid w:val="005E14C2"/>
    <w:rsid w:val="00607BA5"/>
    <w:rsid w:val="0061180A"/>
    <w:rsid w:val="00626EB6"/>
    <w:rsid w:val="00655D03"/>
    <w:rsid w:val="006823C2"/>
    <w:rsid w:val="00683388"/>
    <w:rsid w:val="00683F84"/>
    <w:rsid w:val="006A6A81"/>
    <w:rsid w:val="006F7393"/>
    <w:rsid w:val="0070224F"/>
    <w:rsid w:val="007115F7"/>
    <w:rsid w:val="00785689"/>
    <w:rsid w:val="0079754B"/>
    <w:rsid w:val="007A1E6D"/>
    <w:rsid w:val="007B0EB2"/>
    <w:rsid w:val="00810B6F"/>
    <w:rsid w:val="00822CE0"/>
    <w:rsid w:val="00823285"/>
    <w:rsid w:val="00841AB1"/>
    <w:rsid w:val="008A300D"/>
    <w:rsid w:val="008C68F1"/>
    <w:rsid w:val="00904F8C"/>
    <w:rsid w:val="00921803"/>
    <w:rsid w:val="00926503"/>
    <w:rsid w:val="00926945"/>
    <w:rsid w:val="009726D8"/>
    <w:rsid w:val="009F76DB"/>
    <w:rsid w:val="00A32C3B"/>
    <w:rsid w:val="00A45F4F"/>
    <w:rsid w:val="00A600A9"/>
    <w:rsid w:val="00AA55B7"/>
    <w:rsid w:val="00AA5B9E"/>
    <w:rsid w:val="00AB2407"/>
    <w:rsid w:val="00AB2BE3"/>
    <w:rsid w:val="00AB53DF"/>
    <w:rsid w:val="00B07E5C"/>
    <w:rsid w:val="00B80DDF"/>
    <w:rsid w:val="00B811F7"/>
    <w:rsid w:val="00BA5DC6"/>
    <w:rsid w:val="00BA6196"/>
    <w:rsid w:val="00BC6D8C"/>
    <w:rsid w:val="00C34006"/>
    <w:rsid w:val="00C426B1"/>
    <w:rsid w:val="00C66160"/>
    <w:rsid w:val="00C721AC"/>
    <w:rsid w:val="00C90D6A"/>
    <w:rsid w:val="00CA247E"/>
    <w:rsid w:val="00CC72B6"/>
    <w:rsid w:val="00D0218D"/>
    <w:rsid w:val="00D12898"/>
    <w:rsid w:val="00D25FB5"/>
    <w:rsid w:val="00D33B3F"/>
    <w:rsid w:val="00D44223"/>
    <w:rsid w:val="00DA2529"/>
    <w:rsid w:val="00DB130A"/>
    <w:rsid w:val="00DB2EBB"/>
    <w:rsid w:val="00DC10A1"/>
    <w:rsid w:val="00DC655F"/>
    <w:rsid w:val="00DD0B59"/>
    <w:rsid w:val="00DD7EBD"/>
    <w:rsid w:val="00DF62B6"/>
    <w:rsid w:val="00E07225"/>
    <w:rsid w:val="00E5409F"/>
    <w:rsid w:val="00EE148C"/>
    <w:rsid w:val="00EE6488"/>
    <w:rsid w:val="00F021FA"/>
    <w:rsid w:val="00F62E97"/>
    <w:rsid w:val="00F64209"/>
    <w:rsid w:val="00F746BC"/>
    <w:rsid w:val="00F8281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106F16"/>
  <w15:chartTrackingRefBased/>
  <w15:docId w15:val="{D1CFF667-859E-4A26-8614-DEDF079C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A23BE"/>
    <w:pPr>
      <w:widowControl w:val="0"/>
    </w:pPr>
    <w:rPr>
      <w:snapToGrid w:val="0"/>
      <w:kern w:val="28"/>
      <w:sz w:val="22"/>
    </w:rPr>
  </w:style>
  <w:style w:type="paragraph" w:styleId="Heading1">
    <w:name w:val="heading 1"/>
    <w:basedOn w:val="Normal"/>
    <w:next w:val="ParaNum"/>
    <w:qFormat/>
    <w:rsid w:val="001A23B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A23BE"/>
    <w:pPr>
      <w:keepNext/>
      <w:numPr>
        <w:ilvl w:val="1"/>
        <w:numId w:val="3"/>
      </w:numPr>
      <w:spacing w:after="120"/>
      <w:outlineLvl w:val="1"/>
    </w:pPr>
    <w:rPr>
      <w:b/>
    </w:rPr>
  </w:style>
  <w:style w:type="paragraph" w:styleId="Heading3">
    <w:name w:val="heading 3"/>
    <w:basedOn w:val="Normal"/>
    <w:next w:val="ParaNum"/>
    <w:qFormat/>
    <w:rsid w:val="001A23BE"/>
    <w:pPr>
      <w:keepNext/>
      <w:numPr>
        <w:ilvl w:val="2"/>
        <w:numId w:val="3"/>
      </w:numPr>
      <w:tabs>
        <w:tab w:val="left" w:pos="2160"/>
      </w:tabs>
      <w:spacing w:after="120"/>
      <w:outlineLvl w:val="2"/>
    </w:pPr>
    <w:rPr>
      <w:b/>
    </w:rPr>
  </w:style>
  <w:style w:type="paragraph" w:styleId="Heading4">
    <w:name w:val="heading 4"/>
    <w:basedOn w:val="Normal"/>
    <w:next w:val="ParaNum"/>
    <w:qFormat/>
    <w:rsid w:val="001A23BE"/>
    <w:pPr>
      <w:keepNext/>
      <w:numPr>
        <w:ilvl w:val="3"/>
        <w:numId w:val="3"/>
      </w:numPr>
      <w:tabs>
        <w:tab w:val="left" w:pos="2880"/>
      </w:tabs>
      <w:spacing w:after="120"/>
      <w:outlineLvl w:val="3"/>
    </w:pPr>
    <w:rPr>
      <w:b/>
    </w:rPr>
  </w:style>
  <w:style w:type="paragraph" w:styleId="Heading5">
    <w:name w:val="heading 5"/>
    <w:basedOn w:val="Normal"/>
    <w:next w:val="ParaNum"/>
    <w:qFormat/>
    <w:rsid w:val="001A23B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A23BE"/>
    <w:pPr>
      <w:numPr>
        <w:ilvl w:val="5"/>
        <w:numId w:val="3"/>
      </w:numPr>
      <w:tabs>
        <w:tab w:val="left" w:pos="4320"/>
      </w:tabs>
      <w:spacing w:after="120"/>
      <w:outlineLvl w:val="5"/>
    </w:pPr>
    <w:rPr>
      <w:b/>
    </w:rPr>
  </w:style>
  <w:style w:type="paragraph" w:styleId="Heading7">
    <w:name w:val="heading 7"/>
    <w:basedOn w:val="Normal"/>
    <w:next w:val="ParaNum"/>
    <w:qFormat/>
    <w:rsid w:val="001A23B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A23B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A23B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23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23BE"/>
  </w:style>
  <w:style w:type="paragraph" w:customStyle="1" w:styleId="ParaNum">
    <w:name w:val="ParaNum"/>
    <w:basedOn w:val="Normal"/>
    <w:rsid w:val="001A23BE"/>
    <w:pPr>
      <w:numPr>
        <w:numId w:val="2"/>
      </w:numPr>
      <w:tabs>
        <w:tab w:val="clear" w:pos="1080"/>
        <w:tab w:val="num" w:pos="1440"/>
      </w:tabs>
      <w:spacing w:after="120"/>
    </w:pPr>
  </w:style>
  <w:style w:type="paragraph" w:styleId="EndnoteText">
    <w:name w:val="endnote text"/>
    <w:basedOn w:val="Normal"/>
    <w:semiHidden/>
    <w:rsid w:val="001A23BE"/>
    <w:rPr>
      <w:sz w:val="20"/>
    </w:rPr>
  </w:style>
  <w:style w:type="character" w:styleId="EndnoteReference">
    <w:name w:val="endnote reference"/>
    <w:semiHidden/>
    <w:rsid w:val="001A23BE"/>
    <w:rPr>
      <w:vertAlign w:val="superscript"/>
    </w:rPr>
  </w:style>
  <w:style w:type="paragraph" w:styleId="FootnoteText">
    <w:name w:val="footnote text"/>
    <w:rsid w:val="001A23BE"/>
    <w:pPr>
      <w:spacing w:after="120"/>
    </w:pPr>
  </w:style>
  <w:style w:type="character" w:styleId="FootnoteReference">
    <w:name w:val="footnote reference"/>
    <w:rsid w:val="001A23BE"/>
    <w:rPr>
      <w:rFonts w:ascii="Times New Roman" w:hAnsi="Times New Roman"/>
      <w:dstrike w:val="0"/>
      <w:color w:val="auto"/>
      <w:sz w:val="20"/>
      <w:vertAlign w:val="superscript"/>
    </w:rPr>
  </w:style>
  <w:style w:type="paragraph" w:styleId="TOC1">
    <w:name w:val="toc 1"/>
    <w:basedOn w:val="Normal"/>
    <w:next w:val="Normal"/>
    <w:semiHidden/>
    <w:rsid w:val="001A23B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A23BE"/>
    <w:pPr>
      <w:tabs>
        <w:tab w:val="left" w:pos="720"/>
        <w:tab w:val="right" w:leader="dot" w:pos="9360"/>
      </w:tabs>
      <w:suppressAutoHyphens/>
      <w:ind w:left="720" w:right="720" w:hanging="360"/>
    </w:pPr>
    <w:rPr>
      <w:noProof/>
    </w:rPr>
  </w:style>
  <w:style w:type="paragraph" w:styleId="TOC3">
    <w:name w:val="toc 3"/>
    <w:basedOn w:val="Normal"/>
    <w:next w:val="Normal"/>
    <w:semiHidden/>
    <w:rsid w:val="001A23B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23B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23B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23B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23B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23B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23B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23BE"/>
    <w:pPr>
      <w:tabs>
        <w:tab w:val="right" w:pos="9360"/>
      </w:tabs>
      <w:suppressAutoHyphens/>
    </w:pPr>
  </w:style>
  <w:style w:type="character" w:customStyle="1" w:styleId="EquationCaption">
    <w:name w:val="_Equation Caption"/>
    <w:rsid w:val="001A23BE"/>
  </w:style>
  <w:style w:type="paragraph" w:styleId="Header">
    <w:name w:val="header"/>
    <w:basedOn w:val="Normal"/>
    <w:autoRedefine/>
    <w:rsid w:val="001A23BE"/>
    <w:pPr>
      <w:tabs>
        <w:tab w:val="center" w:pos="4680"/>
        <w:tab w:val="right" w:pos="9360"/>
      </w:tabs>
    </w:pPr>
    <w:rPr>
      <w:b/>
    </w:rPr>
  </w:style>
  <w:style w:type="paragraph" w:styleId="Footer">
    <w:name w:val="footer"/>
    <w:basedOn w:val="Normal"/>
    <w:link w:val="FooterChar"/>
    <w:uiPriority w:val="99"/>
    <w:rsid w:val="001A23BE"/>
    <w:pPr>
      <w:tabs>
        <w:tab w:val="center" w:pos="4320"/>
        <w:tab w:val="right" w:pos="8640"/>
      </w:tabs>
    </w:pPr>
  </w:style>
  <w:style w:type="character" w:styleId="PageNumber">
    <w:name w:val="page number"/>
    <w:basedOn w:val="DefaultParagraphFont"/>
    <w:rsid w:val="001A23BE"/>
  </w:style>
  <w:style w:type="paragraph" w:styleId="BlockText">
    <w:name w:val="Block Text"/>
    <w:basedOn w:val="Normal"/>
    <w:rsid w:val="001A23BE"/>
    <w:pPr>
      <w:spacing w:after="240"/>
      <w:ind w:left="1440" w:right="1440"/>
    </w:pPr>
  </w:style>
  <w:style w:type="paragraph" w:customStyle="1" w:styleId="Paratitle">
    <w:name w:val="Para title"/>
    <w:basedOn w:val="Normal"/>
    <w:rsid w:val="001A23BE"/>
    <w:pPr>
      <w:tabs>
        <w:tab w:val="center" w:pos="9270"/>
      </w:tabs>
      <w:spacing w:after="240"/>
    </w:pPr>
    <w:rPr>
      <w:spacing w:val="-2"/>
    </w:rPr>
  </w:style>
  <w:style w:type="paragraph" w:customStyle="1" w:styleId="Bullet">
    <w:name w:val="Bullet"/>
    <w:basedOn w:val="Normal"/>
    <w:rsid w:val="001A23BE"/>
    <w:pPr>
      <w:tabs>
        <w:tab w:val="left" w:pos="2160"/>
      </w:tabs>
      <w:spacing w:after="220"/>
      <w:ind w:left="2160" w:hanging="720"/>
    </w:pPr>
  </w:style>
  <w:style w:type="paragraph" w:customStyle="1" w:styleId="TableFormat">
    <w:name w:val="TableFormat"/>
    <w:basedOn w:val="Bullet"/>
    <w:rsid w:val="001A23BE"/>
    <w:pPr>
      <w:tabs>
        <w:tab w:val="clear" w:pos="2160"/>
        <w:tab w:val="left" w:pos="5040"/>
      </w:tabs>
      <w:ind w:left="5040" w:hanging="3600"/>
    </w:pPr>
  </w:style>
  <w:style w:type="paragraph" w:customStyle="1" w:styleId="TOCTitle">
    <w:name w:val="TOC Title"/>
    <w:basedOn w:val="Normal"/>
    <w:rsid w:val="001A23B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23BE"/>
    <w:pPr>
      <w:jc w:val="center"/>
    </w:pPr>
    <w:rPr>
      <w:rFonts w:ascii="Times New Roman Bold" w:hAnsi="Times New Roman Bold"/>
      <w:b/>
      <w:bCs/>
      <w:caps/>
      <w:szCs w:val="22"/>
    </w:rPr>
  </w:style>
  <w:style w:type="character" w:styleId="Hyperlink">
    <w:name w:val="Hyperlink"/>
    <w:rsid w:val="001A23BE"/>
    <w:rPr>
      <w:color w:val="0000FF"/>
      <w:u w:val="single"/>
    </w:rPr>
  </w:style>
  <w:style w:type="character" w:customStyle="1" w:styleId="Mention">
    <w:name w:val="Mention"/>
    <w:uiPriority w:val="99"/>
    <w:semiHidden/>
    <w:unhideWhenUsed/>
    <w:rsid w:val="006823C2"/>
    <w:rPr>
      <w:color w:val="2B579A"/>
      <w:shd w:val="clear" w:color="auto" w:fill="E6E6E6"/>
    </w:rPr>
  </w:style>
  <w:style w:type="character" w:styleId="FollowedHyperlink">
    <w:name w:val="FollowedHyperlink"/>
    <w:rsid w:val="006823C2"/>
    <w:rPr>
      <w:color w:val="954F72"/>
      <w:u w:val="single"/>
    </w:rPr>
  </w:style>
  <w:style w:type="character" w:customStyle="1" w:styleId="FooterChar">
    <w:name w:val="Footer Char"/>
    <w:link w:val="Footer"/>
    <w:uiPriority w:val="99"/>
    <w:rsid w:val="001A23BE"/>
    <w:rPr>
      <w:snapToGrid w:val="0"/>
      <w:kern w:val="28"/>
      <w:sz w:val="22"/>
    </w:rPr>
  </w:style>
  <w:style w:type="character" w:customStyle="1" w:styleId="UnresolvedMention">
    <w:name w:val="Unresolved Mention"/>
    <w:basedOn w:val="DefaultParagraphFont"/>
    <w:uiPriority w:val="99"/>
    <w:semiHidden/>
    <w:unhideWhenUsed/>
    <w:rsid w:val="0041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nhc.noaa.gov/text/refresh/MIATCPAT4+shtml/282353.shtml" TargetMode="External" /><Relationship Id="rId2" Type="http://schemas.openxmlformats.org/officeDocument/2006/relationships/hyperlink" Target="https://www.fema.gov/press-release/20210829/president-joseph-r-biden-jr-approves-emergency-declaration-mississippi" TargetMode="External" /><Relationship Id="rId3" Type="http://schemas.openxmlformats.org/officeDocument/2006/relationships/hyperlink" Target="https://www.fema.gov/press-release/20210827/president-joseph-r-biden-jr-approves-emergency-declaration-louisiana"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