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pPr>
        <w:jc w:val="right"/>
        <w:rPr>
          <w:sz w:val="24"/>
        </w:rPr>
      </w:pPr>
    </w:p>
    <w:p w:rsidR="00013A8B" w:rsidRPr="00B20363" w:rsidP="00013A8B">
      <w:pPr>
        <w:jc w:val="right"/>
        <w:rPr>
          <w:b/>
          <w:sz w:val="24"/>
        </w:rPr>
      </w:pPr>
      <w:bookmarkStart w:id="0" w:name="_Hlk63153099"/>
      <w:bookmarkStart w:id="1" w:name="_GoBack"/>
      <w:bookmarkEnd w:id="1"/>
      <w:r>
        <w:rPr>
          <w:b/>
          <w:sz w:val="24"/>
        </w:rPr>
        <w:t>DA 21-</w:t>
      </w:r>
      <w:r w:rsidR="0024226A">
        <w:rPr>
          <w:b/>
          <w:sz w:val="24"/>
        </w:rPr>
        <w:t>107</w:t>
      </w:r>
    </w:p>
    <w:p w:rsidR="00013A8B" w:rsidRPr="00B20363" w:rsidP="00013A8B">
      <w:pPr>
        <w:spacing w:before="60"/>
        <w:jc w:val="right"/>
        <w:rPr>
          <w:b/>
          <w:sz w:val="24"/>
        </w:rPr>
      </w:pPr>
      <w:r>
        <w:rPr>
          <w:b/>
          <w:sz w:val="24"/>
        </w:rPr>
        <w:t xml:space="preserve">Released:  </w:t>
      </w:r>
      <w:r w:rsidR="00696850">
        <w:rPr>
          <w:b/>
          <w:sz w:val="24"/>
        </w:rPr>
        <w:t>February</w:t>
      </w:r>
      <w:r w:rsidR="00E31AAD">
        <w:rPr>
          <w:b/>
          <w:sz w:val="24"/>
        </w:rPr>
        <w:t xml:space="preserve"> </w:t>
      </w:r>
      <w:r w:rsidR="000038AC">
        <w:rPr>
          <w:b/>
          <w:sz w:val="24"/>
        </w:rPr>
        <w:t>2</w:t>
      </w:r>
      <w:r w:rsidR="00E31AAD">
        <w:rPr>
          <w:b/>
          <w:sz w:val="24"/>
        </w:rPr>
        <w:t>, 2021</w:t>
      </w:r>
    </w:p>
    <w:p w:rsidR="00013A8B" w:rsidP="00013A8B">
      <w:pPr>
        <w:jc w:val="right"/>
        <w:rPr>
          <w:sz w:val="24"/>
        </w:rPr>
      </w:pPr>
    </w:p>
    <w:p w:rsidR="008F4B78" w:rsidP="00DF6DE0">
      <w:pPr>
        <w:widowControl/>
        <w:jc w:val="center"/>
        <w:rPr>
          <w:b/>
          <w:bCs/>
          <w:snapToGrid/>
          <w:kern w:val="0"/>
          <w:szCs w:val="22"/>
        </w:rPr>
      </w:pPr>
      <w:bookmarkStart w:id="2" w:name="_Hlk519509475"/>
      <w:bookmarkStart w:id="3" w:name="_Hlk502044717"/>
      <w:bookmarkStart w:id="4" w:name="_Hlk516578398"/>
      <w:r w:rsidRPr="00DF6DE0">
        <w:rPr>
          <w:b/>
          <w:bCs/>
          <w:snapToGrid/>
          <w:kern w:val="0"/>
          <w:szCs w:val="22"/>
        </w:rPr>
        <w:t xml:space="preserve">DOMESTIC </w:t>
      </w:r>
      <w:r w:rsidRPr="00DF6DE0">
        <w:rPr>
          <w:b/>
          <w:bCs/>
          <w:caps/>
          <w:snapToGrid/>
          <w:kern w:val="0"/>
          <w:szCs w:val="22"/>
        </w:rPr>
        <w:t>SECTION</w:t>
      </w:r>
      <w:r w:rsidRPr="00DF6DE0">
        <w:rPr>
          <w:b/>
          <w:bCs/>
          <w:snapToGrid/>
          <w:kern w:val="0"/>
          <w:szCs w:val="22"/>
        </w:rPr>
        <w:t xml:space="preserve"> 214 APPLICATION FILED FOR THE TRANSFER OF CONTROL OF</w:t>
      </w:r>
      <w:bookmarkEnd w:id="2"/>
      <w:bookmarkEnd w:id="3"/>
      <w:bookmarkEnd w:id="4"/>
      <w:r w:rsidRPr="00DF6DE0">
        <w:rPr>
          <w:b/>
          <w:bCs/>
          <w:snapToGrid/>
          <w:kern w:val="0"/>
          <w:szCs w:val="22"/>
        </w:rPr>
        <w:t xml:space="preserve"> </w:t>
      </w:r>
      <w:r w:rsidRPr="00E76DBE" w:rsidR="00E76DBE">
        <w:rPr>
          <w:b/>
          <w:bCs/>
          <w:snapToGrid/>
          <w:kern w:val="0"/>
          <w:szCs w:val="22"/>
        </w:rPr>
        <w:t>CLEAR RATE COMMUNICATIONS, INC</w:t>
      </w:r>
      <w:r w:rsidR="00E76DBE">
        <w:rPr>
          <w:b/>
          <w:bCs/>
          <w:snapToGrid/>
          <w:kern w:val="0"/>
          <w:szCs w:val="22"/>
        </w:rPr>
        <w:t xml:space="preserve">. AND </w:t>
      </w:r>
      <w:r w:rsidRPr="00E76DBE" w:rsidR="00E76DBE">
        <w:rPr>
          <w:b/>
          <w:bCs/>
          <w:snapToGrid/>
          <w:kern w:val="0"/>
          <w:szCs w:val="22"/>
        </w:rPr>
        <w:t>CLEAR RATE TELECOM, LLC</w:t>
      </w:r>
      <w:r w:rsidR="00E76DBE">
        <w:rPr>
          <w:b/>
          <w:bCs/>
          <w:snapToGrid/>
          <w:kern w:val="0"/>
          <w:szCs w:val="22"/>
        </w:rPr>
        <w:t xml:space="preserve"> </w:t>
      </w:r>
      <w:r w:rsidRPr="00DF6DE0" w:rsidR="00E76DBE">
        <w:rPr>
          <w:b/>
          <w:bCs/>
          <w:snapToGrid/>
          <w:kern w:val="0"/>
          <w:szCs w:val="22"/>
        </w:rPr>
        <w:t xml:space="preserve">TO </w:t>
      </w:r>
    </w:p>
    <w:p w:rsidR="00DF6DE0" w:rsidRPr="00DF6DE0" w:rsidP="00DF6DE0">
      <w:pPr>
        <w:widowControl/>
        <w:jc w:val="center"/>
        <w:rPr>
          <w:rFonts w:eastAsia="Calibri"/>
          <w:b/>
          <w:caps/>
          <w:snapToGrid/>
          <w:kern w:val="0"/>
          <w:szCs w:val="22"/>
        </w:rPr>
      </w:pPr>
      <w:r w:rsidRPr="00E76DBE">
        <w:rPr>
          <w:b/>
          <w:bCs/>
          <w:snapToGrid/>
          <w:kern w:val="0"/>
          <w:szCs w:val="22"/>
        </w:rPr>
        <w:t>CLEAR RATE HOLDINGS</w:t>
      </w:r>
      <w:r w:rsidR="00696850">
        <w:rPr>
          <w:b/>
          <w:bCs/>
          <w:snapToGrid/>
          <w:kern w:val="0"/>
          <w:szCs w:val="22"/>
        </w:rPr>
        <w:t>,</w:t>
      </w:r>
      <w:r w:rsidRPr="00E76DBE">
        <w:rPr>
          <w:b/>
          <w:bCs/>
          <w:snapToGrid/>
          <w:kern w:val="0"/>
          <w:szCs w:val="22"/>
        </w:rPr>
        <w:t xml:space="preserve"> INC</w:t>
      </w:r>
      <w:r w:rsidRPr="00DF6DE0">
        <w:rPr>
          <w:b/>
          <w:bCs/>
          <w:snapToGrid/>
          <w:kern w:val="0"/>
          <w:szCs w:val="22"/>
        </w:rPr>
        <w:t xml:space="preserve">.    </w:t>
      </w:r>
    </w:p>
    <w:p w:rsidR="00DF6DE0" w:rsidRPr="00DF6DE0" w:rsidP="00DF6DE0">
      <w:pPr>
        <w:widowControl/>
        <w:autoSpaceDE w:val="0"/>
        <w:autoSpaceDN w:val="0"/>
        <w:adjustRightInd w:val="0"/>
        <w:jc w:val="right"/>
        <w:rPr>
          <w:b/>
          <w:bCs/>
          <w:snapToGrid/>
          <w:kern w:val="0"/>
          <w:szCs w:val="22"/>
        </w:rPr>
      </w:pPr>
    </w:p>
    <w:p w:rsidR="00DF6DE0" w:rsidRPr="00DF6DE0" w:rsidP="00DF6DE0">
      <w:pPr>
        <w:widowControl/>
        <w:jc w:val="center"/>
        <w:rPr>
          <w:b/>
          <w:snapToGrid/>
          <w:kern w:val="0"/>
          <w:szCs w:val="22"/>
        </w:rPr>
      </w:pPr>
      <w:r w:rsidRPr="00DF6DE0">
        <w:rPr>
          <w:b/>
          <w:bCs/>
          <w:snapToGrid/>
          <w:kern w:val="0"/>
          <w:szCs w:val="22"/>
        </w:rPr>
        <w:t>STREA</w:t>
      </w:r>
      <w:r w:rsidRPr="00DF6DE0">
        <w:rPr>
          <w:b/>
          <w:snapToGrid/>
          <w:kern w:val="0"/>
          <w:szCs w:val="22"/>
        </w:rPr>
        <w:t>MLINED PLEADING CYCLE ESTABLISHED</w:t>
      </w:r>
    </w:p>
    <w:p w:rsidR="00DF6DE0" w:rsidRPr="00DF6DE0" w:rsidP="00DF6DE0">
      <w:pPr>
        <w:widowControl/>
        <w:jc w:val="center"/>
        <w:rPr>
          <w:b/>
          <w:snapToGrid/>
          <w:kern w:val="0"/>
          <w:szCs w:val="22"/>
        </w:rPr>
      </w:pPr>
    </w:p>
    <w:p w:rsidR="00DF6DE0" w:rsidRPr="00DF6DE0" w:rsidP="00DF6DE0">
      <w:pPr>
        <w:widowControl/>
        <w:jc w:val="center"/>
        <w:rPr>
          <w:b/>
          <w:snapToGrid/>
          <w:kern w:val="0"/>
          <w:szCs w:val="22"/>
        </w:rPr>
      </w:pPr>
      <w:r w:rsidRPr="00DF6DE0">
        <w:rPr>
          <w:b/>
          <w:snapToGrid/>
          <w:kern w:val="0"/>
          <w:szCs w:val="22"/>
        </w:rPr>
        <w:t xml:space="preserve"> WC Docket No. 2</w:t>
      </w:r>
      <w:r w:rsidR="0055184D">
        <w:rPr>
          <w:b/>
          <w:snapToGrid/>
          <w:kern w:val="0"/>
          <w:szCs w:val="22"/>
        </w:rPr>
        <w:t>1</w:t>
      </w:r>
      <w:r w:rsidRPr="00DF6DE0">
        <w:rPr>
          <w:b/>
          <w:snapToGrid/>
          <w:kern w:val="0"/>
          <w:szCs w:val="22"/>
        </w:rPr>
        <w:t>-</w:t>
      </w:r>
      <w:r w:rsidR="0055184D">
        <w:rPr>
          <w:b/>
          <w:snapToGrid/>
          <w:kern w:val="0"/>
          <w:szCs w:val="22"/>
        </w:rPr>
        <w:t>2</w:t>
      </w:r>
      <w:r w:rsidRPr="00DF6DE0">
        <w:rPr>
          <w:b/>
          <w:snapToGrid/>
          <w:kern w:val="0"/>
          <w:szCs w:val="22"/>
        </w:rPr>
        <w:t>4</w:t>
      </w:r>
    </w:p>
    <w:p w:rsidR="00F96F63" w:rsidRPr="00930ECF" w:rsidP="00F96F63">
      <w:pPr>
        <w:rPr>
          <w:sz w:val="24"/>
        </w:rPr>
      </w:pPr>
      <w:bookmarkStart w:id="5" w:name="TOChere"/>
    </w:p>
    <w:bookmarkEnd w:id="5"/>
    <w:p w:rsidR="00DF6DE0" w:rsidRPr="00DF6DE0" w:rsidP="00DF6DE0">
      <w:pPr>
        <w:widowControl/>
        <w:rPr>
          <w:b/>
          <w:snapToGrid/>
          <w:kern w:val="0"/>
          <w:szCs w:val="22"/>
        </w:rPr>
      </w:pPr>
      <w:r w:rsidRPr="00DF6DE0">
        <w:rPr>
          <w:b/>
          <w:snapToGrid/>
          <w:kern w:val="0"/>
          <w:szCs w:val="22"/>
        </w:rPr>
        <w:t xml:space="preserve">Comments Due:  </w:t>
      </w:r>
      <w:r w:rsidR="0055184D">
        <w:rPr>
          <w:b/>
          <w:snapToGrid/>
          <w:kern w:val="0"/>
          <w:szCs w:val="22"/>
        </w:rPr>
        <w:t xml:space="preserve">February </w:t>
      </w:r>
      <w:r w:rsidR="000038AC">
        <w:rPr>
          <w:b/>
          <w:snapToGrid/>
          <w:kern w:val="0"/>
          <w:szCs w:val="22"/>
        </w:rPr>
        <w:t>16</w:t>
      </w:r>
      <w:r w:rsidR="00E31AAD">
        <w:rPr>
          <w:b/>
          <w:snapToGrid/>
          <w:kern w:val="0"/>
          <w:szCs w:val="22"/>
        </w:rPr>
        <w:t>,</w:t>
      </w:r>
      <w:r w:rsidRPr="00DF6DE0">
        <w:rPr>
          <w:b/>
          <w:snapToGrid/>
          <w:kern w:val="0"/>
          <w:szCs w:val="22"/>
        </w:rPr>
        <w:t xml:space="preserve"> 2021</w:t>
      </w:r>
    </w:p>
    <w:p w:rsidR="00DF6DE0" w:rsidRPr="00DF6DE0" w:rsidP="00DF6DE0">
      <w:pPr>
        <w:widowControl/>
        <w:rPr>
          <w:b/>
          <w:snapToGrid/>
          <w:kern w:val="0"/>
          <w:szCs w:val="22"/>
        </w:rPr>
      </w:pPr>
      <w:r w:rsidRPr="00DF6DE0">
        <w:rPr>
          <w:b/>
          <w:snapToGrid/>
          <w:kern w:val="0"/>
          <w:szCs w:val="22"/>
        </w:rPr>
        <w:t xml:space="preserve">Reply Comments Due:  </w:t>
      </w:r>
      <w:r w:rsidR="00E31AAD">
        <w:rPr>
          <w:b/>
          <w:snapToGrid/>
          <w:kern w:val="0"/>
          <w:szCs w:val="22"/>
        </w:rPr>
        <w:t>February</w:t>
      </w:r>
      <w:r w:rsidR="0055184D">
        <w:rPr>
          <w:b/>
          <w:snapToGrid/>
          <w:kern w:val="0"/>
          <w:szCs w:val="22"/>
        </w:rPr>
        <w:t xml:space="preserve"> </w:t>
      </w:r>
      <w:r w:rsidR="000038AC">
        <w:rPr>
          <w:b/>
          <w:snapToGrid/>
          <w:kern w:val="0"/>
          <w:szCs w:val="22"/>
        </w:rPr>
        <w:t>23</w:t>
      </w:r>
      <w:r w:rsidRPr="00DF6DE0">
        <w:rPr>
          <w:b/>
          <w:snapToGrid/>
          <w:kern w:val="0"/>
          <w:szCs w:val="22"/>
        </w:rPr>
        <w:t>, 2021</w:t>
      </w:r>
    </w:p>
    <w:bookmarkEnd w:id="0"/>
    <w:p w:rsidR="00DF6DE0" w:rsidRPr="00DF6DE0" w:rsidP="00DF6DE0">
      <w:pPr>
        <w:widowControl/>
        <w:tabs>
          <w:tab w:val="left" w:pos="6221"/>
        </w:tabs>
        <w:autoSpaceDE w:val="0"/>
        <w:autoSpaceDN w:val="0"/>
        <w:adjustRightInd w:val="0"/>
        <w:rPr>
          <w:snapToGrid/>
          <w:kern w:val="0"/>
          <w:szCs w:val="22"/>
        </w:rPr>
      </w:pPr>
      <w:r w:rsidRPr="00DF6DE0">
        <w:rPr>
          <w:snapToGrid/>
          <w:kern w:val="0"/>
          <w:szCs w:val="22"/>
        </w:rPr>
        <w:tab/>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By this Public Notice, the Wireline Competition Bureau seeks comment from interested parties on an application filed by </w:t>
      </w:r>
      <w:r w:rsidRPr="00E76DBE" w:rsidR="00E76DBE">
        <w:rPr>
          <w:snapToGrid/>
          <w:kern w:val="0"/>
          <w:szCs w:val="22"/>
        </w:rPr>
        <w:t>Clear Rate Communications, Inc. (Clear Rate), Clear Rate Telecom, LLC (Clear Rate Telecom)</w:t>
      </w:r>
      <w:r w:rsidR="00730637">
        <w:rPr>
          <w:snapToGrid/>
          <w:kern w:val="0"/>
          <w:szCs w:val="22"/>
        </w:rPr>
        <w:t xml:space="preserve">, and </w:t>
      </w:r>
      <w:r w:rsidRPr="00730637" w:rsidR="00730637">
        <w:rPr>
          <w:snapToGrid/>
          <w:kern w:val="0"/>
          <w:szCs w:val="22"/>
        </w:rPr>
        <w:t>Clear Rate Holdings, Inc. (Holdings)</w:t>
      </w:r>
      <w:r w:rsidRPr="00DF6DE0">
        <w:rPr>
          <w:snapToGrid/>
          <w:kern w:val="0"/>
          <w:szCs w:val="22"/>
        </w:rPr>
        <w:t xml:space="preserve"> (collectively, Applicants), pursuant to section 214 of the Communications Act of 1934, as amended, and sections 63.03-04 of the Commission’s rules, requesting consent to </w:t>
      </w:r>
      <w:r w:rsidRPr="00E51141" w:rsidR="00E51141">
        <w:rPr>
          <w:snapToGrid/>
          <w:kern w:val="0"/>
          <w:szCs w:val="22"/>
        </w:rPr>
        <w:t>transfer control of Clear Rate and Clear Rate Telecom to Holdings</w:t>
      </w:r>
      <w:r w:rsidRPr="00DF6DE0">
        <w:rPr>
          <w:snapToGrid/>
          <w:kern w:val="0"/>
          <w:szCs w:val="22"/>
        </w:rPr>
        <w:t>.</w:t>
      </w:r>
      <w:r>
        <w:rPr>
          <w:snapToGrid/>
          <w:kern w:val="0"/>
          <w:szCs w:val="22"/>
          <w:vertAlign w:val="superscript"/>
        </w:rPr>
        <w:footnoteReference w:id="3"/>
      </w:r>
      <w:r w:rsidRPr="00DF6DE0">
        <w:rPr>
          <w:snapToGrid/>
          <w:kern w:val="0"/>
          <w:szCs w:val="22"/>
        </w:rPr>
        <w:t xml:space="preserve">     </w:t>
      </w:r>
    </w:p>
    <w:p w:rsidR="00BA34E8" w:rsidP="00BA34E8">
      <w:pPr>
        <w:widowControl/>
        <w:spacing w:after="120"/>
        <w:ind w:firstLine="720"/>
        <w:rPr>
          <w:snapToGrid/>
          <w:kern w:val="0"/>
          <w:szCs w:val="22"/>
        </w:rPr>
      </w:pPr>
      <w:r w:rsidRPr="000B6BD2">
        <w:rPr>
          <w:snapToGrid/>
          <w:kern w:val="0"/>
          <w:szCs w:val="22"/>
        </w:rPr>
        <w:t>Clear Rate,</w:t>
      </w:r>
      <w:r>
        <w:rPr>
          <w:snapToGrid/>
          <w:kern w:val="0"/>
          <w:szCs w:val="22"/>
        </w:rPr>
        <w:t xml:space="preserve"> </w:t>
      </w:r>
      <w:r w:rsidRPr="000B6BD2">
        <w:rPr>
          <w:snapToGrid/>
          <w:kern w:val="0"/>
          <w:szCs w:val="22"/>
        </w:rPr>
        <w:t>and its wholly owned subsidiary</w:t>
      </w:r>
      <w:r w:rsidR="00730637">
        <w:rPr>
          <w:snapToGrid/>
          <w:kern w:val="0"/>
          <w:szCs w:val="22"/>
        </w:rPr>
        <w:t>,</w:t>
      </w:r>
      <w:r w:rsidRPr="000B6BD2">
        <w:rPr>
          <w:snapToGrid/>
          <w:kern w:val="0"/>
          <w:szCs w:val="22"/>
        </w:rPr>
        <w:t xml:space="preserve"> Clear Rate Telecom</w:t>
      </w:r>
      <w:r w:rsidR="00730637">
        <w:rPr>
          <w:snapToGrid/>
          <w:kern w:val="0"/>
          <w:szCs w:val="22"/>
        </w:rPr>
        <w:t>,</w:t>
      </w:r>
      <w:r w:rsidRPr="000B6BD2">
        <w:rPr>
          <w:snapToGrid/>
          <w:kern w:val="0"/>
          <w:szCs w:val="22"/>
        </w:rPr>
        <w:t xml:space="preserve"> </w:t>
      </w:r>
      <w:r w:rsidR="00FD6B81">
        <w:rPr>
          <w:snapToGrid/>
          <w:kern w:val="0"/>
          <w:szCs w:val="22"/>
        </w:rPr>
        <w:t xml:space="preserve">both Michigan entities, </w:t>
      </w:r>
      <w:r w:rsidR="000A5488">
        <w:rPr>
          <w:snapToGrid/>
          <w:kern w:val="0"/>
          <w:szCs w:val="22"/>
        </w:rPr>
        <w:t xml:space="preserve">currently </w:t>
      </w:r>
      <w:r w:rsidR="00730637">
        <w:rPr>
          <w:snapToGrid/>
          <w:kern w:val="0"/>
          <w:szCs w:val="22"/>
        </w:rPr>
        <w:t xml:space="preserve">provide competitive local exchange carrier (LEC) </w:t>
      </w:r>
      <w:r w:rsidR="004A22C9">
        <w:rPr>
          <w:snapToGrid/>
          <w:kern w:val="0"/>
          <w:szCs w:val="22"/>
        </w:rPr>
        <w:t xml:space="preserve">service </w:t>
      </w:r>
      <w:r w:rsidRPr="00FD6B81" w:rsidR="00FD6B81">
        <w:rPr>
          <w:snapToGrid/>
          <w:kern w:val="0"/>
          <w:szCs w:val="22"/>
        </w:rPr>
        <w:t xml:space="preserve">to approximately 27,000 customers </w:t>
      </w:r>
      <w:r w:rsidR="00730637">
        <w:rPr>
          <w:snapToGrid/>
          <w:kern w:val="0"/>
          <w:szCs w:val="22"/>
        </w:rPr>
        <w:t>in multiple states.</w:t>
      </w:r>
      <w:r>
        <w:rPr>
          <w:rStyle w:val="FootnoteReference"/>
          <w:snapToGrid/>
          <w:kern w:val="0"/>
          <w:szCs w:val="22"/>
        </w:rPr>
        <w:footnoteReference w:id="4"/>
      </w:r>
      <w:r w:rsidR="00730637">
        <w:rPr>
          <w:snapToGrid/>
          <w:kern w:val="0"/>
          <w:szCs w:val="22"/>
        </w:rPr>
        <w:t xml:space="preserve"> </w:t>
      </w:r>
      <w:r w:rsidR="009F59EC">
        <w:rPr>
          <w:snapToGrid/>
          <w:kern w:val="0"/>
          <w:szCs w:val="22"/>
        </w:rPr>
        <w:t xml:space="preserve"> </w:t>
      </w:r>
      <w:r>
        <w:rPr>
          <w:snapToGrid/>
          <w:kern w:val="0"/>
          <w:szCs w:val="22"/>
        </w:rPr>
        <w:t xml:space="preserve">Following the consummation of the proposed transaction, </w:t>
      </w:r>
      <w:r w:rsidR="00375776">
        <w:rPr>
          <w:snapToGrid/>
          <w:kern w:val="0"/>
          <w:szCs w:val="22"/>
        </w:rPr>
        <w:t xml:space="preserve">Clear Rate will be wholly owned by </w:t>
      </w:r>
      <w:r>
        <w:rPr>
          <w:snapToGrid/>
          <w:kern w:val="0"/>
          <w:szCs w:val="22"/>
        </w:rPr>
        <w:t>Holdings, a Delaware corporation</w:t>
      </w:r>
      <w:r w:rsidR="00083DBB">
        <w:rPr>
          <w:snapToGrid/>
          <w:kern w:val="0"/>
          <w:szCs w:val="22"/>
        </w:rPr>
        <w:t xml:space="preserve"> that does not currently provide telecommunications service.  Holdings</w:t>
      </w:r>
      <w:r w:rsidR="00375776">
        <w:rPr>
          <w:snapToGrid/>
          <w:kern w:val="0"/>
          <w:szCs w:val="22"/>
        </w:rPr>
        <w:t xml:space="preserve"> will be majority owned (79</w:t>
      </w:r>
      <w:r w:rsidR="00862E9E">
        <w:rPr>
          <w:snapToGrid/>
          <w:kern w:val="0"/>
          <w:szCs w:val="22"/>
        </w:rPr>
        <w:t>.</w:t>
      </w:r>
      <w:r w:rsidR="00375776">
        <w:rPr>
          <w:snapToGrid/>
          <w:kern w:val="0"/>
          <w:szCs w:val="22"/>
        </w:rPr>
        <w:t xml:space="preserve">1%) by </w:t>
      </w:r>
      <w:r w:rsidRPr="00730637" w:rsidR="00730637">
        <w:rPr>
          <w:snapToGrid/>
          <w:kern w:val="0"/>
          <w:szCs w:val="22"/>
        </w:rPr>
        <w:t>L4-CR Co-Invest, LLC</w:t>
      </w:r>
      <w:r w:rsidR="00862E9E">
        <w:rPr>
          <w:snapToGrid/>
          <w:kern w:val="0"/>
          <w:szCs w:val="22"/>
        </w:rPr>
        <w:t xml:space="preserve"> (L4-CR)</w:t>
      </w:r>
      <w:r w:rsidR="00375776">
        <w:rPr>
          <w:snapToGrid/>
          <w:kern w:val="0"/>
          <w:szCs w:val="22"/>
        </w:rPr>
        <w:t>, a Delaware limited liability company.</w:t>
      </w:r>
      <w:r>
        <w:rPr>
          <w:rStyle w:val="FootnoteReference"/>
          <w:snapToGrid/>
          <w:kern w:val="0"/>
          <w:szCs w:val="22"/>
        </w:rPr>
        <w:footnoteReference w:id="5"/>
      </w:r>
    </w:p>
    <w:p w:rsidR="00FC7A56" w:rsidP="00FC7A56">
      <w:pPr>
        <w:widowControl/>
        <w:spacing w:after="120"/>
        <w:ind w:firstLine="720"/>
        <w:rPr>
          <w:bCs/>
          <w:snapToGrid/>
          <w:kern w:val="0"/>
          <w:szCs w:val="22"/>
        </w:rPr>
      </w:pPr>
      <w:r>
        <w:rPr>
          <w:bCs/>
          <w:snapToGrid/>
          <w:kern w:val="0"/>
          <w:szCs w:val="22"/>
        </w:rPr>
        <w:t xml:space="preserve">Pursuant to the terms of the proposed transaction, </w:t>
      </w:r>
      <w:r w:rsidR="000109EE">
        <w:rPr>
          <w:bCs/>
          <w:snapToGrid/>
          <w:kern w:val="0"/>
          <w:szCs w:val="22"/>
        </w:rPr>
        <w:t>Holdings will become the parent company of Clear Rate and the indirect parent of Clear Rate Telecom.</w:t>
      </w:r>
      <w:r>
        <w:rPr>
          <w:rStyle w:val="FootnoteReference"/>
          <w:bCs/>
          <w:snapToGrid/>
          <w:kern w:val="0"/>
          <w:szCs w:val="22"/>
        </w:rPr>
        <w:footnoteReference w:id="6"/>
      </w:r>
      <w:r w:rsidR="000109EE">
        <w:rPr>
          <w:bCs/>
          <w:snapToGrid/>
          <w:kern w:val="0"/>
          <w:szCs w:val="22"/>
        </w:rPr>
        <w:t xml:space="preserve">  </w:t>
      </w:r>
      <w:r w:rsidRPr="00DF6DE0" w:rsidR="00F70A5B">
        <w:rPr>
          <w:bCs/>
          <w:snapToGrid/>
          <w:kern w:val="0"/>
          <w:szCs w:val="22"/>
        </w:rPr>
        <w:t>Applicants request streamlined treatment of the proposed transaction under the Commission’s rules and assert that a grant of the application would serve the public interest, convenience, and necessity.  We accept this application for filing under section 63.03(b)(</w:t>
      </w:r>
      <w:r w:rsidR="00F4733F">
        <w:rPr>
          <w:bCs/>
          <w:snapToGrid/>
          <w:kern w:val="0"/>
          <w:szCs w:val="22"/>
        </w:rPr>
        <w:t>1</w:t>
      </w:r>
      <w:r w:rsidRPr="00DF6DE0" w:rsidR="00F70A5B">
        <w:rPr>
          <w:bCs/>
          <w:snapToGrid/>
          <w:kern w:val="0"/>
          <w:szCs w:val="22"/>
        </w:rPr>
        <w:t>)(</w:t>
      </w:r>
      <w:r w:rsidR="00F4733F">
        <w:rPr>
          <w:bCs/>
          <w:snapToGrid/>
          <w:kern w:val="0"/>
          <w:szCs w:val="22"/>
        </w:rPr>
        <w:t>i</w:t>
      </w:r>
      <w:r w:rsidRPr="00DF6DE0" w:rsidR="00F70A5B">
        <w:rPr>
          <w:bCs/>
          <w:snapToGrid/>
          <w:kern w:val="0"/>
          <w:szCs w:val="22"/>
        </w:rPr>
        <w:t>i) of the Commission’s rules.</w:t>
      </w:r>
      <w:r>
        <w:rPr>
          <w:bCs/>
          <w:snapToGrid/>
          <w:kern w:val="0"/>
          <w:szCs w:val="22"/>
          <w:vertAlign w:val="superscript"/>
        </w:rPr>
        <w:footnoteReference w:id="7"/>
      </w:r>
      <w:r w:rsidRPr="00DF6DE0" w:rsidR="00F70A5B">
        <w:rPr>
          <w:bCs/>
          <w:snapToGrid/>
          <w:kern w:val="0"/>
          <w:szCs w:val="22"/>
        </w:rPr>
        <w:t xml:space="preserve"> </w:t>
      </w:r>
    </w:p>
    <w:p w:rsidR="00696850" w:rsidP="00696850">
      <w:pPr>
        <w:widowControl/>
        <w:ind w:left="720"/>
        <w:jc w:val="both"/>
        <w:rPr>
          <w:bCs/>
          <w:snapToGrid/>
          <w:kern w:val="0"/>
          <w:szCs w:val="22"/>
        </w:rPr>
      </w:pPr>
      <w:r w:rsidRPr="00696850">
        <w:rPr>
          <w:bCs/>
          <w:snapToGrid/>
          <w:kern w:val="0"/>
          <w:szCs w:val="22"/>
        </w:rPr>
        <w:t>Domestic Section 214 Application Filed for the</w:t>
      </w:r>
      <w:r>
        <w:rPr>
          <w:bCs/>
          <w:snapToGrid/>
          <w:kern w:val="0"/>
          <w:szCs w:val="22"/>
        </w:rPr>
        <w:t xml:space="preserve"> Transfer of Control of </w:t>
      </w:r>
    </w:p>
    <w:p w:rsidR="00696850" w:rsidP="00696850">
      <w:pPr>
        <w:widowControl/>
        <w:ind w:left="720"/>
        <w:jc w:val="both"/>
        <w:rPr>
          <w:bCs/>
          <w:snapToGrid/>
          <w:kern w:val="0"/>
          <w:szCs w:val="22"/>
        </w:rPr>
      </w:pPr>
      <w:r>
        <w:rPr>
          <w:bCs/>
          <w:snapToGrid/>
          <w:kern w:val="0"/>
          <w:szCs w:val="22"/>
        </w:rPr>
        <w:t xml:space="preserve">Clear Rate Communications, Inc. and Clear Rate Telecom, LLC to Clear Rate Holdings, Inc., </w:t>
      </w:r>
    </w:p>
    <w:p w:rsidR="002776B2" w:rsidRPr="00696850" w:rsidP="00696850">
      <w:pPr>
        <w:widowControl/>
        <w:ind w:left="720"/>
        <w:jc w:val="both"/>
        <w:rPr>
          <w:bCs/>
          <w:snapToGrid/>
          <w:kern w:val="0"/>
          <w:szCs w:val="22"/>
        </w:rPr>
      </w:pPr>
      <w:r>
        <w:rPr>
          <w:bCs/>
          <w:snapToGrid/>
          <w:kern w:val="0"/>
          <w:szCs w:val="22"/>
        </w:rPr>
        <w:t>WC Docket No. 21-24 (filed Jan. 21, 2021)</w:t>
      </w:r>
    </w:p>
    <w:p w:rsidR="00FC7A56" w:rsidP="00FC7A56">
      <w:pPr>
        <w:widowControl/>
        <w:autoSpaceDE w:val="0"/>
        <w:autoSpaceDN w:val="0"/>
        <w:adjustRightInd w:val="0"/>
        <w:rPr>
          <w:b/>
          <w:snapToGrid/>
          <w:kern w:val="0"/>
          <w:szCs w:val="22"/>
          <w:u w:val="single"/>
        </w:rPr>
      </w:pPr>
    </w:p>
    <w:p w:rsidR="00DF6DE0" w:rsidP="00FC7A56">
      <w:pPr>
        <w:widowControl/>
        <w:autoSpaceDE w:val="0"/>
        <w:autoSpaceDN w:val="0"/>
        <w:adjustRightInd w:val="0"/>
        <w:rPr>
          <w:b/>
          <w:snapToGrid/>
          <w:kern w:val="0"/>
          <w:szCs w:val="22"/>
          <w:u w:val="single"/>
        </w:rPr>
      </w:pPr>
      <w:r w:rsidRPr="00DF6DE0">
        <w:rPr>
          <w:b/>
          <w:snapToGrid/>
          <w:kern w:val="0"/>
          <w:szCs w:val="22"/>
          <w:u w:val="single"/>
        </w:rPr>
        <w:t>GENERAL INFORMATION</w:t>
      </w:r>
    </w:p>
    <w:p w:rsidR="00FC7A56" w:rsidRPr="00DF6DE0" w:rsidP="00FC7A56">
      <w:pPr>
        <w:widowControl/>
        <w:autoSpaceDE w:val="0"/>
        <w:autoSpaceDN w:val="0"/>
        <w:adjustRightInd w:val="0"/>
        <w:rPr>
          <w:snapToGrid/>
          <w:kern w:val="0"/>
          <w:szCs w:val="22"/>
        </w:rPr>
      </w:pP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The application identified herein has been found, upon initial review, to be acceptable for filing as a </w:t>
      </w:r>
      <w:r w:rsidRPr="00B72F6B">
        <w:rPr>
          <w:snapToGrid/>
          <w:kern w:val="0"/>
          <w:szCs w:val="22"/>
        </w:rPr>
        <w:t>streamlined application.  The</w:t>
      </w:r>
      <w:r w:rsidRPr="00DF6DE0">
        <w:rPr>
          <w:snapToGrid/>
          <w:kern w:val="0"/>
          <w:szCs w:val="22"/>
        </w:rPr>
        <w:t xml:space="preserve"> Commission reserves the right to return any application if, upon further examination, it is determined to be defective and not in conformance with the Commission’s rules and policies.  </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Interested parties may file comments </w:t>
      </w:r>
      <w:r w:rsidRPr="00DF6DE0">
        <w:rPr>
          <w:b/>
          <w:snapToGrid/>
          <w:kern w:val="0"/>
          <w:szCs w:val="22"/>
        </w:rPr>
        <w:t xml:space="preserve">on or before </w:t>
      </w:r>
      <w:r>
        <w:rPr>
          <w:b/>
          <w:snapToGrid/>
          <w:kern w:val="0"/>
          <w:szCs w:val="22"/>
        </w:rPr>
        <w:t>February</w:t>
      </w:r>
      <w:r w:rsidRPr="00DF6DE0">
        <w:rPr>
          <w:b/>
          <w:snapToGrid/>
          <w:kern w:val="0"/>
          <w:szCs w:val="22"/>
        </w:rPr>
        <w:t xml:space="preserve"> </w:t>
      </w:r>
      <w:r w:rsidR="000038AC">
        <w:rPr>
          <w:b/>
          <w:snapToGrid/>
          <w:kern w:val="0"/>
          <w:szCs w:val="22"/>
        </w:rPr>
        <w:t>16</w:t>
      </w:r>
      <w:r w:rsidRPr="00DF6DE0">
        <w:rPr>
          <w:b/>
          <w:snapToGrid/>
          <w:kern w:val="0"/>
          <w:szCs w:val="22"/>
        </w:rPr>
        <w:t>, 2021</w:t>
      </w:r>
      <w:r w:rsidRPr="00DF6DE0">
        <w:rPr>
          <w:snapToGrid/>
          <w:kern w:val="0"/>
          <w:szCs w:val="22"/>
        </w:rPr>
        <w:t>, and</w:t>
      </w:r>
      <w:r w:rsidRPr="00DF6DE0">
        <w:rPr>
          <w:snapToGrid/>
          <w:kern w:val="0"/>
          <w:szCs w:val="22"/>
        </w:rPr>
        <w:t xml:space="preserve"> reply comments </w:t>
      </w:r>
      <w:r w:rsidRPr="00DF6DE0">
        <w:rPr>
          <w:b/>
          <w:snapToGrid/>
          <w:kern w:val="0"/>
          <w:szCs w:val="22"/>
        </w:rPr>
        <w:t xml:space="preserve">on or before </w:t>
      </w:r>
      <w:r w:rsidR="00E31AAD">
        <w:rPr>
          <w:b/>
          <w:snapToGrid/>
          <w:kern w:val="0"/>
          <w:szCs w:val="22"/>
        </w:rPr>
        <w:t xml:space="preserve">February </w:t>
      </w:r>
      <w:r w:rsidR="000038AC">
        <w:rPr>
          <w:b/>
          <w:snapToGrid/>
          <w:kern w:val="0"/>
          <w:szCs w:val="22"/>
        </w:rPr>
        <w:t>23</w:t>
      </w:r>
      <w:r w:rsidRPr="00DF6DE0">
        <w:rPr>
          <w:b/>
          <w:snapToGrid/>
          <w:kern w:val="0"/>
          <w:szCs w:val="22"/>
        </w:rPr>
        <w:t>, 2021</w:t>
      </w:r>
      <w:r w:rsidRPr="00DF6DE0">
        <w:rPr>
          <w:snapToGrid/>
          <w:kern w:val="0"/>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Pursuant to section 63.03 of the Commission’s rules, 47 CFR § 63.03, parties to this proceeding should file any documents using the Commission’s Electronic Comment Filing System (ECFS):  http://apps.fcc.gov/ecfs/. </w:t>
      </w:r>
    </w:p>
    <w:p w:rsidR="00DF6DE0" w:rsidRPr="00DF6DE0" w:rsidP="00DF6DE0">
      <w:pPr>
        <w:widowControl/>
        <w:autoSpaceDE w:val="0"/>
        <w:autoSpaceDN w:val="0"/>
        <w:adjustRightInd w:val="0"/>
        <w:spacing w:after="120"/>
        <w:ind w:firstLine="720"/>
        <w:rPr>
          <w:b/>
          <w:snapToGrid/>
          <w:kern w:val="0"/>
          <w:szCs w:val="22"/>
        </w:rPr>
      </w:pPr>
      <w:r w:rsidRPr="00DF6DE0">
        <w:rPr>
          <w:b/>
          <w:snapToGrid/>
          <w:kern w:val="0"/>
          <w:szCs w:val="22"/>
        </w:rPr>
        <w:t>In addition, e-mail one copy of each pleading to each of the following:</w:t>
      </w:r>
    </w:p>
    <w:p w:rsidR="00DF6DE0" w:rsidRPr="00DF6DE0" w:rsidP="00DF6DE0">
      <w:pPr>
        <w:widowControl/>
        <w:numPr>
          <w:ilvl w:val="0"/>
          <w:numId w:val="8"/>
        </w:numPr>
        <w:autoSpaceDE w:val="0"/>
        <w:autoSpaceDN w:val="0"/>
        <w:adjustRightInd w:val="0"/>
        <w:spacing w:after="120"/>
        <w:rPr>
          <w:snapToGrid/>
          <w:kern w:val="0"/>
          <w:szCs w:val="22"/>
        </w:rPr>
      </w:pPr>
      <w:r>
        <w:rPr>
          <w:snapToGrid/>
          <w:kern w:val="0"/>
          <w:szCs w:val="22"/>
        </w:rPr>
        <w:t>Myrva Charles</w:t>
      </w:r>
      <w:r w:rsidRPr="00DF6DE0" w:rsidR="00F70A5B">
        <w:rPr>
          <w:snapToGrid/>
          <w:kern w:val="0"/>
          <w:szCs w:val="22"/>
        </w:rPr>
        <w:t xml:space="preserve">, Competition Policy Division, Wireline Competition Bureau,  </w:t>
      </w:r>
      <w:hyperlink r:id="rId5" w:history="1">
        <w:r w:rsidRPr="004E6055">
          <w:rPr>
            <w:rStyle w:val="Hyperlink"/>
            <w:snapToGrid/>
            <w:kern w:val="0"/>
            <w:szCs w:val="22"/>
          </w:rPr>
          <w:t>myrva.charles@fcc.gov</w:t>
        </w:r>
      </w:hyperlink>
      <w:r w:rsidRPr="00DF6DE0" w:rsidR="00F70A5B">
        <w:rPr>
          <w:snapToGrid/>
          <w:kern w:val="0"/>
          <w:szCs w:val="22"/>
        </w:rPr>
        <w:t>;</w:t>
      </w:r>
    </w:p>
    <w:p w:rsidR="00B55D96" w:rsidRPr="009F5C80" w:rsidP="00DF6DE0">
      <w:pPr>
        <w:widowControl/>
        <w:numPr>
          <w:ilvl w:val="0"/>
          <w:numId w:val="8"/>
        </w:numPr>
        <w:autoSpaceDE w:val="0"/>
        <w:autoSpaceDN w:val="0"/>
        <w:adjustRightInd w:val="0"/>
        <w:spacing w:after="120"/>
        <w:rPr>
          <w:snapToGrid/>
          <w:kern w:val="0"/>
          <w:szCs w:val="22"/>
        </w:rPr>
      </w:pPr>
      <w:r>
        <w:rPr>
          <w:snapToGrid/>
          <w:kern w:val="0"/>
          <w:szCs w:val="22"/>
        </w:rPr>
        <w:t>Gregory Kwan</w:t>
      </w:r>
      <w:r w:rsidRPr="00DF6DE0" w:rsidR="00F70A5B">
        <w:rPr>
          <w:snapToGrid/>
          <w:kern w:val="0"/>
          <w:szCs w:val="22"/>
        </w:rPr>
        <w:t xml:space="preserve">, Competition Policy Division, Wireline Competition Bureau, </w:t>
      </w:r>
      <w:hyperlink r:id="rId6" w:history="1">
        <w:r w:rsidRPr="004E6055">
          <w:rPr>
            <w:rStyle w:val="Hyperlink"/>
            <w:snapToGrid/>
            <w:kern w:val="0"/>
            <w:szCs w:val="22"/>
          </w:rPr>
          <w:t>gregory.kwan@fcc.gov</w:t>
        </w:r>
      </w:hyperlink>
      <w:r w:rsidRPr="00DF6DE0" w:rsidR="00F70A5B">
        <w:rPr>
          <w:snapToGrid/>
          <w:kern w:val="0"/>
          <w:szCs w:val="22"/>
        </w:rPr>
        <w:t>;</w:t>
      </w:r>
    </w:p>
    <w:p w:rsidR="00B55D96" w:rsidRPr="009F5C80" w:rsidP="00B55D96">
      <w:pPr>
        <w:widowControl/>
        <w:numPr>
          <w:ilvl w:val="0"/>
          <w:numId w:val="8"/>
        </w:numPr>
        <w:autoSpaceDE w:val="0"/>
        <w:autoSpaceDN w:val="0"/>
        <w:adjustRightInd w:val="0"/>
        <w:spacing w:after="120"/>
        <w:rPr>
          <w:snapToGrid/>
          <w:kern w:val="0"/>
          <w:szCs w:val="22"/>
        </w:rPr>
      </w:pPr>
      <w:r>
        <w:rPr>
          <w:szCs w:val="22"/>
        </w:rPr>
        <w:t>David Krech</w:t>
      </w:r>
      <w:r w:rsidRPr="009F5C80" w:rsidR="00F70A5B">
        <w:rPr>
          <w:szCs w:val="22"/>
        </w:rPr>
        <w:t xml:space="preserve">, Policy Division, International Bureau, </w:t>
      </w:r>
      <w:hyperlink r:id="rId7" w:history="1">
        <w:r w:rsidRPr="00371587">
          <w:rPr>
            <w:rStyle w:val="Hyperlink"/>
            <w:szCs w:val="22"/>
          </w:rPr>
          <w:t>david.krech@fcc.gov</w:t>
        </w:r>
      </w:hyperlink>
      <w:r w:rsidRPr="009F5C80" w:rsidR="00F70A5B">
        <w:rPr>
          <w:szCs w:val="22"/>
        </w:rPr>
        <w:t>; and</w:t>
      </w:r>
    </w:p>
    <w:p w:rsidR="00DF6DE0" w:rsidRPr="00DF6DE0" w:rsidP="009F5C80">
      <w:pPr>
        <w:widowControl/>
        <w:numPr>
          <w:ilvl w:val="0"/>
          <w:numId w:val="8"/>
        </w:numPr>
        <w:autoSpaceDE w:val="0"/>
        <w:autoSpaceDN w:val="0"/>
        <w:adjustRightInd w:val="0"/>
        <w:spacing w:after="120"/>
        <w:rPr>
          <w:snapToGrid/>
          <w:kern w:val="0"/>
          <w:szCs w:val="22"/>
        </w:rPr>
      </w:pPr>
      <w:r w:rsidRPr="00DF6DE0">
        <w:rPr>
          <w:snapToGrid/>
          <w:kern w:val="0"/>
          <w:szCs w:val="22"/>
        </w:rPr>
        <w:t>Jim Bird, Office of General Counsel,</w:t>
      </w:r>
      <w:r w:rsidR="009F5C80">
        <w:rPr>
          <w:snapToGrid/>
          <w:kern w:val="0"/>
          <w:szCs w:val="22"/>
        </w:rPr>
        <w:t xml:space="preserve"> </w:t>
      </w:r>
      <w:hyperlink r:id="rId8" w:history="1">
        <w:r w:rsidRPr="00DF6DE0" w:rsidR="009F5C80">
          <w:rPr>
            <w:rStyle w:val="Hyperlink"/>
            <w:snapToGrid/>
            <w:kern w:val="0"/>
            <w:szCs w:val="22"/>
          </w:rPr>
          <w:t>jim.bird@fcc.gov</w:t>
        </w:r>
      </w:hyperlink>
      <w:r w:rsidRPr="00DF6DE0">
        <w:rPr>
          <w:snapToGrid/>
          <w:kern w:val="0"/>
          <w:szCs w:val="22"/>
        </w:rPr>
        <w:t>.</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The proceeding in this Notice shall be treated as a “permit-but-disclose” proceeding in accordance with the Commission’s </w:t>
      </w:r>
      <w:r w:rsidRPr="00DF6DE0">
        <w:rPr>
          <w:i/>
          <w:snapToGrid/>
          <w:kern w:val="0"/>
          <w:szCs w:val="22"/>
        </w:rPr>
        <w:t>ex parte</w:t>
      </w:r>
      <w:r w:rsidRPr="00DF6DE0">
        <w:rPr>
          <w:snapToGrid/>
          <w:kern w:val="0"/>
          <w:szCs w:val="22"/>
        </w:rPr>
        <w:t xml:space="preserve"> rules.  Persons making </w:t>
      </w:r>
      <w:r w:rsidRPr="00DF6DE0">
        <w:rPr>
          <w:i/>
          <w:snapToGrid/>
          <w:kern w:val="0"/>
          <w:szCs w:val="22"/>
        </w:rPr>
        <w:t>ex parte</w:t>
      </w:r>
      <w:r w:rsidRPr="00DF6DE0">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F6DE0">
        <w:rPr>
          <w:i/>
          <w:snapToGrid/>
          <w:kern w:val="0"/>
          <w:szCs w:val="22"/>
        </w:rPr>
        <w:t>ex parte</w:t>
      </w:r>
      <w:r w:rsidRPr="00DF6DE0">
        <w:rPr>
          <w:snapToGrid/>
          <w:kern w:val="0"/>
          <w:szCs w:val="22"/>
        </w:rPr>
        <w:t xml:space="preserve"> presentations are reminded that memoranda summarizing the presentation must (1) list all persons attending or otherwise participating in the meeting at which the </w:t>
      </w:r>
      <w:r w:rsidRPr="00DF6DE0">
        <w:rPr>
          <w:i/>
          <w:snapToGrid/>
          <w:kern w:val="0"/>
          <w:szCs w:val="22"/>
        </w:rPr>
        <w:t>ex parte</w:t>
      </w:r>
      <w:r w:rsidRPr="00DF6DE0">
        <w:rPr>
          <w:snapToGrid/>
          <w:kern w:val="0"/>
          <w:szCs w:val="22"/>
        </w:rPr>
        <w:t xml:space="preserve"> presentation was made, and (2) summarize all data presented and arguments made during the presentation.  If the </w:t>
      </w:r>
      <w:r w:rsidRPr="00DF6DE0">
        <w:rPr>
          <w:snapToGrid/>
          <w:kern w:val="0"/>
          <w:szCs w:val="22"/>
        </w:rPr>
        <w:t xml:space="preserve">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F6DE0">
        <w:rPr>
          <w:i/>
          <w:snapToGrid/>
          <w:kern w:val="0"/>
          <w:szCs w:val="22"/>
        </w:rPr>
        <w:t>ex parte</w:t>
      </w:r>
      <w:r w:rsidRPr="00DF6DE0">
        <w:rPr>
          <w:snapToGrid/>
          <w:kern w:val="0"/>
          <w:szCs w:val="22"/>
        </w:rPr>
        <w:t xml:space="preserve"> meetings are deemed to be written </w:t>
      </w:r>
      <w:r w:rsidRPr="00DF6DE0">
        <w:rPr>
          <w:i/>
          <w:snapToGrid/>
          <w:kern w:val="0"/>
          <w:szCs w:val="22"/>
        </w:rPr>
        <w:t>ex parte</w:t>
      </w:r>
      <w:r w:rsidRPr="00DF6DE0">
        <w:rPr>
          <w:snapToGrid/>
          <w:kern w:val="0"/>
          <w:szCs w:val="22"/>
        </w:rPr>
        <w:t xml:space="preserve"> presentations and must be filed consistent with rule 1.1206(b), 47 CFR § 1.1206(b).  Participants in this proceeding should familiarize themselves with the Commission’s </w:t>
      </w:r>
      <w:r w:rsidRPr="00DF6DE0">
        <w:rPr>
          <w:i/>
          <w:snapToGrid/>
          <w:kern w:val="0"/>
          <w:szCs w:val="22"/>
        </w:rPr>
        <w:t>ex parte</w:t>
      </w:r>
      <w:r w:rsidRPr="00DF6DE0">
        <w:rPr>
          <w:snapToGrid/>
          <w:kern w:val="0"/>
          <w:szCs w:val="22"/>
        </w:rPr>
        <w:t xml:space="preserve"> rules.</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8"/>
      </w:r>
      <w:r w:rsidRPr="00DF6DE0">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DF6DE0" w:rsidRPr="00DF6DE0" w:rsidP="00DF6DE0">
      <w:pPr>
        <w:widowControl/>
        <w:autoSpaceDE w:val="0"/>
        <w:autoSpaceDN w:val="0"/>
        <w:adjustRightInd w:val="0"/>
        <w:spacing w:after="120"/>
        <w:ind w:firstLine="720"/>
        <w:rPr>
          <w:snapToGrid/>
          <w:kern w:val="0"/>
          <w:szCs w:val="22"/>
        </w:rPr>
      </w:pPr>
      <w:r w:rsidRPr="00DF6DE0">
        <w:rPr>
          <w:snapToGrid/>
          <w:kern w:val="0"/>
          <w:szCs w:val="22"/>
        </w:rPr>
        <w:t xml:space="preserve">For further information, please contact </w:t>
      </w:r>
      <w:r w:rsidR="00E76DBE">
        <w:rPr>
          <w:snapToGrid/>
          <w:kern w:val="0"/>
          <w:szCs w:val="22"/>
        </w:rPr>
        <w:t>Myrva Charles</w:t>
      </w:r>
      <w:r w:rsidRPr="00DF6DE0">
        <w:rPr>
          <w:snapToGrid/>
          <w:kern w:val="0"/>
          <w:szCs w:val="22"/>
        </w:rPr>
        <w:t xml:space="preserve"> at (202) 418-1</w:t>
      </w:r>
      <w:r w:rsidR="00E76DBE">
        <w:rPr>
          <w:snapToGrid/>
          <w:kern w:val="0"/>
          <w:szCs w:val="22"/>
        </w:rPr>
        <w:t>506</w:t>
      </w:r>
      <w:r w:rsidRPr="00DF6DE0">
        <w:rPr>
          <w:snapToGrid/>
          <w:kern w:val="0"/>
          <w:szCs w:val="22"/>
        </w:rPr>
        <w:t xml:space="preserve"> or </w:t>
      </w:r>
      <w:r w:rsidR="00E76DBE">
        <w:rPr>
          <w:snapToGrid/>
          <w:kern w:val="0"/>
          <w:szCs w:val="22"/>
        </w:rPr>
        <w:t>Gregory Kwan</w:t>
      </w:r>
      <w:r w:rsidRPr="00DF6DE0">
        <w:rPr>
          <w:snapToGrid/>
          <w:kern w:val="0"/>
          <w:szCs w:val="22"/>
        </w:rPr>
        <w:t xml:space="preserve"> (202) 418-</w:t>
      </w:r>
      <w:r w:rsidR="00E76DBE">
        <w:rPr>
          <w:snapToGrid/>
          <w:kern w:val="0"/>
          <w:szCs w:val="22"/>
        </w:rPr>
        <w:t>1191</w:t>
      </w:r>
      <w:r w:rsidRPr="00DF6DE0">
        <w:rPr>
          <w:snapToGrid/>
          <w:kern w:val="0"/>
          <w:szCs w:val="22"/>
        </w:rPr>
        <w:t>.</w:t>
      </w:r>
    </w:p>
    <w:p w:rsidR="00DF6DE0" w:rsidRPr="00DF6DE0" w:rsidP="00DF6DE0">
      <w:pPr>
        <w:widowControl/>
        <w:autoSpaceDE w:val="0"/>
        <w:autoSpaceDN w:val="0"/>
        <w:adjustRightInd w:val="0"/>
        <w:jc w:val="center"/>
        <w:rPr>
          <w:snapToGrid/>
          <w:color w:val="000000"/>
          <w:kern w:val="0"/>
          <w:szCs w:val="22"/>
        </w:rPr>
      </w:pPr>
      <w:r w:rsidRPr="00B140C8">
        <w:rPr>
          <w:b/>
          <w:bCs/>
          <w:snapToGrid/>
          <w:kern w:val="0"/>
          <w:szCs w:val="22"/>
        </w:rPr>
        <w:t>-FCC-</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C1A">
      <w:r>
        <w:separator/>
      </w:r>
    </w:p>
  </w:footnote>
  <w:footnote w:type="continuationSeparator" w:id="1">
    <w:p w:rsidR="00F17C1A">
      <w:pPr>
        <w:rPr>
          <w:sz w:val="20"/>
        </w:rPr>
      </w:pPr>
      <w:r>
        <w:rPr>
          <w:sz w:val="20"/>
        </w:rPr>
        <w:t xml:space="preserve">(Continued from previous page)  </w:t>
      </w:r>
      <w:r>
        <w:rPr>
          <w:sz w:val="20"/>
        </w:rPr>
        <w:separator/>
      </w:r>
    </w:p>
  </w:footnote>
  <w:footnote w:type="continuationNotice" w:id="2">
    <w:p w:rsidR="00F17C1A" w:rsidP="00910F12">
      <w:pPr>
        <w:jc w:val="right"/>
        <w:rPr>
          <w:sz w:val="20"/>
        </w:rPr>
      </w:pPr>
      <w:r>
        <w:rPr>
          <w:sz w:val="20"/>
        </w:rPr>
        <w:t>(continued….)</w:t>
      </w:r>
    </w:p>
  </w:footnote>
  <w:footnote w:id="3">
    <w:p w:rsidR="00DF6DE0" w:rsidRPr="004546FA" w:rsidP="00DF6DE0">
      <w:pPr>
        <w:pStyle w:val="NormalWeb"/>
        <w:spacing w:after="120"/>
        <w:rPr>
          <w:sz w:val="20"/>
          <w:szCs w:val="20"/>
        </w:rPr>
      </w:pPr>
      <w:r w:rsidRPr="003F1A93">
        <w:rPr>
          <w:rStyle w:val="FootnoteReference"/>
          <w:sz w:val="20"/>
          <w:szCs w:val="20"/>
        </w:rPr>
        <w:footnoteRef/>
      </w:r>
      <w:r w:rsidRPr="003F1A93">
        <w:rPr>
          <w:sz w:val="20"/>
          <w:szCs w:val="20"/>
        </w:rPr>
        <w:t xml:space="preserve"> </w:t>
      </w:r>
      <w:r w:rsidRPr="004546FA">
        <w:rPr>
          <w:i/>
          <w:sz w:val="20"/>
          <w:szCs w:val="20"/>
        </w:rPr>
        <w:t>See</w:t>
      </w:r>
      <w:r w:rsidRPr="004546FA">
        <w:rPr>
          <w:sz w:val="20"/>
          <w:szCs w:val="20"/>
        </w:rPr>
        <w:t xml:space="preserve"> 47 U.S.C. § 214; 47 CFR §§ 63.03-04</w:t>
      </w:r>
      <w:r w:rsidRPr="004546FA" w:rsidR="0055184D">
        <w:rPr>
          <w:sz w:val="20"/>
          <w:szCs w:val="20"/>
        </w:rPr>
        <w:t>.</w:t>
      </w:r>
      <w:r w:rsidRPr="004546FA" w:rsidR="0055184D">
        <w:rPr>
          <w:bCs/>
          <w:sz w:val="20"/>
          <w:szCs w:val="20"/>
        </w:rPr>
        <w:t xml:space="preserve">  Applicants also filed an application for the transfer of authorizations associated with international services.  Any action on this domestic section 214 application is without prejudice to Commission action on other related, pending applications</w:t>
      </w:r>
    </w:p>
  </w:footnote>
  <w:footnote w:id="4">
    <w:p w:rsidR="00730637" w:rsidRPr="004546FA">
      <w:pPr>
        <w:pStyle w:val="FootnoteText"/>
      </w:pPr>
      <w:r w:rsidRPr="004546FA">
        <w:rPr>
          <w:rStyle w:val="FootnoteReference"/>
          <w:sz w:val="20"/>
        </w:rPr>
        <w:footnoteRef/>
      </w:r>
      <w:r w:rsidRPr="004546FA">
        <w:t xml:space="preserve"> Clear Rate is licensed as a competitive LEC i</w:t>
      </w:r>
      <w:r w:rsidR="00375776">
        <w:t>n</w:t>
      </w:r>
      <w:r w:rsidRPr="004546FA">
        <w:t xml:space="preserve"> California, Colorado, Florida, Idaho, Illinois, Indiana, Iowa, Massachusetts, Michigan, Minnesota, Nebraska, New York, Ohio, Oregon, Pennsylvania, South Carolina, Texas, Utah, Washington, and West Virginia</w:t>
      </w:r>
      <w:r w:rsidR="00083DBB">
        <w:t>, and has applications pending for authorization to provide intrastate telecommunications services in New Mexico, North Carolina, and South Dakota</w:t>
      </w:r>
      <w:r w:rsidRPr="004546FA">
        <w:t>.  Clear Rate Telecom is licensed as a competitive LEC in Arizona and Virginia.</w:t>
      </w:r>
    </w:p>
  </w:footnote>
  <w:footnote w:id="5">
    <w:p w:rsidR="009F59EC" w:rsidRPr="004546FA">
      <w:pPr>
        <w:pStyle w:val="FootnoteText"/>
      </w:pPr>
      <w:r w:rsidRPr="004546FA">
        <w:rPr>
          <w:rStyle w:val="FootnoteReference"/>
          <w:sz w:val="20"/>
        </w:rPr>
        <w:footnoteRef/>
      </w:r>
      <w:r w:rsidRPr="004546FA">
        <w:t xml:space="preserve"> </w:t>
      </w:r>
      <w:r w:rsidR="00375776">
        <w:t xml:space="preserve">Applicants state that </w:t>
      </w:r>
      <w:r w:rsidR="00862E9E">
        <w:t xml:space="preserve">Holdings will also be owned by </w:t>
      </w:r>
      <w:r w:rsidRPr="00375776" w:rsidR="00375776">
        <w:t>Thane Nam</w:t>
      </w:r>
      <w:r w:rsidR="00862E9E">
        <w:t>y</w:t>
      </w:r>
      <w:r w:rsidRPr="00375776" w:rsidR="00375776">
        <w:t xml:space="preserve"> and Sam Namy</w:t>
      </w:r>
      <w:r w:rsidR="00862E9E">
        <w:t xml:space="preserve">, both U.S. citizens each holding </w:t>
      </w:r>
      <w:r w:rsidRPr="00375776" w:rsidR="00375776">
        <w:t>10%</w:t>
      </w:r>
      <w:r w:rsidR="00862E9E">
        <w:t xml:space="preserve"> of Holdings</w:t>
      </w:r>
      <w:r w:rsidRPr="00375776" w:rsidR="00375776">
        <w:t>.</w:t>
      </w:r>
      <w:r w:rsidR="00375776">
        <w:t xml:space="preserve">  </w:t>
      </w:r>
      <w:r w:rsidRPr="004546FA">
        <w:t>L4-CR is managed by L. Four, LLC</w:t>
      </w:r>
      <w:r w:rsidR="00862E9E">
        <w:t xml:space="preserve"> (L. Four)</w:t>
      </w:r>
      <w:r w:rsidRPr="004546FA">
        <w:t>, a Delaware limited liability company</w:t>
      </w:r>
      <w:r w:rsidRPr="004546FA" w:rsidR="00BA34E8">
        <w:t xml:space="preserve">, </w:t>
      </w:r>
      <w:r w:rsidRPr="004546FA" w:rsidR="000109EE">
        <w:t xml:space="preserve">that </w:t>
      </w:r>
      <w:r w:rsidRPr="004546FA">
        <w:t>is co-ow</w:t>
      </w:r>
      <w:r w:rsidR="00A20093">
        <w:t>n</w:t>
      </w:r>
      <w:r w:rsidRPr="004546FA">
        <w:t>ed by Barbara H</w:t>
      </w:r>
      <w:r w:rsidR="00083DBB">
        <w:t>e</w:t>
      </w:r>
      <w:r w:rsidRPr="004546FA">
        <w:t>nagan and Giny Mullins, both U.S. citizens</w:t>
      </w:r>
      <w:r w:rsidR="00862E9E">
        <w:t xml:space="preserve"> each holding 50% of L. Four</w:t>
      </w:r>
      <w:r w:rsidRPr="004546FA">
        <w:t>.</w:t>
      </w:r>
      <w:r w:rsidR="00862E9E">
        <w:t xml:space="preserve"> </w:t>
      </w:r>
      <w:r w:rsidRPr="004546FA">
        <w:t xml:space="preserve"> </w:t>
      </w:r>
      <w:r w:rsidRPr="004546FA" w:rsidR="00862E9E">
        <w:t xml:space="preserve">Applicants state that </w:t>
      </w:r>
      <w:r w:rsidR="00F4733F">
        <w:t xml:space="preserve">neither </w:t>
      </w:r>
      <w:r w:rsidRPr="004546FA" w:rsidR="00862E9E">
        <w:t xml:space="preserve">Holdings, nor any of </w:t>
      </w:r>
      <w:r w:rsidRPr="004546FA" w:rsidR="00862E9E">
        <w:t>this affiliates</w:t>
      </w:r>
      <w:r w:rsidRPr="004546FA" w:rsidR="00862E9E">
        <w:t>, hold a 10% or greater interest in any other provider of telecommunications services.</w:t>
      </w:r>
    </w:p>
  </w:footnote>
  <w:footnote w:id="6">
    <w:p w:rsidR="000109EE" w:rsidRPr="000109EE">
      <w:pPr>
        <w:pStyle w:val="FootnoteText"/>
      </w:pPr>
      <w:r w:rsidRPr="004546FA">
        <w:rPr>
          <w:rStyle w:val="FootnoteReference"/>
          <w:sz w:val="20"/>
        </w:rPr>
        <w:footnoteRef/>
      </w:r>
      <w:r w:rsidR="000C0176">
        <w:t xml:space="preserve"> Applicants state that</w:t>
      </w:r>
      <w:r w:rsidRPr="004546FA" w:rsidR="004546FA">
        <w:t xml:space="preserve"> a </w:t>
      </w:r>
      <w:r w:rsidRPr="004546FA">
        <w:rPr>
          <w:i/>
          <w:iCs/>
        </w:rPr>
        <w:t>pro forma</w:t>
      </w:r>
      <w:r w:rsidRPr="004546FA">
        <w:t xml:space="preserve"> restructuring </w:t>
      </w:r>
      <w:r w:rsidRPr="004546FA" w:rsidR="004546FA">
        <w:t xml:space="preserve">of Clear Rate will occur </w:t>
      </w:r>
      <w:r w:rsidRPr="004546FA">
        <w:t>prior to closing</w:t>
      </w:r>
      <w:r w:rsidR="00F4733F">
        <w:t xml:space="preserve"> and that Clear Rate will be converted from a Michigan corporation to Clear Rate Communications, LLC (CR LLC), a to be formed Delaware limited liability company.  Following the completion of the </w:t>
      </w:r>
      <w:r w:rsidRPr="00036CAD" w:rsidR="00F4733F">
        <w:rPr>
          <w:i/>
          <w:iCs/>
        </w:rPr>
        <w:t>pro forma</w:t>
      </w:r>
      <w:r w:rsidR="00F4733F">
        <w:t xml:space="preserve"> restructuring, Holdings will acquire 100% of the outstanding equity interests of CR LLC.  </w:t>
      </w:r>
      <w:r>
        <w:t xml:space="preserve"> </w:t>
      </w:r>
    </w:p>
  </w:footnote>
  <w:footnote w:id="7">
    <w:p w:rsidR="00DF6DE0" w:rsidRPr="000B5635" w:rsidP="00DF6DE0">
      <w:pPr>
        <w:pStyle w:val="FootnoteText"/>
      </w:pPr>
      <w:r w:rsidRPr="000B5635">
        <w:rPr>
          <w:rStyle w:val="FootnoteReference"/>
        </w:rPr>
        <w:footnoteRef/>
      </w:r>
      <w:r w:rsidRPr="000B5635">
        <w:t xml:space="preserve"> </w:t>
      </w:r>
      <w:bookmarkStart w:id="6" w:name="_Hlk55910454"/>
      <w:r w:rsidRPr="000B5635">
        <w:rPr>
          <w:color w:val="020100"/>
        </w:rPr>
        <w:t xml:space="preserve">47 CFR </w:t>
      </w:r>
      <w:bookmarkEnd w:id="6"/>
      <w:r w:rsidRPr="000B5635">
        <w:rPr>
          <w:color w:val="020100"/>
        </w:rPr>
        <w:t>§ 63.03(b)(</w:t>
      </w:r>
      <w:r w:rsidR="00F4733F">
        <w:rPr>
          <w:color w:val="020100"/>
        </w:rPr>
        <w:t>1</w:t>
      </w:r>
      <w:r w:rsidRPr="000B5635">
        <w:rPr>
          <w:color w:val="020100"/>
        </w:rPr>
        <w:t>)(</w:t>
      </w:r>
      <w:r w:rsidR="00F4733F">
        <w:rPr>
          <w:color w:val="020100"/>
        </w:rPr>
        <w:t>i</w:t>
      </w:r>
      <w:r w:rsidRPr="000B5635">
        <w:rPr>
          <w:color w:val="020100"/>
        </w:rPr>
        <w:t>i).</w:t>
      </w:r>
    </w:p>
  </w:footnote>
  <w:footnote w:id="8">
    <w:p w:rsidR="00DF6DE0" w:rsidRPr="00D22738" w:rsidP="00DF6DE0">
      <w:pPr>
        <w:pStyle w:val="FootnoteText"/>
      </w:pPr>
      <w:r w:rsidRPr="00995B83">
        <w:rPr>
          <w:rStyle w:val="FootnoteReference"/>
        </w:rPr>
        <w:footnoteRef/>
      </w:r>
      <w:r w:rsidRPr="00995B83">
        <w:t xml:space="preserve"> </w:t>
      </w:r>
      <w:r w:rsidRPr="00995B83">
        <w:rPr>
          <w:i/>
        </w:rPr>
        <w:t>See</w:t>
      </w:r>
      <w:r w:rsidRPr="00995B83">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r>
  </w:p>
  <w:p w:rsidR="009838BC" w:rsidRPr="009838BC" w:rsidP="009838BC">
    <w:pPr>
      <w:tabs>
        <w:tab w:val="left" w:pos="-720"/>
      </w:tabs>
      <w:suppressAutoHyphens/>
      <w:spacing w:line="19" w:lineRule="exact"/>
      <w:rPr>
        <w:spacing w:val="-2"/>
      </w:rPr>
    </w:pP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DE0AB8" w:rsidP="00DE0AB8">
                <w:pPr>
                  <w:rPr>
                    <w:rFonts w:ascii="Arial" w:hAnsi="Arial"/>
                    <w:b/>
                    <w:snapToGrid/>
                  </w:rPr>
                </w:pPr>
                <w:r>
                  <w:rPr>
                    <w:rFonts w:ascii="Arial" w:hAnsi="Arial"/>
                    <w:b/>
                  </w:rPr>
                  <w:t>Federal Communications Commission</w:t>
                </w:r>
              </w:p>
              <w:p w:rsidR="00DE0AB8" w:rsidP="00DE0AB8">
                <w:pPr>
                  <w:rPr>
                    <w:rFonts w:ascii="Arial" w:hAnsi="Arial"/>
                    <w:b/>
                  </w:rPr>
                </w:pPr>
                <w:r>
                  <w:rPr>
                    <w:rFonts w:ascii="Arial" w:hAnsi="Arial"/>
                    <w:b/>
                  </w:rPr>
                  <w:t>45 L Street</w:t>
                </w:r>
                <w:r w:rsidR="00B72F6B">
                  <w:rPr>
                    <w:rFonts w:ascii="Arial" w:hAnsi="Arial"/>
                    <w:b/>
                  </w:rPr>
                  <w:t>,</w:t>
                </w:r>
                <w:r>
                  <w:rPr>
                    <w:rFonts w:ascii="Arial" w:hAnsi="Arial"/>
                    <w:b/>
                  </w:rPr>
                  <w:t xml:space="preserve"> N</w:t>
                </w:r>
                <w:r w:rsidR="00B72F6B">
                  <w:rPr>
                    <w:rFonts w:ascii="Arial" w:hAnsi="Arial"/>
                    <w:b/>
                  </w:rPr>
                  <w:t>.</w:t>
                </w:r>
                <w:r>
                  <w:rPr>
                    <w:rFonts w:ascii="Arial" w:hAnsi="Arial"/>
                    <w:b/>
                  </w:rPr>
                  <w:t>E</w:t>
                </w:r>
                <w:r w:rsidR="00B72F6B">
                  <w:rPr>
                    <w:rFonts w:ascii="Arial" w:hAnsi="Arial"/>
                    <w:b/>
                  </w:rPr>
                  <w:t>.</w:t>
                </w:r>
              </w:p>
              <w:p w:rsidR="009838BC" w:rsidP="00DE0AB8">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sidR="00F70A5B">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1" style="mso-position-horizontal:right;mso-position-horizontal-relative:margin;position:absolute;visibility:visible;z-index:251660288" from="416.8pt,56.7pt" to="884.8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6">
    <w:nsid w:val="5B453774"/>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E0"/>
    <w:rsid w:val="000038AC"/>
    <w:rsid w:val="000072CE"/>
    <w:rsid w:val="000109EE"/>
    <w:rsid w:val="00013A8B"/>
    <w:rsid w:val="00021445"/>
    <w:rsid w:val="00036039"/>
    <w:rsid w:val="00036CAD"/>
    <w:rsid w:val="00037F90"/>
    <w:rsid w:val="00063BBC"/>
    <w:rsid w:val="00083DBB"/>
    <w:rsid w:val="000875BF"/>
    <w:rsid w:val="00096D8C"/>
    <w:rsid w:val="000A5488"/>
    <w:rsid w:val="000B5635"/>
    <w:rsid w:val="000B6BD2"/>
    <w:rsid w:val="000C0176"/>
    <w:rsid w:val="000C0B65"/>
    <w:rsid w:val="000D6086"/>
    <w:rsid w:val="000E3D42"/>
    <w:rsid w:val="000E5884"/>
    <w:rsid w:val="00122BD5"/>
    <w:rsid w:val="001979D9"/>
    <w:rsid w:val="001D6BCF"/>
    <w:rsid w:val="001E01CA"/>
    <w:rsid w:val="002060D9"/>
    <w:rsid w:val="00211B95"/>
    <w:rsid w:val="00226822"/>
    <w:rsid w:val="0024226A"/>
    <w:rsid w:val="00260594"/>
    <w:rsid w:val="002776B2"/>
    <w:rsid w:val="00285017"/>
    <w:rsid w:val="002A2D2E"/>
    <w:rsid w:val="003226BD"/>
    <w:rsid w:val="00343749"/>
    <w:rsid w:val="00357D50"/>
    <w:rsid w:val="00371587"/>
    <w:rsid w:val="00375776"/>
    <w:rsid w:val="00377943"/>
    <w:rsid w:val="003925DC"/>
    <w:rsid w:val="003B0550"/>
    <w:rsid w:val="003B694F"/>
    <w:rsid w:val="003D4641"/>
    <w:rsid w:val="003D5119"/>
    <w:rsid w:val="003F171C"/>
    <w:rsid w:val="003F1A93"/>
    <w:rsid w:val="00412FC5"/>
    <w:rsid w:val="00422276"/>
    <w:rsid w:val="004242F1"/>
    <w:rsid w:val="00445A00"/>
    <w:rsid w:val="00451B0F"/>
    <w:rsid w:val="004546FA"/>
    <w:rsid w:val="0046125F"/>
    <w:rsid w:val="00466F35"/>
    <w:rsid w:val="00487524"/>
    <w:rsid w:val="00496106"/>
    <w:rsid w:val="004A22C9"/>
    <w:rsid w:val="004B461C"/>
    <w:rsid w:val="004B73B5"/>
    <w:rsid w:val="004C12D0"/>
    <w:rsid w:val="004C2EE3"/>
    <w:rsid w:val="004D4DB3"/>
    <w:rsid w:val="004E4A22"/>
    <w:rsid w:val="004E6055"/>
    <w:rsid w:val="00511968"/>
    <w:rsid w:val="00542016"/>
    <w:rsid w:val="0055184D"/>
    <w:rsid w:val="0055614C"/>
    <w:rsid w:val="005C1556"/>
    <w:rsid w:val="005E44C3"/>
    <w:rsid w:val="00607BA5"/>
    <w:rsid w:val="00626049"/>
    <w:rsid w:val="00626EB6"/>
    <w:rsid w:val="006353A3"/>
    <w:rsid w:val="00635C07"/>
    <w:rsid w:val="006521AA"/>
    <w:rsid w:val="00655D03"/>
    <w:rsid w:val="006643E3"/>
    <w:rsid w:val="00683F84"/>
    <w:rsid w:val="00696850"/>
    <w:rsid w:val="006A32FD"/>
    <w:rsid w:val="006A6A81"/>
    <w:rsid w:val="006E26AF"/>
    <w:rsid w:val="006F7393"/>
    <w:rsid w:val="0070224F"/>
    <w:rsid w:val="007115F7"/>
    <w:rsid w:val="00730637"/>
    <w:rsid w:val="00785689"/>
    <w:rsid w:val="0079754B"/>
    <w:rsid w:val="007A1E6D"/>
    <w:rsid w:val="007F52C8"/>
    <w:rsid w:val="00822CE0"/>
    <w:rsid w:val="00837C62"/>
    <w:rsid w:val="00841AB1"/>
    <w:rsid w:val="00862E9E"/>
    <w:rsid w:val="00885BCE"/>
    <w:rsid w:val="008C22FD"/>
    <w:rsid w:val="008F4B78"/>
    <w:rsid w:val="00910F12"/>
    <w:rsid w:val="00926503"/>
    <w:rsid w:val="00930ECF"/>
    <w:rsid w:val="00971578"/>
    <w:rsid w:val="0098262A"/>
    <w:rsid w:val="009838BC"/>
    <w:rsid w:val="00995B83"/>
    <w:rsid w:val="009F59EC"/>
    <w:rsid w:val="009F5C80"/>
    <w:rsid w:val="00A14E6E"/>
    <w:rsid w:val="00A154CC"/>
    <w:rsid w:val="00A20093"/>
    <w:rsid w:val="00A45F4F"/>
    <w:rsid w:val="00A600A9"/>
    <w:rsid w:val="00A866AC"/>
    <w:rsid w:val="00AA55B7"/>
    <w:rsid w:val="00AA5B9E"/>
    <w:rsid w:val="00AB2407"/>
    <w:rsid w:val="00AB53DF"/>
    <w:rsid w:val="00B07E5C"/>
    <w:rsid w:val="00B140C8"/>
    <w:rsid w:val="00B20363"/>
    <w:rsid w:val="00B23434"/>
    <w:rsid w:val="00B320E6"/>
    <w:rsid w:val="00B326E3"/>
    <w:rsid w:val="00B55D96"/>
    <w:rsid w:val="00B72F6B"/>
    <w:rsid w:val="00B811F7"/>
    <w:rsid w:val="00BA34E8"/>
    <w:rsid w:val="00BA5DC6"/>
    <w:rsid w:val="00BA6196"/>
    <w:rsid w:val="00BC6D8C"/>
    <w:rsid w:val="00C117E9"/>
    <w:rsid w:val="00C16AF2"/>
    <w:rsid w:val="00C34006"/>
    <w:rsid w:val="00C426B1"/>
    <w:rsid w:val="00C82B6B"/>
    <w:rsid w:val="00C90D6A"/>
    <w:rsid w:val="00CC72B6"/>
    <w:rsid w:val="00CE55BE"/>
    <w:rsid w:val="00D0218D"/>
    <w:rsid w:val="00D122E2"/>
    <w:rsid w:val="00D216CD"/>
    <w:rsid w:val="00D22738"/>
    <w:rsid w:val="00D50240"/>
    <w:rsid w:val="00D933B6"/>
    <w:rsid w:val="00DA2529"/>
    <w:rsid w:val="00DB130A"/>
    <w:rsid w:val="00DC10A1"/>
    <w:rsid w:val="00DC655F"/>
    <w:rsid w:val="00DD7EBD"/>
    <w:rsid w:val="00DE0AB8"/>
    <w:rsid w:val="00DF62B6"/>
    <w:rsid w:val="00DF6DE0"/>
    <w:rsid w:val="00E0341E"/>
    <w:rsid w:val="00E07225"/>
    <w:rsid w:val="00E155B7"/>
    <w:rsid w:val="00E31AAD"/>
    <w:rsid w:val="00E51141"/>
    <w:rsid w:val="00E5409F"/>
    <w:rsid w:val="00E74B69"/>
    <w:rsid w:val="00E76DBE"/>
    <w:rsid w:val="00EC0185"/>
    <w:rsid w:val="00F021FA"/>
    <w:rsid w:val="00F17C1A"/>
    <w:rsid w:val="00F4733F"/>
    <w:rsid w:val="00F57ACA"/>
    <w:rsid w:val="00F62E97"/>
    <w:rsid w:val="00F64209"/>
    <w:rsid w:val="00F70A5B"/>
    <w:rsid w:val="00F86E0D"/>
    <w:rsid w:val="00F93BF5"/>
    <w:rsid w:val="00F96F63"/>
    <w:rsid w:val="00FC7A56"/>
    <w:rsid w:val="00FD6B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2E0AB7-7246-4B24-96DA-27040B0C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F6DE0"/>
    <w:rPr>
      <w:rFonts w:ascii="Segoe UI" w:hAnsi="Segoe UI" w:cs="Segoe UI"/>
      <w:sz w:val="18"/>
      <w:szCs w:val="18"/>
    </w:rPr>
  </w:style>
  <w:style w:type="character" w:customStyle="1" w:styleId="BalloonTextChar">
    <w:name w:val="Balloon Text Char"/>
    <w:link w:val="BalloonText"/>
    <w:uiPriority w:val="99"/>
    <w:semiHidden/>
    <w:rsid w:val="00DF6DE0"/>
    <w:rPr>
      <w:rFonts w:ascii="Segoe UI" w:hAnsi="Segoe UI" w:cs="Segoe UI"/>
      <w:snapToGrid w:val="0"/>
      <w:kern w:val="28"/>
      <w:sz w:val="18"/>
      <w:szCs w:val="18"/>
    </w:rPr>
  </w:style>
  <w:style w:type="paragraph" w:styleId="NormalWeb">
    <w:name w:val="Normal (Web)"/>
    <w:basedOn w:val="Normal"/>
    <w:uiPriority w:val="99"/>
    <w:semiHidden/>
    <w:unhideWhenUsed/>
    <w:rsid w:val="00DF6DE0"/>
    <w:rPr>
      <w:sz w:val="24"/>
      <w:szCs w:val="24"/>
    </w:rPr>
  </w:style>
  <w:style w:type="character" w:styleId="CommentReference">
    <w:name w:val="annotation reference"/>
    <w:rsid w:val="00DF6DE0"/>
    <w:rPr>
      <w:sz w:val="16"/>
      <w:szCs w:val="16"/>
    </w:rPr>
  </w:style>
  <w:style w:type="paragraph" w:styleId="CommentText">
    <w:name w:val="annotation text"/>
    <w:basedOn w:val="Normal"/>
    <w:link w:val="CommentTextChar"/>
    <w:rsid w:val="00DF6DE0"/>
    <w:pPr>
      <w:widowControl/>
    </w:pPr>
    <w:rPr>
      <w:snapToGrid/>
      <w:kern w:val="0"/>
      <w:sz w:val="20"/>
    </w:rPr>
  </w:style>
  <w:style w:type="character" w:customStyle="1" w:styleId="CommentTextChar">
    <w:name w:val="Comment Text Char"/>
    <w:basedOn w:val="DefaultParagraphFont"/>
    <w:link w:val="CommentText"/>
    <w:rsid w:val="00DF6DE0"/>
  </w:style>
  <w:style w:type="character" w:customStyle="1" w:styleId="UnresolvedMention1">
    <w:name w:val="Unresolved Mention1"/>
    <w:uiPriority w:val="99"/>
    <w:semiHidden/>
    <w:unhideWhenUsed/>
    <w:rsid w:val="00063BBC"/>
    <w:rPr>
      <w:color w:val="605E5C"/>
      <w:shd w:val="clear" w:color="auto" w:fill="E1DFDD"/>
    </w:rPr>
  </w:style>
  <w:style w:type="character" w:customStyle="1" w:styleId="UnresolvedMention">
    <w:name w:val="Unresolved Mention"/>
    <w:uiPriority w:val="99"/>
    <w:rsid w:val="00E76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yrva.charles@fcc.gov" TargetMode="External" /><Relationship Id="rId6" Type="http://schemas.openxmlformats.org/officeDocument/2006/relationships/hyperlink" Target="mailto:gregory.kwan@fcc.gov" TargetMode="External" /><Relationship Id="rId7" Type="http://schemas.openxmlformats.org/officeDocument/2006/relationships/hyperlink" Target="mailto:david.krech@fcc.gov" TargetMode="External" /><Relationship Id="rId8" Type="http://schemas.openxmlformats.org/officeDocument/2006/relationships/hyperlink" Target="mailto:jim.bird@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