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30944" w14:paraId="590B32F7" w14:textId="77777777">
      <w:pPr>
        <w:jc w:val="right"/>
        <w:rPr>
          <w:sz w:val="24"/>
        </w:rPr>
      </w:pPr>
    </w:p>
    <w:p w:rsidR="00530944" w:rsidRPr="00D5313A" w14:paraId="5DC828F6" w14:textId="32B4B8AB">
      <w:pPr>
        <w:jc w:val="right"/>
        <w:rPr>
          <w:b/>
          <w:szCs w:val="22"/>
        </w:rPr>
      </w:pPr>
      <w:r>
        <w:rPr>
          <w:b/>
          <w:szCs w:val="22"/>
        </w:rPr>
        <w:t>DA 21-</w:t>
      </w:r>
      <w:r w:rsidR="00DC2B32">
        <w:rPr>
          <w:b/>
          <w:szCs w:val="22"/>
        </w:rPr>
        <w:t>1091</w:t>
      </w:r>
    </w:p>
    <w:p w:rsidR="00530944" w:rsidRPr="00D5313A" w14:paraId="62D84C04" w14:textId="3211D9B6">
      <w:pPr>
        <w:spacing w:before="60"/>
        <w:jc w:val="right"/>
        <w:rPr>
          <w:b/>
          <w:szCs w:val="22"/>
        </w:rPr>
      </w:pPr>
      <w:r w:rsidRPr="00D5313A">
        <w:rPr>
          <w:b/>
          <w:szCs w:val="22"/>
        </w:rPr>
        <w:t xml:space="preserve">Released:  </w:t>
      </w:r>
      <w:r w:rsidRPr="00D5313A" w:rsidR="00307178">
        <w:rPr>
          <w:b/>
          <w:szCs w:val="22"/>
        </w:rPr>
        <w:t xml:space="preserve">September </w:t>
      </w:r>
      <w:r w:rsidR="00DC2B32">
        <w:rPr>
          <w:b/>
          <w:szCs w:val="22"/>
        </w:rPr>
        <w:t>2</w:t>
      </w:r>
      <w:r w:rsidRPr="00D5313A" w:rsidR="00307178">
        <w:rPr>
          <w:b/>
          <w:szCs w:val="22"/>
        </w:rPr>
        <w:t>, 2021</w:t>
      </w:r>
    </w:p>
    <w:p w:rsidR="00530944" w:rsidRPr="00D5313A" w14:paraId="1EE92FD0" w14:textId="77777777">
      <w:pPr>
        <w:jc w:val="right"/>
        <w:rPr>
          <w:szCs w:val="22"/>
        </w:rPr>
      </w:pPr>
    </w:p>
    <w:p w:rsidR="00530944" w:rsidRPr="00D5313A" w14:paraId="72DC09CA" w14:textId="0AFE742D">
      <w:pPr>
        <w:spacing w:after="240"/>
        <w:jc w:val="center"/>
        <w:rPr>
          <w:rFonts w:ascii="Times New Roman Bold" w:hAnsi="Times New Roman Bold"/>
          <w:b/>
          <w:caps/>
          <w:szCs w:val="22"/>
        </w:rPr>
      </w:pPr>
      <w:r w:rsidRPr="00D5313A">
        <w:rPr>
          <w:rFonts w:ascii="Times New Roman Bold" w:hAnsi="Times New Roman Bold"/>
          <w:b/>
          <w:caps/>
          <w:szCs w:val="22"/>
        </w:rPr>
        <w:t>WIRELINE COMPETITION BUREAU ANNOUNCES POSTING OF 2021 TARIFF REVIEW PLAN FOR EXOGENOUS COST FILINGS BY RATE-OF-RETURN CARRIERS THAT ELECTED INCENTIVE REGULATION FOR BUSINESS DATA SERVICES</w:t>
      </w:r>
    </w:p>
    <w:p w:rsidR="00530944" w:rsidRPr="00D5313A" w14:paraId="3ADE1824" w14:textId="71025834">
      <w:pPr>
        <w:jc w:val="center"/>
        <w:rPr>
          <w:b/>
          <w:szCs w:val="22"/>
        </w:rPr>
      </w:pPr>
      <w:r w:rsidRPr="00D5313A">
        <w:rPr>
          <w:b/>
          <w:szCs w:val="22"/>
        </w:rPr>
        <w:t>WC Docket No. 21-148</w:t>
      </w:r>
    </w:p>
    <w:p w:rsidR="00530944" w14:paraId="7550F604" w14:textId="77777777">
      <w:bookmarkStart w:id="0" w:name="TOChere"/>
    </w:p>
    <w:p w:rsidR="00A17F1A" w:rsidP="00A17F1A" w14:paraId="1E1CDA9A" w14:textId="170D490E">
      <w:pPr>
        <w:spacing w:after="120"/>
        <w:ind w:firstLine="720"/>
        <w:rPr>
          <w:szCs w:val="22"/>
        </w:rPr>
      </w:pPr>
      <w:r w:rsidRPr="00EE17A2">
        <w:rPr>
          <w:szCs w:val="22"/>
        </w:rPr>
        <w:t>By this Public Notice, the Wireline Competition Bureau (Bureau) announces</w:t>
      </w:r>
      <w:r w:rsidR="0032331F">
        <w:rPr>
          <w:szCs w:val="22"/>
        </w:rPr>
        <w:t xml:space="preserve"> the release of the</w:t>
      </w:r>
      <w:r w:rsidRPr="00EE17A2">
        <w:rPr>
          <w:szCs w:val="22"/>
        </w:rPr>
        <w:t xml:space="preserve"> </w:t>
      </w:r>
      <w:r>
        <w:rPr>
          <w:szCs w:val="22"/>
        </w:rPr>
        <w:t xml:space="preserve">tariff review plan for use by rate-of-return carriers that elected incentive regulation for their </w:t>
      </w:r>
      <w:r w:rsidRPr="00EE17A2">
        <w:rPr>
          <w:szCs w:val="22"/>
        </w:rPr>
        <w:t>business data services (BDS)</w:t>
      </w:r>
      <w:r>
        <w:rPr>
          <w:szCs w:val="22"/>
        </w:rPr>
        <w:t xml:space="preserve"> offerings pursuant to the </w:t>
      </w:r>
      <w:r w:rsidRPr="00A22557">
        <w:rPr>
          <w:i/>
          <w:szCs w:val="22"/>
        </w:rPr>
        <w:t>Rate-of-Return Business Data Services Order</w:t>
      </w:r>
      <w:r>
        <w:rPr>
          <w:rStyle w:val="FootnoteReference"/>
          <w:szCs w:val="22"/>
        </w:rPr>
        <w:footnoteReference w:id="3"/>
      </w:r>
      <w:r>
        <w:rPr>
          <w:szCs w:val="22"/>
        </w:rPr>
        <w:t xml:space="preserve"> (electing carriers)</w:t>
      </w:r>
      <w:r w:rsidR="0032331F">
        <w:rPr>
          <w:szCs w:val="22"/>
        </w:rPr>
        <w:t xml:space="preserve">.  </w:t>
      </w:r>
      <w:r w:rsidR="008A5AE9">
        <w:rPr>
          <w:szCs w:val="22"/>
        </w:rPr>
        <w:t xml:space="preserve">The tariff review plan </w:t>
      </w:r>
      <w:r w:rsidR="0032331F">
        <w:rPr>
          <w:szCs w:val="22"/>
        </w:rPr>
        <w:t>is</w:t>
      </w:r>
      <w:r>
        <w:rPr>
          <w:szCs w:val="22"/>
        </w:rPr>
        <w:t xml:space="preserve"> posted on the Federal Communications Commission’s website at: </w:t>
      </w:r>
      <w:hyperlink r:id="rId5" w:history="1">
        <w:r w:rsidRPr="00836D1F">
          <w:rPr>
            <w:rStyle w:val="Hyperlink"/>
            <w:szCs w:val="22"/>
          </w:rPr>
          <w:t>https://www.fcc.gov/tariff-review-plan-incentive-regulation-rate-return-carriers</w:t>
        </w:r>
      </w:hyperlink>
      <w:r w:rsidRPr="00836D1F">
        <w:rPr>
          <w:szCs w:val="22"/>
        </w:rPr>
        <w:t>.</w:t>
      </w:r>
    </w:p>
    <w:p w:rsidR="00A17F1A" w:rsidP="00A17F1A" w14:paraId="53FB08A1" w14:textId="7A05038A">
      <w:pPr>
        <w:spacing w:after="120"/>
        <w:rPr>
          <w:szCs w:val="22"/>
        </w:rPr>
      </w:pPr>
      <w:r w:rsidRPr="00EE17A2">
        <w:rPr>
          <w:szCs w:val="22"/>
        </w:rPr>
        <w:tab/>
      </w:r>
      <w:r>
        <w:rPr>
          <w:szCs w:val="22"/>
        </w:rPr>
        <w:t xml:space="preserve">The </w:t>
      </w:r>
      <w:bookmarkStart w:id="1" w:name="_Hlk17990280"/>
      <w:r>
        <w:rPr>
          <w:i/>
          <w:szCs w:val="22"/>
        </w:rPr>
        <w:t>2021 Tariff Review Plan Order</w:t>
      </w:r>
      <w:bookmarkEnd w:id="1"/>
      <w:r>
        <w:rPr>
          <w:szCs w:val="22"/>
        </w:rPr>
        <w:t xml:space="preserve"> requires electing carriers to file tariff review plans reflecting any exogenous cost adjustment for Telecommunications Relay Service (TRS), North American Numbering Plan Administration, </w:t>
      </w:r>
      <w:r w:rsidRPr="00D92E8E">
        <w:rPr>
          <w:szCs w:val="22"/>
        </w:rPr>
        <w:t>and regulatory fees</w:t>
      </w:r>
      <w:r>
        <w:rPr>
          <w:szCs w:val="22"/>
        </w:rPr>
        <w:t xml:space="preserve"> in rates to be effective </w:t>
      </w:r>
      <w:r w:rsidRPr="00CD555F">
        <w:rPr>
          <w:szCs w:val="22"/>
        </w:rPr>
        <w:t>October 1, 202</w:t>
      </w:r>
      <w:r w:rsidRPr="00CD555F" w:rsidR="00CD555F">
        <w:rPr>
          <w:szCs w:val="22"/>
        </w:rPr>
        <w:t>1</w:t>
      </w:r>
      <w:r>
        <w:rPr>
          <w:szCs w:val="22"/>
        </w:rPr>
        <w:t>.</w:t>
      </w:r>
      <w:r>
        <w:rPr>
          <w:rStyle w:val="FootnoteReference"/>
          <w:szCs w:val="22"/>
        </w:rPr>
        <w:footnoteReference w:id="4"/>
      </w:r>
      <w:r>
        <w:rPr>
          <w:szCs w:val="22"/>
        </w:rPr>
        <w:t xml:space="preserve">  As the Bureau explained in the </w:t>
      </w:r>
      <w:r>
        <w:rPr>
          <w:i/>
          <w:szCs w:val="22"/>
        </w:rPr>
        <w:t>202</w:t>
      </w:r>
      <w:r w:rsidR="00CD555F">
        <w:rPr>
          <w:i/>
          <w:szCs w:val="22"/>
        </w:rPr>
        <w:t>1</w:t>
      </w:r>
      <w:r>
        <w:rPr>
          <w:i/>
          <w:szCs w:val="22"/>
        </w:rPr>
        <w:t xml:space="preserve"> Tariff Review Plan </w:t>
      </w:r>
      <w:r w:rsidRPr="00B269BE">
        <w:rPr>
          <w:i/>
          <w:szCs w:val="22"/>
        </w:rPr>
        <w:t>Order</w:t>
      </w:r>
      <w:r w:rsidRPr="00CD555F">
        <w:rPr>
          <w:iCs/>
          <w:szCs w:val="22"/>
        </w:rPr>
        <w:t xml:space="preserve">, </w:t>
      </w:r>
      <w:r w:rsidRPr="00B269BE">
        <w:rPr>
          <w:szCs w:val="22"/>
        </w:rPr>
        <w:t>t</w:t>
      </w:r>
      <w:bookmarkStart w:id="2" w:name="_Hlk18058607"/>
      <w:r w:rsidRPr="00B269BE">
        <w:rPr>
          <w:szCs w:val="22"/>
        </w:rPr>
        <w:t>he</w:t>
      </w:r>
      <w:r>
        <w:rPr>
          <w:szCs w:val="22"/>
        </w:rPr>
        <w:t xml:space="preserve"> </w:t>
      </w:r>
      <w:r w:rsidRPr="00D92E8E">
        <w:rPr>
          <w:szCs w:val="22"/>
        </w:rPr>
        <w:t xml:space="preserve">exogenous cost adjustment for TRS </w:t>
      </w:r>
      <w:r>
        <w:rPr>
          <w:szCs w:val="22"/>
        </w:rPr>
        <w:t xml:space="preserve">must </w:t>
      </w:r>
      <w:r w:rsidRPr="00D92E8E">
        <w:rPr>
          <w:szCs w:val="22"/>
        </w:rPr>
        <w:t xml:space="preserve">be “grossed up” </w:t>
      </w:r>
      <w:bookmarkEnd w:id="2"/>
      <w:r w:rsidRPr="00D92E8E">
        <w:rPr>
          <w:szCs w:val="22"/>
        </w:rPr>
        <w:t>to spread the entire adjustment over the remaining months in the tariff year.</w:t>
      </w:r>
      <w:r>
        <w:rPr>
          <w:rStyle w:val="FootnoteReference"/>
          <w:szCs w:val="22"/>
        </w:rPr>
        <w:footnoteReference w:id="5"/>
      </w:r>
      <w:r w:rsidRPr="00D92E8E">
        <w:rPr>
          <w:szCs w:val="22"/>
        </w:rPr>
        <w:t xml:space="preserve"> </w:t>
      </w:r>
      <w:r>
        <w:rPr>
          <w:szCs w:val="22"/>
        </w:rPr>
        <w:t xml:space="preserve"> However, the October 1, 202</w:t>
      </w:r>
      <w:r w:rsidR="00CD555F">
        <w:rPr>
          <w:szCs w:val="22"/>
        </w:rPr>
        <w:t>1</w:t>
      </w:r>
      <w:r>
        <w:rPr>
          <w:szCs w:val="22"/>
        </w:rPr>
        <w:t xml:space="preserve"> exogenous cost filing and rate adjustment is optional for electing carriers i</w:t>
      </w:r>
      <w:r w:rsidRPr="006413F0">
        <w:rPr>
          <w:szCs w:val="22"/>
        </w:rPr>
        <w:t xml:space="preserve">f the total amount of </w:t>
      </w:r>
      <w:r>
        <w:rPr>
          <w:szCs w:val="22"/>
        </w:rPr>
        <w:t xml:space="preserve">such exogenous cost </w:t>
      </w:r>
      <w:r w:rsidRPr="006413F0">
        <w:rPr>
          <w:szCs w:val="22"/>
        </w:rPr>
        <w:t>adjustments would either</w:t>
      </w:r>
      <w:r>
        <w:rPr>
          <w:szCs w:val="22"/>
        </w:rPr>
        <w:t xml:space="preserve"> </w:t>
      </w:r>
      <w:r w:rsidRPr="006413F0">
        <w:rPr>
          <w:szCs w:val="22"/>
        </w:rPr>
        <w:t xml:space="preserve">increase rates or </w:t>
      </w:r>
      <w:r w:rsidR="001B681C">
        <w:rPr>
          <w:rFonts w:eastAsia="Calibri"/>
          <w:szCs w:val="22"/>
        </w:rPr>
        <w:t xml:space="preserve">meet a </w:t>
      </w:r>
      <w:r w:rsidRPr="00D5313A" w:rsidR="001B681C">
        <w:rPr>
          <w:rFonts w:eastAsia="Calibri"/>
          <w:i/>
          <w:iCs/>
          <w:szCs w:val="22"/>
        </w:rPr>
        <w:t>de minimus</w:t>
      </w:r>
      <w:r w:rsidRPr="001B681C" w:rsidR="001B681C">
        <w:rPr>
          <w:rFonts w:eastAsia="Calibri"/>
          <w:szCs w:val="22"/>
        </w:rPr>
        <w:t xml:space="preserve"> threshold of $960.00, which is the current tariff filing fee</w:t>
      </w:r>
      <w:r>
        <w:rPr>
          <w:rFonts w:eastAsia="Calibri"/>
          <w:szCs w:val="22"/>
        </w:rPr>
        <w:t>.</w:t>
      </w:r>
      <w:r>
        <w:rPr>
          <w:rStyle w:val="FootnoteReference"/>
          <w:szCs w:val="22"/>
        </w:rPr>
        <w:footnoteReference w:id="6"/>
      </w:r>
      <w:r>
        <w:rPr>
          <w:szCs w:val="22"/>
        </w:rPr>
        <w:t xml:space="preserve">  </w:t>
      </w:r>
    </w:p>
    <w:p w:rsidR="00A17F1A" w:rsidP="00017480" w14:paraId="3571167A" w14:textId="05708133">
      <w:pPr>
        <w:widowControl/>
        <w:spacing w:after="120"/>
        <w:ind w:firstLine="720"/>
        <w:rPr>
          <w:szCs w:val="22"/>
        </w:rPr>
      </w:pPr>
      <w:r>
        <w:rPr>
          <w:szCs w:val="22"/>
        </w:rPr>
        <w:t>The tariff review plan posted on the Commission’s website was prepared by the National Exchange Carrier Association (NECA) for electing carriers for which NECA files BDS rates</w:t>
      </w:r>
      <w:bookmarkStart w:id="4" w:name="_Hlk18066720"/>
      <w:r>
        <w:rPr>
          <w:rStyle w:val="FootnoteReference"/>
          <w:szCs w:val="22"/>
        </w:rPr>
        <w:t xml:space="preserve"> </w:t>
      </w:r>
      <w:r>
        <w:rPr>
          <w:szCs w:val="22"/>
        </w:rPr>
        <w:t>and is designed to ensure that carriers make exogenous cost and rate adjustments in accordance with the Commission’s rules.</w:t>
      </w:r>
      <w:r>
        <w:rPr>
          <w:rStyle w:val="FootnoteReference"/>
          <w:szCs w:val="22"/>
        </w:rPr>
        <w:footnoteReference w:id="7"/>
      </w:r>
      <w:r w:rsidR="00386997">
        <w:rPr>
          <w:szCs w:val="22"/>
        </w:rPr>
        <w:t xml:space="preserve">  </w:t>
      </w:r>
      <w:bookmarkEnd w:id="4"/>
      <w:r w:rsidR="0032331F">
        <w:rPr>
          <w:szCs w:val="22"/>
        </w:rPr>
        <w:t>Electing carriers that do not participate in the NECA tariff</w:t>
      </w:r>
      <w:r w:rsidR="007B2A9E">
        <w:rPr>
          <w:szCs w:val="22"/>
        </w:rPr>
        <w:t xml:space="preserve"> should also file a tariff </w:t>
      </w:r>
      <w:r w:rsidR="007B2A9E">
        <w:rPr>
          <w:szCs w:val="22"/>
        </w:rPr>
        <w:t>review plan.</w:t>
      </w:r>
      <w:r>
        <w:rPr>
          <w:rStyle w:val="FootnoteReference"/>
          <w:szCs w:val="22"/>
        </w:rPr>
        <w:footnoteReference w:id="8"/>
      </w:r>
      <w:r w:rsidR="007B2A9E">
        <w:rPr>
          <w:szCs w:val="22"/>
        </w:rPr>
        <w:t xml:space="preserve">  </w:t>
      </w:r>
      <w:r w:rsidR="00DA2B3B">
        <w:rPr>
          <w:szCs w:val="22"/>
        </w:rPr>
        <w:t>As staff has reviewed this tariff review plan, electing carriers</w:t>
      </w:r>
      <w:r w:rsidR="007B2A9E">
        <w:rPr>
          <w:szCs w:val="22"/>
        </w:rPr>
        <w:t xml:space="preserve"> </w:t>
      </w:r>
      <w:r w:rsidR="00B87DF2">
        <w:rPr>
          <w:szCs w:val="22"/>
        </w:rPr>
        <w:t xml:space="preserve">are encouraged to </w:t>
      </w:r>
      <w:r w:rsidR="007B2A9E">
        <w:rPr>
          <w:szCs w:val="22"/>
        </w:rPr>
        <w:t xml:space="preserve">use </w:t>
      </w:r>
      <w:r w:rsidR="00DA2B3B">
        <w:rPr>
          <w:szCs w:val="22"/>
        </w:rPr>
        <w:t xml:space="preserve">it, though </w:t>
      </w:r>
      <w:r w:rsidR="007B2A9E">
        <w:rPr>
          <w:szCs w:val="22"/>
        </w:rPr>
        <w:t>the</w:t>
      </w:r>
      <w:r w:rsidR="00DA2B3B">
        <w:rPr>
          <w:szCs w:val="22"/>
        </w:rPr>
        <w:t xml:space="preserve">y may </w:t>
      </w:r>
      <w:r w:rsidR="007B2A9E">
        <w:rPr>
          <w:szCs w:val="22"/>
        </w:rPr>
        <w:t xml:space="preserve">create </w:t>
      </w:r>
      <w:r w:rsidR="000830BE">
        <w:rPr>
          <w:szCs w:val="22"/>
        </w:rPr>
        <w:t xml:space="preserve">and use </w:t>
      </w:r>
      <w:r w:rsidR="00DA2B3B">
        <w:rPr>
          <w:szCs w:val="22"/>
        </w:rPr>
        <w:t xml:space="preserve">an </w:t>
      </w:r>
      <w:r>
        <w:rPr>
          <w:szCs w:val="22"/>
        </w:rPr>
        <w:t>equivalent</w:t>
      </w:r>
      <w:r w:rsidR="007B2A9E">
        <w:rPr>
          <w:szCs w:val="22"/>
        </w:rPr>
        <w:t xml:space="preserve"> version that complies with our rules.</w:t>
      </w:r>
    </w:p>
    <w:p w:rsidR="00A17F1A" w:rsidRPr="008A79D7" w:rsidP="00A17F1A" w14:paraId="4E7813DF" w14:textId="77777777">
      <w:pPr>
        <w:spacing w:after="120"/>
        <w:ind w:firstLine="720"/>
        <w:rPr>
          <w:rFonts w:eastAsia="Calibri"/>
          <w:szCs w:val="22"/>
        </w:rPr>
      </w:pPr>
      <w:r w:rsidRPr="00391995">
        <w:rPr>
          <w:szCs w:val="22"/>
        </w:rPr>
        <w:t xml:space="preserve">For further information, please contact </w:t>
      </w:r>
      <w:r>
        <w:rPr>
          <w:szCs w:val="22"/>
        </w:rPr>
        <w:t>Robin Cohn</w:t>
      </w:r>
      <w:r w:rsidRPr="00391995">
        <w:rPr>
          <w:szCs w:val="22"/>
        </w:rPr>
        <w:t>, Pricing Policy Division, Wireline Competition Bureau, (202) 418-</w:t>
      </w:r>
      <w:r>
        <w:rPr>
          <w:szCs w:val="22"/>
        </w:rPr>
        <w:t>2747</w:t>
      </w:r>
      <w:r w:rsidRPr="00391995">
        <w:rPr>
          <w:szCs w:val="22"/>
        </w:rPr>
        <w:t xml:space="preserve">, </w:t>
      </w:r>
      <w:hyperlink r:id="rId6" w:history="1">
        <w:r w:rsidRPr="00B8498E">
          <w:rPr>
            <w:rStyle w:val="Hyperlink"/>
            <w:szCs w:val="22"/>
          </w:rPr>
          <w:t>Robin.Cohn@fcc.gov</w:t>
        </w:r>
      </w:hyperlink>
      <w:r w:rsidRPr="00ED54C0">
        <w:rPr>
          <w:color w:val="000000"/>
        </w:rPr>
        <w:t>;</w:t>
      </w:r>
      <w:r w:rsidRPr="00391995">
        <w:rPr>
          <w:szCs w:val="22"/>
        </w:rPr>
        <w:t xml:space="preserve"> </w:t>
      </w:r>
      <w:r w:rsidRPr="00391995">
        <w:rPr>
          <w:rFonts w:eastAsia="Calibri"/>
          <w:szCs w:val="22"/>
        </w:rPr>
        <w:t xml:space="preserve">or </w:t>
      </w:r>
      <w:r>
        <w:rPr>
          <w:rFonts w:eastAsia="Calibri"/>
          <w:szCs w:val="22"/>
        </w:rPr>
        <w:t>Richard Kwiatkowski</w:t>
      </w:r>
      <w:r w:rsidRPr="00391995">
        <w:rPr>
          <w:rFonts w:eastAsia="Calibri"/>
          <w:szCs w:val="22"/>
        </w:rPr>
        <w:t xml:space="preserve">, </w:t>
      </w:r>
      <w:r>
        <w:rPr>
          <w:rFonts w:eastAsia="Calibri"/>
          <w:szCs w:val="22"/>
        </w:rPr>
        <w:t xml:space="preserve">Economic Analysis </w:t>
      </w:r>
      <w:r w:rsidRPr="00391995">
        <w:rPr>
          <w:rFonts w:eastAsia="Calibri"/>
          <w:szCs w:val="22"/>
        </w:rPr>
        <w:t xml:space="preserve">Division, </w:t>
      </w:r>
      <w:r>
        <w:rPr>
          <w:rFonts w:eastAsia="Calibri"/>
          <w:szCs w:val="22"/>
        </w:rPr>
        <w:t>Office of Economics and Analytics</w:t>
      </w:r>
      <w:r w:rsidRPr="00391995">
        <w:rPr>
          <w:rFonts w:eastAsia="Calibri"/>
          <w:szCs w:val="22"/>
        </w:rPr>
        <w:t>, (202) 418-</w:t>
      </w:r>
      <w:r>
        <w:rPr>
          <w:rFonts w:eastAsia="Calibri"/>
          <w:szCs w:val="22"/>
        </w:rPr>
        <w:t>1383</w:t>
      </w:r>
      <w:r w:rsidRPr="00391995">
        <w:rPr>
          <w:rFonts w:eastAsia="Calibri"/>
          <w:szCs w:val="22"/>
        </w:rPr>
        <w:t xml:space="preserve">, </w:t>
      </w:r>
      <w:hyperlink r:id="rId7" w:history="1">
        <w:r w:rsidRPr="00420DDA">
          <w:rPr>
            <w:rStyle w:val="Hyperlink"/>
            <w:rFonts w:eastAsia="Calibri"/>
            <w:szCs w:val="22"/>
          </w:rPr>
          <w:t>R</w:t>
        </w:r>
        <w:r w:rsidRPr="006413F0">
          <w:rPr>
            <w:rStyle w:val="Hyperlink"/>
            <w:rFonts w:eastAsia="Calibri"/>
            <w:szCs w:val="22"/>
          </w:rPr>
          <w:t>ichard.Kwiatkowski@fcc.gov</w:t>
        </w:r>
      </w:hyperlink>
      <w:r w:rsidRPr="00ED54C0">
        <w:rPr>
          <w:rFonts w:eastAsia="Calibri"/>
          <w:color w:val="000000"/>
        </w:rPr>
        <w:t>.</w:t>
      </w:r>
    </w:p>
    <w:p w:rsidR="00A17F1A" w:rsidRPr="009C5AB0" w:rsidP="00A17F1A" w14:paraId="6F9F2BC6" w14:textId="77777777">
      <w:pPr>
        <w:tabs>
          <w:tab w:val="center" w:pos="4680"/>
          <w:tab w:val="left" w:pos="5685"/>
        </w:tabs>
      </w:pPr>
      <w:r>
        <w:rPr>
          <w:b/>
          <w:szCs w:val="22"/>
        </w:rPr>
        <w:tab/>
      </w:r>
      <w:r w:rsidRPr="00DC68BC">
        <w:rPr>
          <w:b/>
          <w:szCs w:val="22"/>
        </w:rPr>
        <w:t>- FCC -</w:t>
      </w:r>
    </w:p>
    <w:p w:rsidR="00A17F1A" w:rsidRPr="00ED54C0" w:rsidP="00A17F1A" w14:paraId="485F3BFF" w14:textId="77777777">
      <w:pPr>
        <w:rPr>
          <w:sz w:val="24"/>
        </w:rPr>
      </w:pPr>
    </w:p>
    <w:p w:rsidR="00530944" w14:paraId="3DFAE898" w14:textId="77777777"/>
    <w:p w:rsidR="00530944" w14:paraId="5DB9F3D9" w14:textId="77777777"/>
    <w:bookmarkEnd w:id="0"/>
    <w:p w:rsidR="00A17F1A" w14:paraId="41CCA380"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5147D1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530944" w14:paraId="4B4C80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7E892C6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4C75C2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779A" w14:paraId="0E4DA779" w14:textId="77777777">
      <w:r>
        <w:separator/>
      </w:r>
    </w:p>
  </w:footnote>
  <w:footnote w:type="continuationSeparator" w:id="1">
    <w:p w:rsidR="00F7779A" w14:paraId="3456CFC9" w14:textId="77777777">
      <w:pPr>
        <w:rPr>
          <w:sz w:val="20"/>
        </w:rPr>
      </w:pPr>
      <w:r>
        <w:rPr>
          <w:sz w:val="20"/>
        </w:rPr>
        <w:t xml:space="preserve">(Continued from previous page)  </w:t>
      </w:r>
      <w:r>
        <w:rPr>
          <w:sz w:val="20"/>
        </w:rPr>
        <w:separator/>
      </w:r>
    </w:p>
  </w:footnote>
  <w:footnote w:type="continuationNotice" w:id="2">
    <w:p w:rsidR="00F7779A" w14:paraId="7A112E8A" w14:textId="77777777">
      <w:pPr>
        <w:jc w:val="right"/>
        <w:rPr>
          <w:sz w:val="20"/>
        </w:rPr>
      </w:pPr>
      <w:r>
        <w:rPr>
          <w:sz w:val="20"/>
        </w:rPr>
        <w:t>(continued….)</w:t>
      </w:r>
    </w:p>
  </w:footnote>
  <w:footnote w:id="3">
    <w:p w:rsidR="00A17F1A" w:rsidRPr="006035D3" w:rsidP="00A17F1A" w14:paraId="088D833A" w14:textId="4971AC1E">
      <w:pPr>
        <w:pStyle w:val="FootnoteText"/>
      </w:pPr>
      <w:r w:rsidRPr="006035D3">
        <w:rPr>
          <w:rStyle w:val="FootnoteReference"/>
        </w:rPr>
        <w:footnoteRef/>
      </w:r>
      <w:r w:rsidRPr="006035D3">
        <w:t xml:space="preserve"> </w:t>
      </w:r>
      <w:r w:rsidRPr="006035D3">
        <w:rPr>
          <w:i/>
        </w:rPr>
        <w:t>Regulation of Business Data Services for Rate-of-Return Local Exchange Carriers</w:t>
      </w:r>
      <w:r w:rsidRPr="006035D3">
        <w:t>, WC Docket No. 17-144, Report and Order, Further Notice of Proposed Rulemaking, and Second Further Notice of Proposed Rulemaking, 33 FCC Rcd 10403 (2018) (</w:t>
      </w:r>
      <w:r w:rsidRPr="006035D3">
        <w:rPr>
          <w:i/>
        </w:rPr>
        <w:t>Rate-of-Return Business Data Services Order</w:t>
      </w:r>
      <w:r w:rsidRPr="006035D3">
        <w:t>)</w:t>
      </w:r>
      <w:r w:rsidR="00FF6DF3">
        <w:t xml:space="preserve">; </w:t>
      </w:r>
      <w:r w:rsidR="00FF6DF3">
        <w:rPr>
          <w:i/>
        </w:rPr>
        <w:t>s</w:t>
      </w:r>
      <w:r w:rsidRPr="006035D3" w:rsidR="00FF6DF3">
        <w:rPr>
          <w:i/>
        </w:rPr>
        <w:t xml:space="preserve">ee </w:t>
      </w:r>
      <w:r w:rsidRPr="006035D3" w:rsidR="00FF6DF3">
        <w:t>47 CFR § 61.50</w:t>
      </w:r>
      <w:r w:rsidR="004451BF">
        <w:t>.</w:t>
      </w:r>
    </w:p>
  </w:footnote>
  <w:footnote w:id="4">
    <w:p w:rsidR="00A17F1A" w:rsidRPr="006035D3" w:rsidP="00A17F1A" w14:paraId="37EFF687" w14:textId="471823ED">
      <w:pPr>
        <w:pStyle w:val="FootnoteText"/>
      </w:pPr>
      <w:r w:rsidRPr="006035D3">
        <w:rPr>
          <w:rStyle w:val="FootnoteReference"/>
        </w:rPr>
        <w:footnoteRef/>
      </w:r>
      <w:r w:rsidRPr="006035D3">
        <w:t xml:space="preserve"> </w:t>
      </w:r>
      <w:r w:rsidRPr="006035D3">
        <w:rPr>
          <w:i/>
        </w:rPr>
        <w:t xml:space="preserve">See </w:t>
      </w:r>
      <w:r w:rsidRPr="00BF3A77">
        <w:rPr>
          <w:i/>
        </w:rPr>
        <w:t>Material to be Filed in Support of 202</w:t>
      </w:r>
      <w:r>
        <w:rPr>
          <w:i/>
        </w:rPr>
        <w:t>1</w:t>
      </w:r>
      <w:r w:rsidRPr="006035D3">
        <w:rPr>
          <w:i/>
        </w:rPr>
        <w:t xml:space="preserve"> Annual Access Tariff </w:t>
      </w:r>
      <w:r w:rsidRPr="00BF3A77">
        <w:rPr>
          <w:i/>
        </w:rPr>
        <w:t>Filings</w:t>
      </w:r>
      <w:r w:rsidRPr="006035D3">
        <w:t xml:space="preserve">, WC Docket No. </w:t>
      </w:r>
      <w:r w:rsidRPr="00BF3A77">
        <w:rPr>
          <w:iCs/>
        </w:rPr>
        <w:t>20-55</w:t>
      </w:r>
      <w:r w:rsidRPr="006035D3">
        <w:t xml:space="preserve">, Order, </w:t>
      </w:r>
      <w:r>
        <w:rPr>
          <w:iCs/>
        </w:rPr>
        <w:t>FCC 21-568</w:t>
      </w:r>
      <w:r w:rsidR="00EB6A40">
        <w:rPr>
          <w:iCs/>
        </w:rPr>
        <w:t>,</w:t>
      </w:r>
      <w:r w:rsidRPr="00EB6A40" w:rsidR="00EB6A40">
        <w:t xml:space="preserve"> </w:t>
      </w:r>
      <w:r w:rsidRPr="00EB6A40" w:rsidR="00EB6A40">
        <w:rPr>
          <w:iCs/>
        </w:rPr>
        <w:t xml:space="preserve">2021 WL </w:t>
      </w:r>
      <w:r w:rsidRPr="00AB1250" w:rsidR="00AB1250">
        <w:rPr>
          <w:iCs/>
        </w:rPr>
        <w:t>1997693</w:t>
      </w:r>
      <w:r w:rsidR="00CD555F">
        <w:rPr>
          <w:iCs/>
        </w:rPr>
        <w:t>,</w:t>
      </w:r>
      <w:r w:rsidRPr="003807D9">
        <w:rPr>
          <w:iCs/>
        </w:rPr>
        <w:t xml:space="preserve"> </w:t>
      </w:r>
      <w:r w:rsidR="00CD555F">
        <w:t xml:space="preserve">at </w:t>
      </w:r>
      <w:r w:rsidR="00E45CF2">
        <w:t>11</w:t>
      </w:r>
      <w:r w:rsidR="00CD555F">
        <w:t>, para</w:t>
      </w:r>
      <w:r w:rsidR="00E45CF2">
        <w:t>s</w:t>
      </w:r>
      <w:r w:rsidR="00CD555F">
        <w:t xml:space="preserve">. </w:t>
      </w:r>
      <w:r w:rsidR="00E45CF2">
        <w:t>40-41</w:t>
      </w:r>
      <w:r w:rsidR="00CD555F">
        <w:t xml:space="preserve"> </w:t>
      </w:r>
      <w:r w:rsidRPr="003807D9">
        <w:rPr>
          <w:iCs/>
        </w:rPr>
        <w:t xml:space="preserve">(PPD </w:t>
      </w:r>
      <w:r>
        <w:rPr>
          <w:iCs/>
        </w:rPr>
        <w:t xml:space="preserve">May 14, </w:t>
      </w:r>
      <w:r w:rsidRPr="003807D9">
        <w:rPr>
          <w:iCs/>
        </w:rPr>
        <w:t>202</w:t>
      </w:r>
      <w:r>
        <w:rPr>
          <w:iCs/>
        </w:rPr>
        <w:t>1</w:t>
      </w:r>
      <w:r w:rsidRPr="003807D9">
        <w:rPr>
          <w:iCs/>
        </w:rPr>
        <w:t>) (</w:t>
      </w:r>
      <w:r w:rsidRPr="003807D9">
        <w:rPr>
          <w:i/>
        </w:rPr>
        <w:t>202</w:t>
      </w:r>
      <w:r>
        <w:rPr>
          <w:i/>
        </w:rPr>
        <w:t>1</w:t>
      </w:r>
      <w:r w:rsidRPr="006035D3">
        <w:rPr>
          <w:i/>
        </w:rPr>
        <w:t xml:space="preserve"> Tariff Review Plan Order</w:t>
      </w:r>
      <w:r w:rsidRPr="006035D3">
        <w:t>).</w:t>
      </w:r>
      <w:r w:rsidRPr="003807D9">
        <w:rPr>
          <w:i/>
        </w:rPr>
        <w:t xml:space="preserve"> </w:t>
      </w:r>
    </w:p>
  </w:footnote>
  <w:footnote w:id="5">
    <w:p w:rsidR="00A17F1A" w:rsidRPr="006035D3" w:rsidP="00A17F1A" w14:paraId="0BD16433" w14:textId="6A9D29E2">
      <w:pPr>
        <w:pStyle w:val="FootnoteText"/>
      </w:pPr>
      <w:r w:rsidRPr="006035D3">
        <w:rPr>
          <w:rStyle w:val="FootnoteReference"/>
        </w:rPr>
        <w:footnoteRef/>
      </w:r>
      <w:r w:rsidRPr="006035D3">
        <w:t xml:space="preserve"> </w:t>
      </w:r>
      <w:bookmarkStart w:id="3" w:name="_Hlk17995250"/>
      <w:r w:rsidRPr="006035D3">
        <w:rPr>
          <w:i/>
        </w:rPr>
        <w:t>Id</w:t>
      </w:r>
      <w:r w:rsidRPr="006035D3">
        <w:t>.</w:t>
      </w:r>
      <w:bookmarkEnd w:id="3"/>
      <w:r w:rsidRPr="003807D9">
        <w:t xml:space="preserve"> </w:t>
      </w:r>
      <w:r w:rsidR="00CD555F">
        <w:t xml:space="preserve">at </w:t>
      </w:r>
      <w:r w:rsidR="00E45CF2">
        <w:t>11</w:t>
      </w:r>
      <w:r w:rsidR="00CD555F">
        <w:t xml:space="preserve">, para. </w:t>
      </w:r>
      <w:r w:rsidR="00E45CF2">
        <w:t>40</w:t>
      </w:r>
      <w:r w:rsidR="00CD555F">
        <w:t xml:space="preserve">. </w:t>
      </w:r>
    </w:p>
  </w:footnote>
  <w:footnote w:id="6">
    <w:p w:rsidR="00A17F1A" w:rsidRPr="003807D9" w:rsidP="00A17F1A" w14:paraId="7AFDB31E" w14:textId="73B86E68">
      <w:pPr>
        <w:pStyle w:val="FootnoteText"/>
      </w:pPr>
      <w:r w:rsidRPr="003807D9">
        <w:rPr>
          <w:rStyle w:val="FootnoteReference"/>
        </w:rPr>
        <w:footnoteRef/>
      </w:r>
      <w:r w:rsidRPr="003807D9">
        <w:t xml:space="preserve"> </w:t>
      </w:r>
      <w:r w:rsidRPr="00BF3A77">
        <w:rPr>
          <w:i/>
        </w:rPr>
        <w:t>Id</w:t>
      </w:r>
      <w:r w:rsidRPr="00706B71" w:rsidR="00706B71">
        <w:rPr>
          <w:szCs w:val="22"/>
        </w:rPr>
        <w:t>.;</w:t>
      </w:r>
      <w:r w:rsidR="00706B71">
        <w:rPr>
          <w:szCs w:val="22"/>
        </w:rPr>
        <w:t xml:space="preserve"> </w:t>
      </w:r>
      <w:r w:rsidR="00706B71">
        <w:rPr>
          <w:i/>
          <w:iCs/>
          <w:szCs w:val="22"/>
        </w:rPr>
        <w:t>s</w:t>
      </w:r>
      <w:r w:rsidR="001B681C">
        <w:rPr>
          <w:i/>
          <w:iCs/>
          <w:szCs w:val="22"/>
        </w:rPr>
        <w:t xml:space="preserve">ee </w:t>
      </w:r>
      <w:r w:rsidRPr="001B681C" w:rsidR="001B681C">
        <w:rPr>
          <w:szCs w:val="22"/>
        </w:rPr>
        <w:t>47 CFR § 1.1105</w:t>
      </w:r>
      <w:r w:rsidR="001B681C">
        <w:rPr>
          <w:szCs w:val="22"/>
        </w:rPr>
        <w:t xml:space="preserve">.  </w:t>
      </w:r>
      <w:r w:rsidRPr="001B681C" w:rsidR="001B681C">
        <w:rPr>
          <w:szCs w:val="22"/>
        </w:rPr>
        <w:t xml:space="preserve">The applicable tariff filing fee is subject to change, based on implementation of the Commission’s order related to such fees.  If the applicable tariff filing fee changes, the </w:t>
      </w:r>
      <w:r w:rsidRPr="00D5313A" w:rsidR="001B681C">
        <w:rPr>
          <w:i/>
          <w:iCs/>
          <w:szCs w:val="22"/>
        </w:rPr>
        <w:t>de minimus</w:t>
      </w:r>
      <w:r w:rsidRPr="001B681C" w:rsidR="001B681C">
        <w:rPr>
          <w:szCs w:val="22"/>
        </w:rPr>
        <w:t xml:space="preserve"> threshold will also change to equal the amount of the revised applicable tariff filing fee.  </w:t>
      </w:r>
      <w:r w:rsidRPr="00D5313A" w:rsidR="001B681C">
        <w:rPr>
          <w:i/>
          <w:iCs/>
          <w:szCs w:val="22"/>
        </w:rPr>
        <w:t>See</w:t>
      </w:r>
      <w:r w:rsidRPr="001B681C" w:rsidR="001B681C">
        <w:rPr>
          <w:szCs w:val="22"/>
        </w:rPr>
        <w:t xml:space="preserve"> </w:t>
      </w:r>
      <w:r w:rsidRPr="00D5313A" w:rsidR="001B681C">
        <w:rPr>
          <w:i/>
          <w:iCs/>
          <w:szCs w:val="22"/>
        </w:rPr>
        <w:t>Amendment of the Schedule of Application Fees Set Forth in Sections 1.1102 through 1.1109 of the Commission’s Rules</w:t>
      </w:r>
      <w:r w:rsidRPr="001B681C" w:rsidR="001B681C">
        <w:rPr>
          <w:szCs w:val="22"/>
        </w:rPr>
        <w:t xml:space="preserve">, MD Docket No. 20-270, Report and Order, 35 FCC Rcd 15089, 15178, Appx. B (2020); </w:t>
      </w:r>
      <w:r w:rsidRPr="00D5313A" w:rsidR="001B681C">
        <w:rPr>
          <w:i/>
          <w:iCs/>
          <w:szCs w:val="22"/>
        </w:rPr>
        <w:t>Office of Managing Director Announces Effective Dat</w:t>
      </w:r>
      <w:r w:rsidR="008A5AE9">
        <w:rPr>
          <w:i/>
          <w:iCs/>
          <w:szCs w:val="22"/>
        </w:rPr>
        <w:t>e</w:t>
      </w:r>
      <w:r w:rsidRPr="00D5313A" w:rsidR="001B681C">
        <w:rPr>
          <w:i/>
          <w:iCs/>
          <w:szCs w:val="22"/>
        </w:rPr>
        <w:t xml:space="preserve"> of FY 2021 Application Fees Order,</w:t>
      </w:r>
      <w:r w:rsidRPr="001B681C" w:rsidR="001B681C">
        <w:rPr>
          <w:szCs w:val="22"/>
        </w:rPr>
        <w:t xml:space="preserve"> Public Notice, DA 21-442 (OMD Apr. 19, 2021)</w:t>
      </w:r>
      <w:r w:rsidR="00E2652A">
        <w:rPr>
          <w:szCs w:val="22"/>
        </w:rPr>
        <w:t>.</w:t>
      </w:r>
    </w:p>
  </w:footnote>
  <w:footnote w:id="7">
    <w:p w:rsidR="00A17F1A" w:rsidRPr="006035D3" w:rsidP="00A17F1A" w14:paraId="71CD87BF" w14:textId="77777777">
      <w:pPr>
        <w:pStyle w:val="FootnoteText"/>
      </w:pPr>
      <w:r w:rsidRPr="006035D3">
        <w:rPr>
          <w:rStyle w:val="FootnoteReference"/>
        </w:rPr>
        <w:footnoteRef/>
      </w:r>
      <w:r w:rsidRPr="006035D3">
        <w:t xml:space="preserve"> </w:t>
      </w:r>
      <w:r w:rsidRPr="006035D3">
        <w:rPr>
          <w:i/>
        </w:rPr>
        <w:t xml:space="preserve">See </w:t>
      </w:r>
      <w:r w:rsidRPr="006035D3">
        <w:t>47 CFR § 61.50(c).</w:t>
      </w:r>
    </w:p>
  </w:footnote>
  <w:footnote w:id="8">
    <w:p w:rsidR="007B2A9E" w:rsidRPr="00ED54C0" w:rsidP="007B2A9E" w14:paraId="1C4F295C" w14:textId="77777777">
      <w:pPr>
        <w:spacing w:after="120"/>
        <w:rPr>
          <w:sz w:val="20"/>
        </w:rPr>
      </w:pPr>
      <w:r w:rsidRPr="00BF3A77">
        <w:rPr>
          <w:rStyle w:val="FootnoteReference"/>
          <w:sz w:val="20"/>
        </w:rPr>
        <w:footnoteRef/>
      </w:r>
      <w:r w:rsidRPr="00BF3A77">
        <w:rPr>
          <w:sz w:val="20"/>
        </w:rPr>
        <w:t xml:space="preserve"> </w:t>
      </w:r>
      <w:r w:rsidRPr="00BF3A77">
        <w:rPr>
          <w:i/>
          <w:sz w:val="20"/>
        </w:rPr>
        <w:t xml:space="preserve">See </w:t>
      </w:r>
      <w:r w:rsidRPr="00273CE0">
        <w:rPr>
          <w:i/>
          <w:sz w:val="20"/>
        </w:rPr>
        <w:t>202</w:t>
      </w:r>
      <w:r>
        <w:rPr>
          <w:i/>
          <w:sz w:val="20"/>
        </w:rPr>
        <w:t>1</w:t>
      </w:r>
      <w:r w:rsidRPr="00273CE0">
        <w:rPr>
          <w:i/>
          <w:sz w:val="20"/>
        </w:rPr>
        <w:t xml:space="preserve"> Tariff Review Plan Order</w:t>
      </w:r>
      <w:r w:rsidRPr="003807D9">
        <w:rPr>
          <w:iCs/>
          <w:sz w:val="20"/>
        </w:rPr>
        <w:t xml:space="preserve">, </w:t>
      </w:r>
      <w:r>
        <w:rPr>
          <w:iCs/>
          <w:sz w:val="20"/>
        </w:rPr>
        <w:t xml:space="preserve">at 11, para. 41. </w:t>
      </w:r>
      <w:r w:rsidRPr="00932D36">
        <w:rPr>
          <w:sz w:val="20"/>
        </w:rPr>
        <w:t>Electing carriers must complete and file one of two Excel workbooks.  The “TY 2021-2022 Individual Study Area BDS Midcourse TRP” workbook is for carriers that establish a Price Cap Index (PCI), Actual Price Index (API), Service Band Indices (SBIs), and upper SBI limits separately for each study area.  The “TY 2021-2022 Holding Company BDS Midcourse TRP” workbook is for carriers that establish a PCI, API, SBIs and upper SBI limits at the holding company level.</w:t>
      </w:r>
      <w:r>
        <w:rPr>
          <w:sz w:val="20"/>
        </w:rPr>
        <w:t xml:space="preserve"> </w:t>
      </w:r>
    </w:p>
    <w:p w:rsidR="007B2A9E" w:rsidRPr="003807D9" w:rsidP="007B2A9E" w14:paraId="23F27E4C" w14:textId="77777777">
      <w:pPr>
        <w:pStyle w:val="FootnoteText"/>
        <w:tabs>
          <w:tab w:val="center" w:pos="4680"/>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28D62E71" w14:textId="51515199">
    <w:pPr>
      <w:tabs>
        <w:tab w:val="center" w:pos="4680"/>
        <w:tab w:val="right" w:pos="9360"/>
      </w:tabs>
    </w:pPr>
    <w:r>
      <w:rPr>
        <w:b/>
      </w:rPr>
      <w:tab/>
      <w:t>Federal Communications Commission</w:t>
    </w:r>
    <w:r>
      <w:rPr>
        <w:b/>
      </w:rPr>
      <w:tab/>
    </w:r>
    <w:r w:rsidR="00177954">
      <w:rPr>
        <w:b/>
      </w:rPr>
      <w:t>DA 21-1091</w:t>
    </w:r>
  </w:p>
  <w:p w:rsidR="00530944" w14:paraId="3BC05FCC" w14:textId="2126910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30944" w14:paraId="5E27D8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27D66BCB" w14:textId="426FABF3">
    <w:pPr>
      <w:pStyle w:val="Header"/>
    </w:pPr>
    <w:r>
      <w:rPr>
        <w:noProof/>
        <w:snapToGrid/>
      </w:rPr>
      <w:drawing>
        <wp:inline distT="0" distB="0" distL="0" distR="0">
          <wp:extent cx="5947410" cy="142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7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1A"/>
    <w:rsid w:val="000033D8"/>
    <w:rsid w:val="00017480"/>
    <w:rsid w:val="000830BE"/>
    <w:rsid w:val="00103B62"/>
    <w:rsid w:val="00177954"/>
    <w:rsid w:val="001843B2"/>
    <w:rsid w:val="001B681C"/>
    <w:rsid w:val="00273CE0"/>
    <w:rsid w:val="00301341"/>
    <w:rsid w:val="00307178"/>
    <w:rsid w:val="0032331F"/>
    <w:rsid w:val="00351328"/>
    <w:rsid w:val="003807D9"/>
    <w:rsid w:val="00386997"/>
    <w:rsid w:val="00390784"/>
    <w:rsid w:val="00391995"/>
    <w:rsid w:val="0039499B"/>
    <w:rsid w:val="00420DDA"/>
    <w:rsid w:val="004451BF"/>
    <w:rsid w:val="00446E73"/>
    <w:rsid w:val="004C151B"/>
    <w:rsid w:val="00530944"/>
    <w:rsid w:val="005E7209"/>
    <w:rsid w:val="006035D3"/>
    <w:rsid w:val="006413F0"/>
    <w:rsid w:val="006D225C"/>
    <w:rsid w:val="00706B71"/>
    <w:rsid w:val="0077160A"/>
    <w:rsid w:val="007B2A9E"/>
    <w:rsid w:val="00802EE5"/>
    <w:rsid w:val="00836D1F"/>
    <w:rsid w:val="008A5AE9"/>
    <w:rsid w:val="008A79D7"/>
    <w:rsid w:val="008E6E43"/>
    <w:rsid w:val="00932D36"/>
    <w:rsid w:val="0096287C"/>
    <w:rsid w:val="009B6632"/>
    <w:rsid w:val="009C5AB0"/>
    <w:rsid w:val="00A1715B"/>
    <w:rsid w:val="00A17F1A"/>
    <w:rsid w:val="00A22557"/>
    <w:rsid w:val="00A85F6E"/>
    <w:rsid w:val="00A911D2"/>
    <w:rsid w:val="00AB1250"/>
    <w:rsid w:val="00AC0F1D"/>
    <w:rsid w:val="00B14BFB"/>
    <w:rsid w:val="00B269BE"/>
    <w:rsid w:val="00B8498E"/>
    <w:rsid w:val="00B87DF2"/>
    <w:rsid w:val="00BF3A77"/>
    <w:rsid w:val="00C53618"/>
    <w:rsid w:val="00C95780"/>
    <w:rsid w:val="00CC19E9"/>
    <w:rsid w:val="00CD555F"/>
    <w:rsid w:val="00D5313A"/>
    <w:rsid w:val="00D742F1"/>
    <w:rsid w:val="00D92E8E"/>
    <w:rsid w:val="00DA2B3B"/>
    <w:rsid w:val="00DA52CE"/>
    <w:rsid w:val="00DC2B32"/>
    <w:rsid w:val="00DC68BC"/>
    <w:rsid w:val="00E2652A"/>
    <w:rsid w:val="00E45CF2"/>
    <w:rsid w:val="00E906FE"/>
    <w:rsid w:val="00EB6A40"/>
    <w:rsid w:val="00ED54C0"/>
    <w:rsid w:val="00EE17A2"/>
    <w:rsid w:val="00F43BD7"/>
    <w:rsid w:val="00F7779A"/>
    <w:rsid w:val="00FB410A"/>
    <w:rsid w:val="00FC3AAC"/>
    <w:rsid w:val="00FF6D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CDCA2A"/>
  <w15:chartTrackingRefBased/>
  <w15:docId w15:val="{70056C41-89DC-48E3-B34B-909DD6E7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A17F1A"/>
  </w:style>
  <w:style w:type="character" w:styleId="FollowedHyperlink">
    <w:name w:val="FollowedHyperlink"/>
    <w:basedOn w:val="DefaultParagraphFont"/>
    <w:uiPriority w:val="99"/>
    <w:semiHidden/>
    <w:unhideWhenUsed/>
    <w:rsid w:val="0096287C"/>
    <w:rPr>
      <w:color w:val="954F72" w:themeColor="followedHyperlink"/>
      <w:u w:val="single"/>
    </w:rPr>
  </w:style>
  <w:style w:type="paragraph" w:styleId="BalloonText">
    <w:name w:val="Balloon Text"/>
    <w:basedOn w:val="Normal"/>
    <w:link w:val="BalloonTextChar"/>
    <w:uiPriority w:val="99"/>
    <w:semiHidden/>
    <w:unhideWhenUsed/>
    <w:rsid w:val="0018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3B2"/>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2331F"/>
    <w:rPr>
      <w:sz w:val="16"/>
      <w:szCs w:val="16"/>
    </w:rPr>
  </w:style>
  <w:style w:type="paragraph" w:styleId="CommentText">
    <w:name w:val="annotation text"/>
    <w:basedOn w:val="Normal"/>
    <w:link w:val="CommentTextChar"/>
    <w:uiPriority w:val="99"/>
    <w:semiHidden/>
    <w:unhideWhenUsed/>
    <w:rsid w:val="0032331F"/>
    <w:rPr>
      <w:sz w:val="20"/>
    </w:rPr>
  </w:style>
  <w:style w:type="character" w:customStyle="1" w:styleId="CommentTextChar">
    <w:name w:val="Comment Text Char"/>
    <w:basedOn w:val="DefaultParagraphFont"/>
    <w:link w:val="CommentText"/>
    <w:uiPriority w:val="99"/>
    <w:semiHidden/>
    <w:rsid w:val="0032331F"/>
    <w:rPr>
      <w:snapToGrid w:val="0"/>
      <w:kern w:val="28"/>
    </w:rPr>
  </w:style>
  <w:style w:type="paragraph" w:styleId="CommentSubject">
    <w:name w:val="annotation subject"/>
    <w:basedOn w:val="CommentText"/>
    <w:next w:val="CommentText"/>
    <w:link w:val="CommentSubjectChar"/>
    <w:uiPriority w:val="99"/>
    <w:semiHidden/>
    <w:unhideWhenUsed/>
    <w:rsid w:val="0032331F"/>
    <w:rPr>
      <w:b/>
      <w:bCs/>
    </w:rPr>
  </w:style>
  <w:style w:type="character" w:customStyle="1" w:styleId="CommentSubjectChar">
    <w:name w:val="Comment Subject Char"/>
    <w:basedOn w:val="CommentTextChar"/>
    <w:link w:val="CommentSubject"/>
    <w:uiPriority w:val="99"/>
    <w:semiHidden/>
    <w:rsid w:val="0032331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tariff-review-plan-incentive-regulation-rate-return-carriers" TargetMode="External" /><Relationship Id="rId6" Type="http://schemas.openxmlformats.org/officeDocument/2006/relationships/hyperlink" Target="mailto:Robin.Cohn@fcc.gov" TargetMode="External" /><Relationship Id="rId7" Type="http://schemas.openxmlformats.org/officeDocument/2006/relationships/hyperlink" Target="mailto:Richard.Kwiatkowski@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