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140750" w:rsidRPr="00E80030" w:rsidP="00140750" w14:paraId="2310D2D0" w14:textId="082FC535">
            <w:pPr>
              <w:tabs>
                <w:tab w:val="center" w:pos="4680"/>
              </w:tabs>
              <w:suppressAutoHyphens/>
              <w:rPr>
                <w:b/>
                <w:bCs/>
                <w:spacing w:val="-2"/>
              </w:rPr>
            </w:pPr>
            <w:r>
              <w:rPr>
                <w:b/>
                <w:bCs/>
                <w:spacing w:val="-2"/>
              </w:rPr>
              <w:t>Katahdin Communications, Inc.</w:t>
            </w:r>
          </w:p>
          <w:p w:rsidR="00140750" w:rsidRPr="00E80030" w:rsidP="00140750" w14:paraId="57743B9F" w14:textId="77777777">
            <w:pPr>
              <w:tabs>
                <w:tab w:val="center" w:pos="4680"/>
              </w:tabs>
              <w:suppressAutoHyphens/>
              <w:rPr>
                <w:spacing w:val="-2"/>
              </w:rPr>
            </w:pPr>
          </w:p>
          <w:p w:rsidR="00140750" w:rsidRPr="00140750" w:rsidP="00140750" w14:paraId="2120163C" w14:textId="63384E7E">
            <w:pPr>
              <w:tabs>
                <w:tab w:val="center" w:pos="4680"/>
              </w:tabs>
              <w:suppressAutoHyphens/>
              <w:rPr>
                <w:spacing w:val="-2"/>
              </w:rPr>
            </w:pPr>
            <w:r w:rsidRPr="00140750">
              <w:rPr>
                <w:spacing w:val="-2"/>
              </w:rPr>
              <w:t xml:space="preserve">For </w:t>
            </w:r>
            <w:r w:rsidR="00596F9E">
              <w:rPr>
                <w:spacing w:val="-2"/>
              </w:rPr>
              <w:t>License to Cover</w:t>
            </w:r>
          </w:p>
          <w:p w:rsidR="00140750" w:rsidRPr="00140750" w:rsidP="00140750" w14:paraId="6701BC9C" w14:textId="33379EE5">
            <w:pPr>
              <w:tabs>
                <w:tab w:val="center" w:pos="4680"/>
              </w:tabs>
              <w:suppressAutoHyphens/>
              <w:rPr>
                <w:spacing w:val="-2"/>
              </w:rPr>
            </w:pPr>
            <w:r w:rsidRPr="00140750">
              <w:rPr>
                <w:spacing w:val="-2"/>
              </w:rPr>
              <w:t xml:space="preserve">FM Translator Station </w:t>
            </w:r>
            <w:r w:rsidR="001240CA">
              <w:rPr>
                <w:spacing w:val="-2"/>
              </w:rPr>
              <w:t>W273DJ</w:t>
            </w:r>
          </w:p>
          <w:p w:rsidR="004C2EE3" w:rsidRPr="007115F7" w:rsidP="00140750" w14:paraId="310B4D25" w14:textId="312A1A54">
            <w:pPr>
              <w:tabs>
                <w:tab w:val="center" w:pos="4680"/>
              </w:tabs>
              <w:suppressAutoHyphens/>
              <w:rPr>
                <w:spacing w:val="-2"/>
              </w:rPr>
            </w:pPr>
            <w:r>
              <w:rPr>
                <w:spacing w:val="-2"/>
              </w:rPr>
              <w:t>Millinocket, Maine</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4EFA1C49">
            <w:pPr>
              <w:pStyle w:val="TOAHeading"/>
              <w:tabs>
                <w:tab w:val="center" w:pos="4680"/>
              </w:tabs>
              <w:rPr>
                <w:spacing w:val="-2"/>
              </w:rPr>
            </w:pPr>
            <w:r w:rsidRPr="00140750">
              <w:rPr>
                <w:spacing w:val="-2"/>
              </w:rPr>
              <w:t xml:space="preserve">Facility ID No. </w:t>
            </w:r>
            <w:r w:rsidR="00441308">
              <w:rPr>
                <w:spacing w:val="-2"/>
              </w:rPr>
              <w:t>20</w:t>
            </w:r>
            <w:r w:rsidR="001240CA">
              <w:rPr>
                <w:spacing w:val="-2"/>
              </w:rPr>
              <w:t>0276</w:t>
            </w:r>
          </w:p>
          <w:p w:rsidR="00140750" w:rsidRPr="00140750" w:rsidP="00140750" w14:paraId="31F6B7E1" w14:textId="35C6087B">
            <w:pPr>
              <w:pStyle w:val="TOAHeading"/>
              <w:tabs>
                <w:tab w:val="center" w:pos="4680"/>
              </w:tabs>
              <w:rPr>
                <w:spacing w:val="-2"/>
              </w:rPr>
            </w:pPr>
            <w:r w:rsidRPr="00140750">
              <w:rPr>
                <w:spacing w:val="-2"/>
              </w:rPr>
              <w:t xml:space="preserve">NAL/Acct. No. </w:t>
            </w:r>
            <w:bookmarkStart w:id="0" w:name="_Hlk65044492"/>
            <w:r w:rsidRPr="00140750">
              <w:rPr>
                <w:spacing w:val="-2"/>
              </w:rPr>
              <w:t>MB-202</w:t>
            </w:r>
            <w:r w:rsidR="00250597">
              <w:rPr>
                <w:spacing w:val="-2"/>
              </w:rPr>
              <w:t>1</w:t>
            </w:r>
            <w:r w:rsidRPr="00140750">
              <w:rPr>
                <w:spacing w:val="-2"/>
              </w:rPr>
              <w:t>414100</w:t>
            </w:r>
            <w:bookmarkEnd w:id="0"/>
            <w:r w:rsidR="00923E35">
              <w:rPr>
                <w:spacing w:val="-2"/>
              </w:rPr>
              <w:t>43</w:t>
            </w:r>
          </w:p>
          <w:p w:rsidR="00140750" w:rsidRPr="00140750" w:rsidP="00140750" w14:paraId="60F8F9FE" w14:textId="7D16265A">
            <w:pPr>
              <w:pStyle w:val="TOAHeading"/>
              <w:tabs>
                <w:tab w:val="center" w:pos="4680"/>
              </w:tabs>
              <w:rPr>
                <w:spacing w:val="-2"/>
              </w:rPr>
            </w:pPr>
            <w:r w:rsidRPr="00140750">
              <w:rPr>
                <w:spacing w:val="-2"/>
              </w:rPr>
              <w:t>FRN:</w:t>
            </w:r>
            <w:r w:rsidR="002172BD">
              <w:rPr>
                <w:spacing w:val="-2"/>
              </w:rPr>
              <w:t xml:space="preserve"> </w:t>
            </w:r>
            <w:r w:rsidR="001240CA">
              <w:rPr>
                <w:spacing w:val="-2"/>
              </w:rPr>
              <w:t>000014085971</w:t>
            </w:r>
          </w:p>
          <w:p w:rsidR="004C2EE3" w:rsidP="00140750" w14:paraId="0C593CF4" w14:textId="14C180FE">
            <w:pPr>
              <w:tabs>
                <w:tab w:val="center" w:pos="4680"/>
              </w:tabs>
              <w:suppressAutoHyphens/>
              <w:rPr>
                <w:spacing w:val="-2"/>
              </w:rPr>
            </w:pPr>
            <w:r w:rsidRPr="00140750">
              <w:rPr>
                <w:spacing w:val="-2"/>
              </w:rPr>
              <w:t xml:space="preserve">File No. </w:t>
            </w:r>
            <w:r w:rsidR="00596F9E">
              <w:rPr>
                <w:spacing w:val="-2"/>
              </w:rPr>
              <w:t>0000</w:t>
            </w:r>
            <w:r w:rsidR="001240CA">
              <w:rPr>
                <w:spacing w:val="-2"/>
              </w:rPr>
              <w:t>142968</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0232D5C3">
      <w:pPr>
        <w:tabs>
          <w:tab w:val="left" w:pos="720"/>
          <w:tab w:val="right" w:pos="9360"/>
        </w:tabs>
        <w:suppressAutoHyphens/>
        <w:spacing w:line="227" w:lineRule="auto"/>
        <w:rPr>
          <w:spacing w:val="-2"/>
        </w:rPr>
      </w:pPr>
      <w:r w:rsidRPr="003F17E2">
        <w:rPr>
          <w:b/>
          <w:spacing w:val="-2"/>
        </w:rPr>
        <w:t xml:space="preserve">Adopted:  </w:t>
      </w:r>
      <w:r w:rsidR="002C481A">
        <w:rPr>
          <w:b/>
          <w:spacing w:val="-2"/>
        </w:rPr>
        <w:t>September 2,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2C481A">
        <w:rPr>
          <w:b/>
          <w:spacing w:val="-2"/>
        </w:rPr>
        <w:t>September 2,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785AB459">
      <w:pPr>
        <w:pStyle w:val="ParaNum"/>
        <w:rPr>
          <w:szCs w:val="22"/>
        </w:rPr>
      </w:pPr>
      <w:r>
        <w:t xml:space="preserve">The Media Bureau (Bureau) has before it the </w:t>
      </w:r>
      <w:r w:rsidR="00596F9E">
        <w:t xml:space="preserve">above-captioned </w:t>
      </w:r>
      <w:r>
        <w:t>application (Application)</w:t>
      </w:r>
      <w:r w:rsidR="00596F9E">
        <w:t xml:space="preserve"> of</w:t>
      </w:r>
      <w:r>
        <w:t xml:space="preserve"> </w:t>
      </w:r>
      <w:bookmarkStart w:id="1" w:name="_Hlk81474084"/>
      <w:r w:rsidR="001240CA">
        <w:t>Katahdin Communications Inc.</w:t>
      </w:r>
      <w:bookmarkEnd w:id="1"/>
      <w:r w:rsidR="000F6468">
        <w:t xml:space="preserve"> </w:t>
      </w:r>
      <w:r w:rsidRPr="00DB10EE" w:rsidR="00DB10EE">
        <w:t>(</w:t>
      </w:r>
      <w:r w:rsidR="00596F9E">
        <w:t>Permittee</w:t>
      </w:r>
      <w:r w:rsidRPr="00DB10EE" w:rsidR="00DB10EE">
        <w:t>)</w:t>
      </w:r>
      <w:r w:rsidR="00221720">
        <w:t>,</w:t>
      </w:r>
      <w:r w:rsidRPr="00DB10EE" w:rsidR="00DB10EE">
        <w:t xml:space="preserve"> for </w:t>
      </w:r>
      <w:r w:rsidR="00596F9E">
        <w:t>a license to cover</w:t>
      </w:r>
      <w:r w:rsidRPr="00DB10EE" w:rsidR="00DB10EE">
        <w:t xml:space="preserve"> FM translator station </w:t>
      </w:r>
      <w:r w:rsidR="001240CA">
        <w:t>W273DJ, Millinocket, Maine</w:t>
      </w:r>
      <w:r w:rsidRPr="00DB10EE" w:rsidR="00DB10EE">
        <w:t xml:space="preserve"> (</w:t>
      </w:r>
      <w:r w:rsidR="006255CA">
        <w:t>Translator</w:t>
      </w:r>
      <w:r w:rsidRPr="00DB10EE" w:rsidR="00DB10EE">
        <w:t xml:space="preserve">).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rsidR="00596F9E">
        <w:t xml:space="preserve">we find that the Permittee apparently willfully violated </w:t>
      </w:r>
      <w:r w:rsidR="006255CA">
        <w:t>s</w:t>
      </w:r>
      <w:r w:rsidR="00596F9E">
        <w:t>ection 73.3598</w:t>
      </w:r>
      <w:r>
        <w:rPr>
          <w:rStyle w:val="FootnoteReference"/>
          <w:color w:val="000000"/>
        </w:rPr>
        <w:footnoteReference w:id="4"/>
      </w:r>
      <w:r w:rsidR="00596F9E">
        <w:t xml:space="preserve"> of the Rules by failing to timely file a </w:t>
      </w:r>
      <w:r w:rsidR="00A27808">
        <w:t>l</w:t>
      </w:r>
      <w:r w:rsidR="00596F9E">
        <w:t xml:space="preserve">icense to </w:t>
      </w:r>
      <w:r w:rsidR="00A27808">
        <w:t>c</w:t>
      </w:r>
      <w:r w:rsidR="00596F9E">
        <w:t xml:space="preserve">over </w:t>
      </w:r>
      <w:r w:rsidR="00A27808">
        <w:t>a</w:t>
      </w:r>
      <w:r w:rsidR="00596F9E">
        <w:t>pplication, and willfully and repeatedly violated section 301 of the Act,</w:t>
      </w:r>
      <w:r>
        <w:rPr>
          <w:rStyle w:val="FootnoteReference"/>
          <w:color w:val="000000"/>
        </w:rPr>
        <w:footnoteReference w:id="5"/>
      </w:r>
      <w:r w:rsidR="00596F9E">
        <w:t xml:space="preserve"> by engaging in unauthorized operation of the Translator after </w:t>
      </w:r>
      <w:r w:rsidR="006255CA">
        <w:t>its</w:t>
      </w:r>
      <w:r w:rsidR="00596F9E">
        <w:t xml:space="preserve"> construction permit had expired.  Based upon our review of the facts and circumstances before us, we conclude that the Permittee </w:t>
      </w:r>
      <w:r w:rsidR="00C27060">
        <w:t xml:space="preserve">is </w:t>
      </w:r>
      <w:r w:rsidR="00596F9E">
        <w:t xml:space="preserve">apparently liable for a monetary forfeiture in the amount of </w:t>
      </w:r>
      <w:r w:rsidR="00C27060">
        <w:t>three</w:t>
      </w:r>
      <w:r w:rsidR="00596F9E">
        <w:t xml:space="preserve"> thousand </w:t>
      </w:r>
      <w:r w:rsidR="00C27060">
        <w:t>five hundred d</w:t>
      </w:r>
      <w:r w:rsidR="00596F9E">
        <w:t>ollars ($3,500)</w:t>
      </w:r>
      <w:r w:rsidR="00596F9E">
        <w:rPr>
          <w:szCs w:val="22"/>
        </w:rPr>
        <w:t>.</w:t>
      </w:r>
    </w:p>
    <w:p w:rsidR="00140750" w:rsidRPr="00146D8A" w:rsidP="00140750" w14:paraId="3DBF3911" w14:textId="77777777">
      <w:pPr>
        <w:pStyle w:val="Heading1"/>
      </w:pPr>
      <w:r w:rsidRPr="00947B4D">
        <w:t>BACKGROUN</w:t>
      </w:r>
      <w:r>
        <w:t>D</w:t>
      </w:r>
    </w:p>
    <w:p w:rsidR="00140750" w:rsidRPr="00146D8A" w:rsidP="00E32F73" w14:paraId="6BFD0F40" w14:textId="2913058D">
      <w:pPr>
        <w:pStyle w:val="ParaNum"/>
        <w:widowControl/>
      </w:pPr>
      <w:r>
        <w:t xml:space="preserve">The Bureau issued Permittee a construction permit for the Translator on January </w:t>
      </w:r>
      <w:r w:rsidR="001240CA">
        <w:t>8</w:t>
      </w:r>
      <w:r w:rsidR="00441308">
        <w:t>,</w:t>
      </w:r>
      <w:r>
        <w:t xml:space="preserve"> 2018, with an expiration date of January </w:t>
      </w:r>
      <w:r w:rsidR="001240CA">
        <w:t>8</w:t>
      </w:r>
      <w:r w:rsidR="00C63C85">
        <w:t xml:space="preserve">, </w:t>
      </w:r>
      <w:r>
        <w:t>2021</w:t>
      </w:r>
      <w:r w:rsidR="00F94259">
        <w:t xml:space="preserve"> (Permit)</w:t>
      </w:r>
      <w:r>
        <w:t xml:space="preserve">. </w:t>
      </w:r>
      <w:r w:rsidR="00A41060">
        <w:t xml:space="preserve"> </w:t>
      </w:r>
      <w:r w:rsidR="00275A56">
        <w:t>However, Permittee</w:t>
      </w:r>
      <w:r w:rsidR="00C27060">
        <w:t xml:space="preserve"> </w:t>
      </w:r>
      <w:r w:rsidR="00D60D91">
        <w:t>did not</w:t>
      </w:r>
      <w:r w:rsidR="00275A56">
        <w:t xml:space="preserve"> file a covering license application by </w:t>
      </w:r>
      <w:r w:rsidR="00441308">
        <w:t xml:space="preserve">January </w:t>
      </w:r>
      <w:r w:rsidR="001240CA">
        <w:t>8</w:t>
      </w:r>
      <w:r w:rsidR="00275A56">
        <w:t>, 2021, and the</w:t>
      </w:r>
      <w:r w:rsidR="00A41060">
        <w:t xml:space="preserve"> Permit expired on its own terms that day</w:t>
      </w:r>
      <w:r w:rsidR="00275A56">
        <w:t xml:space="preserve"> </w:t>
      </w:r>
      <w:r w:rsidR="00AF350B">
        <w:t>pursuant</w:t>
      </w:r>
      <w:r w:rsidR="00275A56">
        <w:t xml:space="preserve"> to section 73.3598(e) of the R</w:t>
      </w:r>
      <w:r w:rsidR="00F92630">
        <w:t>ules</w:t>
      </w:r>
      <w:r w:rsidR="00A41060">
        <w:t>.</w:t>
      </w:r>
      <w:r>
        <w:rPr>
          <w:bCs/>
          <w:snapToGrid/>
          <w:kern w:val="0"/>
          <w:sz w:val="20"/>
          <w:vertAlign w:val="superscript"/>
        </w:rPr>
        <w:footnoteReference w:id="6"/>
      </w:r>
      <w:r w:rsidR="00A41060">
        <w:t xml:space="preserve"> </w:t>
      </w:r>
      <w:r w:rsidR="00025331">
        <w:t xml:space="preserve"> </w:t>
      </w:r>
      <w:r w:rsidR="001240CA">
        <w:t xml:space="preserve">On April </w:t>
      </w:r>
      <w:r w:rsidR="00D60D91">
        <w:t>5</w:t>
      </w:r>
      <w:r w:rsidR="001240CA">
        <w:t>, 2021, Licensee submitted the Application, which the Bureau dismissed on May 17, 2021</w:t>
      </w:r>
      <w:r w:rsidR="00341891">
        <w:t xml:space="preserve">.  </w:t>
      </w:r>
      <w:r w:rsidR="00025331">
        <w:t>O</w:t>
      </w:r>
      <w:r w:rsidR="00AF350B">
        <w:t>n</w:t>
      </w:r>
      <w:r w:rsidR="00025331">
        <w:t xml:space="preserve"> </w:t>
      </w:r>
      <w:r w:rsidR="00341891">
        <w:t>June 17</w:t>
      </w:r>
      <w:r w:rsidR="00025331">
        <w:t xml:space="preserve">, 2021, </w:t>
      </w:r>
      <w:r w:rsidR="003946B0">
        <w:t>Permittee</w:t>
      </w:r>
      <w:r w:rsidR="00025331">
        <w:t xml:space="preserve"> filed a Petition for </w:t>
      </w:r>
      <w:r w:rsidR="00AF350B">
        <w:t>Reconsideration</w:t>
      </w:r>
      <w:r w:rsidR="00025331">
        <w:t xml:space="preserve"> </w:t>
      </w:r>
      <w:r w:rsidR="00F94259">
        <w:t>(Petition)</w:t>
      </w:r>
      <w:r w:rsidR="00025331">
        <w:t xml:space="preserve">, </w:t>
      </w:r>
      <w:r w:rsidR="00AF350B">
        <w:t>demonstrating</w:t>
      </w:r>
      <w:r w:rsidR="00025331">
        <w:t xml:space="preserve"> that the Translator was constructed prior to the expiration of the Permit.  The staff treated the Petition as a request for waiver of section 73.3598 of the Rules, granted the </w:t>
      </w:r>
      <w:r w:rsidR="00C27060">
        <w:t xml:space="preserve">waiver, </w:t>
      </w:r>
      <w:r w:rsidR="00341891">
        <w:t xml:space="preserve">and </w:t>
      </w:r>
      <w:r w:rsidR="00C27060">
        <w:t>reinstated the Permit</w:t>
      </w:r>
      <w:r w:rsidR="00341891">
        <w:t xml:space="preserve"> and the Application.</w:t>
      </w:r>
      <w:r>
        <w:rPr>
          <w:rStyle w:val="FootnoteReference"/>
        </w:rPr>
        <w:footnoteReference w:id="7"/>
      </w:r>
    </w:p>
    <w:p w:rsidR="00140750" w:rsidRPr="00146D8A" w:rsidP="00140750" w14:paraId="663EEE6D" w14:textId="77777777">
      <w:pPr>
        <w:pStyle w:val="Heading1"/>
        <w:rPr>
          <w:szCs w:val="22"/>
        </w:rPr>
      </w:pPr>
      <w:r w:rsidRPr="00753410">
        <w:t>DISCUSSION</w:t>
      </w:r>
    </w:p>
    <w:p w:rsidR="00140750" w:rsidRPr="00146D8A" w:rsidP="00F94259" w14:paraId="174DC642" w14:textId="5BEBC380">
      <w:pPr>
        <w:pStyle w:val="ParaNum"/>
      </w:pPr>
      <w:r w:rsidRPr="000B44EA">
        <w:rPr>
          <w:i/>
          <w:color w:val="000000"/>
        </w:rPr>
        <w:t>Proposed Forfeiture</w:t>
      </w:r>
      <w:r w:rsidRPr="000B44EA">
        <w:rPr>
          <w:color w:val="000000"/>
        </w:rPr>
        <w:t xml:space="preserve">. </w:t>
      </w:r>
      <w:r w:rsidRPr="000B44EA" w:rsidR="000B44EA">
        <w:rPr>
          <w:i/>
          <w:iCs/>
          <w:spacing w:val="-3"/>
        </w:rPr>
        <w:t xml:space="preserve"> </w:t>
      </w:r>
      <w:r w:rsidR="00F94259">
        <w:t>T</w:t>
      </w:r>
      <w:r w:rsidR="000B44EA">
        <w:t xml:space="preserve">he </w:t>
      </w:r>
      <w:r w:rsidR="003946B0">
        <w:t>Permittee</w:t>
      </w:r>
      <w:r w:rsidR="000B44EA">
        <w:t xml:space="preserve"> failed to timely file a covering license application as required by </w:t>
      </w:r>
      <w:r w:rsidR="00F94259">
        <w:t>s</w:t>
      </w:r>
      <w:r w:rsidR="000B44EA">
        <w:t>ection 73.3598(e) of the Rules</w:t>
      </w:r>
      <w:r w:rsidR="00F94259">
        <w:t>, and</w:t>
      </w:r>
      <w:r w:rsidR="000B44EA">
        <w:t xml:space="preserve"> continued </w:t>
      </w:r>
      <w:r w:rsidR="006255CA">
        <w:t>Translator</w:t>
      </w:r>
      <w:r w:rsidR="000B44EA">
        <w:t xml:space="preserve"> operations with the permitted facilities after the </w:t>
      </w:r>
      <w:r w:rsidR="00F94259">
        <w:t>P</w:t>
      </w:r>
      <w:r w:rsidR="000B44EA">
        <w:t xml:space="preserve">ermit expired on </w:t>
      </w:r>
      <w:r w:rsidR="00341891">
        <w:t>January 8, 2021 and</w:t>
      </w:r>
      <w:r w:rsidR="000B44EA">
        <w:t xml:space="preserve"> did not seek </w:t>
      </w:r>
      <w:r w:rsidR="00F94259">
        <w:t>special temporary authority</w:t>
      </w:r>
      <w:r w:rsidR="000B44EA">
        <w:t xml:space="preserve"> to operate with those facilities.  Thus, </w:t>
      </w:r>
      <w:r w:rsidR="003946B0">
        <w:t>Permittee</w:t>
      </w:r>
      <w:r w:rsidR="000B44EA">
        <w:t xml:space="preserve"> engaged in unauthorized operation for </w:t>
      </w:r>
      <w:r w:rsidR="00341891">
        <w:t>almost</w:t>
      </w:r>
      <w:r w:rsidR="000B44EA">
        <w:t xml:space="preserve"> </w:t>
      </w:r>
      <w:r w:rsidR="00341891">
        <w:t>three</w:t>
      </w:r>
      <w:r w:rsidR="00D6392C">
        <w:t xml:space="preserve"> month</w:t>
      </w:r>
      <w:r w:rsidR="00E32F73">
        <w:t>s</w:t>
      </w:r>
      <w:r w:rsidR="00D6392C">
        <w:t xml:space="preserve"> </w:t>
      </w:r>
      <w:r w:rsidR="000B44EA">
        <w:t xml:space="preserve">in violation of </w:t>
      </w:r>
      <w:r w:rsidR="00D6392C">
        <w:t>s</w:t>
      </w:r>
      <w:r w:rsidR="000B44EA">
        <w:t>ection 301 of the Act</w:t>
      </w:r>
      <w:r w:rsidR="00341891">
        <w:t xml:space="preserve"> before attempting to file the appropriate covering license application</w:t>
      </w:r>
      <w:r w:rsidR="000B44EA">
        <w:t>.</w:t>
      </w:r>
    </w:p>
    <w:p w:rsidR="00140750" w:rsidRPr="00146D8A" w:rsidP="000B44EA" w14:paraId="1DBB92B8" w14:textId="2A01DD01">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r w:rsidR="00BF575C">
        <w:rPr>
          <w:rFonts w:eastAsia="SimSun"/>
        </w:rPr>
        <w:t xml:space="preserve">  </w:t>
      </w:r>
      <w:r w:rsidRPr="008D30C5" w:rsidR="00BF575C">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2"/>
      </w:r>
      <w:r w:rsidRPr="008D30C5" w:rsidR="00BF575C">
        <w:t xml:space="preserve">  </w:t>
      </w:r>
    </w:p>
    <w:p w:rsidR="00D6392C" w:rsidRPr="00D6392C" w:rsidP="00140750" w14:paraId="50057BAA" w14:textId="38EDEBD8">
      <w:pPr>
        <w:pStyle w:val="ParaNum"/>
        <w:rPr>
          <w:szCs w:val="22"/>
        </w:rPr>
      </w:pPr>
      <w:r>
        <w:t xml:space="preserve">The Commission's </w:t>
      </w:r>
      <w:r>
        <w:rPr>
          <w:i/>
        </w:rPr>
        <w:t>Forfeiture Policy Statement</w:t>
      </w:r>
      <w:r>
        <w:t xml:space="preserve"> and section 1.80(b)(</w:t>
      </w:r>
      <w:r w:rsidR="000B44EA">
        <w:t>10</w:t>
      </w:r>
      <w:r>
        <w:t>) of the Rules establish a base forfeiture amount of $3,000 for the failure to file a required form.</w:t>
      </w:r>
      <w:r>
        <w:rPr>
          <w:rStyle w:val="FootnoteReference"/>
          <w:szCs w:val="22"/>
        </w:rPr>
        <w:footnoteReference w:id="13"/>
      </w:r>
      <w:r w:rsidR="00BF575C">
        <w:t xml:space="preserve">  The guidelines also specify a base forfeiture amount of $10,000 for construction and/or operation without an instrument of authorization for the service.</w:t>
      </w:r>
      <w:r>
        <w:rPr>
          <w:rStyle w:val="FootnoteReference"/>
        </w:rPr>
        <w:footnoteReference w:id="14"/>
      </w:r>
      <w:r w:rsidR="00BF575C">
        <w:t xml:space="preserve">  </w:t>
      </w:r>
      <w:r>
        <w:t>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5"/>
      </w:r>
      <w:r>
        <w:t xml:space="preserve">  </w:t>
      </w:r>
    </w:p>
    <w:p w:rsidR="00140750" w:rsidRPr="00221720" w:rsidP="00FF6072" w14:paraId="36D2D6B7" w14:textId="64D712A6">
      <w:pPr>
        <w:pStyle w:val="ParaNum"/>
        <w:widowControl/>
        <w:rPr>
          <w:color w:val="000000"/>
        </w:rPr>
      </w:pPr>
      <w:r>
        <w:t>Based on our review of the facts and circumstances, we tentatively find that a $</w:t>
      </w:r>
      <w:r w:rsidR="00D6392C">
        <w:t>7,000</w:t>
      </w:r>
      <w:r>
        <w:t xml:space="preserve"> </w:t>
      </w:r>
      <w:r w:rsidR="006255CA">
        <w:t xml:space="preserve">base </w:t>
      </w:r>
      <w:r>
        <w:t>forfeiture is appropriate.</w:t>
      </w:r>
      <w:r>
        <w:rPr>
          <w:rStyle w:val="FootnoteReference"/>
        </w:rPr>
        <w:footnoteReference w:id="16"/>
      </w:r>
      <w:r>
        <w:t xml:space="preserve">  </w:t>
      </w:r>
      <w:r>
        <w:t xml:space="preserve">Licensee failed to file a </w:t>
      </w:r>
      <w:r w:rsidR="00BF575C">
        <w:t>timely covering license application</w:t>
      </w:r>
      <w:r>
        <w:t xml:space="preserve"> for the </w:t>
      </w:r>
      <w:r w:rsidR="006255CA">
        <w:t>Translator</w:t>
      </w:r>
      <w:r>
        <w:t xml:space="preserve"> </w:t>
      </w:r>
      <w:r>
        <w:t xml:space="preserve">and engaged in unauthorized operation of the </w:t>
      </w:r>
      <w:r w:rsidR="006255CA">
        <w:t>Translator</w:t>
      </w:r>
      <w:r>
        <w:t xml:space="preserve"> after the permit expired on J</w:t>
      </w:r>
      <w:r w:rsidR="00F11399">
        <w:t xml:space="preserve">anuary </w:t>
      </w:r>
      <w:r w:rsidR="00341891">
        <w:t>8,</w:t>
      </w:r>
      <w:r>
        <w:t xml:space="preserve"> 2021</w:t>
      </w:r>
      <w:r>
        <w:t>.</w:t>
      </w:r>
      <w:r>
        <w:t xml:space="preserv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w:t>
      </w:r>
      <w:r w:rsidR="006255CA">
        <w:rPr>
          <w:szCs w:val="22"/>
        </w:rPr>
        <w:t>3</w:t>
      </w:r>
      <w:r>
        <w:rPr>
          <w:szCs w:val="22"/>
        </w:rPr>
        <w:t xml:space="preserve">,500 because, as a translator, the </w:t>
      </w:r>
      <w:r w:rsidR="006255CA">
        <w:rPr>
          <w:szCs w:val="22"/>
        </w:rPr>
        <w:t xml:space="preserve">Translator </w:t>
      </w:r>
      <w:r>
        <w:rPr>
          <w:szCs w:val="22"/>
        </w:rPr>
        <w:t>is providing a secondary service.</w:t>
      </w:r>
      <w:r>
        <w:rPr>
          <w:rStyle w:val="FootnoteReference"/>
          <w:szCs w:val="22"/>
        </w:rPr>
        <w:footnoteReference w:id="17"/>
      </w:r>
      <w:r>
        <w:t xml:space="preserve"> </w:t>
      </w:r>
      <w:r w:rsidR="006255CA">
        <w:t xml:space="preserve"> </w:t>
      </w:r>
      <w:r>
        <w:t>We will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30DD8445">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18"/>
      </w:r>
      <w:r w:rsidRPr="00947B4D">
        <w:t xml:space="preserve"> </w:t>
      </w:r>
      <w:r w:rsidR="00341891">
        <w:t>Katahdin Communications, Inc.</w:t>
      </w:r>
      <w:r w:rsidR="00943ACD">
        <w:t>,</w:t>
      </w:r>
      <w:r w:rsidRPr="00DB10EE" w:rsidR="00DB10EE">
        <w:t xml:space="preserve"> is hereby </w:t>
      </w:r>
      <w:r w:rsidRPr="00DB10EE" w:rsidR="00DB10EE">
        <w:rPr>
          <w:b/>
        </w:rPr>
        <w:t>NOTIFIED</w:t>
      </w:r>
      <w:r w:rsidRPr="00DB10EE" w:rsidR="00DB10EE">
        <w:t xml:space="preserve"> of</w:t>
      </w:r>
      <w:r w:rsidR="00943ACD">
        <w:t xml:space="preserve"> its</w:t>
      </w:r>
      <w:r w:rsidRPr="00DB10EE" w:rsidR="00DB10EE">
        <w:t xml:space="preserve"> </w:t>
      </w:r>
      <w:r w:rsidRPr="00DB10EE" w:rsidR="00DB10EE">
        <w:rPr>
          <w:b/>
        </w:rPr>
        <w:t>APPARENT LIABILITY FOR FORFEITURE</w:t>
      </w:r>
      <w:r w:rsidRPr="00947B4D">
        <w:t xml:space="preserve"> in the amount of </w:t>
      </w:r>
      <w:r w:rsidR="003946B0">
        <w:t xml:space="preserve">three </w:t>
      </w:r>
      <w:r>
        <w:t>thousand five hundred dollars (</w:t>
      </w:r>
      <w:r w:rsidRPr="00947B4D">
        <w:t>$</w:t>
      </w:r>
      <w:r w:rsidR="003946B0">
        <w:t>3</w:t>
      </w:r>
      <w:r>
        <w:t>,500)</w:t>
      </w:r>
      <w:r w:rsidRPr="00947B4D">
        <w:t xml:space="preserve"> for </w:t>
      </w:r>
      <w:r w:rsidR="00943ACD">
        <w:t>its</w:t>
      </w:r>
      <w:r w:rsidR="00F67AFF">
        <w:t xml:space="preserve"> </w:t>
      </w:r>
      <w:r>
        <w:t>apparent willful violation of section 73.35</w:t>
      </w:r>
      <w:r w:rsidR="00221720">
        <w:t>98</w:t>
      </w:r>
      <w:r w:rsidRPr="00947B4D">
        <w:t xml:space="preserve"> of the</w:t>
      </w:r>
      <w:r>
        <w:t xml:space="preserve"> </w:t>
      </w:r>
      <w:r w:rsidRPr="00947B4D">
        <w:t xml:space="preserve">Commission’s </w:t>
      </w:r>
      <w:r>
        <w:t>r</w:t>
      </w:r>
      <w:r w:rsidRPr="00947B4D">
        <w:t>ules</w:t>
      </w:r>
      <w:r w:rsidR="00B3712A">
        <w:t xml:space="preserve"> and section 301 of the Communications Act of 1934, as amended</w:t>
      </w:r>
      <w:r w:rsidRPr="00947B4D">
        <w:t>.</w:t>
      </w:r>
    </w:p>
    <w:p w:rsidR="00140750" w:rsidRPr="00146D8A" w:rsidP="00140750" w14:paraId="5C577B4F" w14:textId="2816F6B7">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w:t>
      </w:r>
      <w:r w:rsidR="00D60D91">
        <w:rPr>
          <w:iCs/>
        </w:rPr>
        <w:t>, Katahdin Communications, Inc.</w:t>
      </w:r>
      <w:r w:rsidR="008C6117">
        <w:t>,</w:t>
      </w:r>
      <w: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140750" w:rsidRPr="00146D8A" w:rsidP="007F42C5" w14:paraId="23227498" w14:textId="77777777">
      <w:pPr>
        <w:pStyle w:val="ParaNum"/>
        <w:widowControl/>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9"/>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xml:space="preserve">.  To pay by ACH, log in using the FRN captioned above.  If payment must be split across FRNs, complete this process for each FRN.  Next, </w:t>
      </w:r>
      <w:r w:rsidRPr="00264220">
        <w:t>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2"/>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8" w:history="1">
        <w:r w:rsidRPr="00264220">
          <w:rPr>
            <w:rStyle w:val="Hyperlink"/>
          </w:rPr>
          <w:t>ARINQUIRIES@fcc.gov</w:t>
        </w:r>
      </w:hyperlink>
      <w:r w:rsidRPr="00264220">
        <w:t>.</w:t>
      </w:r>
    </w:p>
    <w:p w:rsidR="00C6145C" w:rsidRPr="00BD5379" w:rsidP="00C6145C" w14:paraId="77E8320E" w14:textId="50356565">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 </w:t>
      </w:r>
      <w:r w:rsidRPr="00514C8E">
        <w:rPr>
          <w:szCs w:val="22"/>
        </w:rPr>
        <w:t xml:space="preserve">must </w:t>
      </w:r>
      <w:r w:rsidRPr="00525F98">
        <w:rPr>
          <w:szCs w:val="22"/>
        </w:rPr>
        <w:t>include a detailed factual statement supported by appropriate documentation and affidavits pursuant to sections 1.16 and 1.80(</w:t>
      </w:r>
      <w:r w:rsidR="001C5F2F">
        <w:rPr>
          <w:szCs w:val="22"/>
        </w:rPr>
        <w:t>g</w:t>
      </w:r>
      <w:r w:rsidRPr="00525F98">
        <w:rPr>
          <w:szCs w:val="22"/>
        </w:rPr>
        <w:t>)(3) of the Commission’s rules</w:t>
      </w:r>
      <w:r>
        <w:rPr>
          <w:szCs w:val="22"/>
        </w:rPr>
        <w:t>.</w:t>
      </w:r>
      <w:r>
        <w:rPr>
          <w:rStyle w:val="FootnoteReference"/>
          <w:szCs w:val="22"/>
        </w:rPr>
        <w:footnoteReference w:id="23"/>
      </w:r>
      <w:r>
        <w:rPr>
          <w:szCs w:val="22"/>
        </w:rPr>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4"/>
      </w:r>
      <w:r>
        <w:t xml:space="preserve"> </w:t>
      </w:r>
      <w:r w:rsidRPr="001940F0">
        <w:t xml:space="preserve">A courtesy copy emailed to </w:t>
      </w:r>
      <w:hyperlink r:id="rId9" w:history="1">
        <w:r w:rsidRPr="001940F0">
          <w:rPr>
            <w:rStyle w:val="Hyperlink"/>
          </w:rPr>
          <w:t>Alexander.Sanjenis@fcc.gov</w:t>
        </w:r>
      </w:hyperlink>
      <w:r w:rsidRPr="001940F0">
        <w:t xml:space="preserve"> will assist in processing the response</w:t>
      </w:r>
      <w:r>
        <w:t>.</w:t>
      </w:r>
    </w:p>
    <w:p w:rsidR="00C6145C" w:rsidRPr="00C6145C" w:rsidP="00C6145C" w14:paraId="68143363" w14:textId="77777777">
      <w:pPr>
        <w:pStyle w:val="ParaNum"/>
        <w:numPr>
          <w:ilvl w:val="0"/>
          <w:numId w:val="10"/>
        </w:numPr>
      </w:pPr>
      <w:r w:rsidRPr="00C6145C">
        <w:t xml:space="preserve">Commercial overnight mail (other than U.S. Postal Service Express Mail and Priority Mail) must be sent to 9050 Junction Drive, Annapolis Junction, MD 20701. </w:t>
      </w:r>
    </w:p>
    <w:p w:rsidR="00140750" w:rsidP="00C6145C" w14:paraId="70F00440" w14:textId="3B4B07BF">
      <w:pPr>
        <w:pStyle w:val="ParaNum"/>
        <w:numPr>
          <w:ilvl w:val="0"/>
          <w:numId w:val="10"/>
        </w:numPr>
      </w:pPr>
      <w:r w:rsidRPr="00C6145C">
        <w:t>Postal Service first-class, Express, and Priority mail must be addressed to 45 L Street, NE, Washington, DC 20554.</w:t>
      </w:r>
    </w:p>
    <w:p w:rsidR="00140750" w:rsidRPr="00146D8A" w:rsidP="00140750" w14:paraId="42E00888" w14:textId="7CC53EEA">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25"/>
      </w:r>
      <w:r w:rsidRPr="005F7F74" w:rsidR="005F7F74">
        <w:t xml:space="preserve">  </w:t>
      </w:r>
    </w:p>
    <w:p w:rsidR="00140750" w:rsidRPr="008D4F70" w:rsidP="00BD2A6A" w14:paraId="27B417DC" w14:textId="4D9093B2">
      <w:pPr>
        <w:pStyle w:val="ParaNum"/>
        <w:keepNext/>
        <w:keepLines/>
        <w:widowControl/>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w:t>
      </w:r>
      <w:r w:rsidR="004478DF">
        <w:t xml:space="preserve"> to </w:t>
      </w:r>
      <w:r w:rsidR="00D60D91">
        <w:t>Katahdin Communications, Inc.</w:t>
      </w:r>
      <w:r w:rsidR="004478DF">
        <w:t xml:space="preserve">, c/o </w:t>
      </w:r>
      <w:r w:rsidR="00D60D91">
        <w:t>Jim Talbott, P.O. Box 1240, Lake Road, Millinocket, ME 04462</w:t>
      </w:r>
      <w:r w:rsidR="00BD2A6A">
        <w:t>, and to its counsel, Anne Crump, Esq, Fletcher, Heald &amp; Hildreth, P.L.C., 1300 N. 17</w:t>
      </w:r>
      <w:r w:rsidRPr="00BD2A6A" w:rsidR="00BD2A6A">
        <w:rPr>
          <w:vertAlign w:val="superscript"/>
        </w:rPr>
        <w:t>th</w:t>
      </w:r>
      <w:r w:rsidR="00BD2A6A">
        <w:t xml:space="preserve"> Street, Eleventh Floor, Arlington, VA 22209</w:t>
      </w:r>
      <w:r w:rsidR="00D60D91">
        <w:t>.</w:t>
      </w:r>
    </w:p>
    <w:p w:rsidR="00140750" w:rsidP="00BD2A6A" w14:paraId="0D7BDCF6" w14:textId="77777777">
      <w:pPr>
        <w:keepNext/>
        <w:keepLines/>
      </w:pPr>
      <w:r>
        <w:tab/>
      </w:r>
      <w:r>
        <w:tab/>
      </w:r>
      <w:r>
        <w:tab/>
      </w:r>
      <w:r>
        <w:tab/>
      </w:r>
      <w:r>
        <w:tab/>
      </w:r>
      <w:r>
        <w:tab/>
        <w:t>FEDERAL COMMUNICATIONS COMMISSION</w:t>
      </w:r>
    </w:p>
    <w:p w:rsidR="00140750" w:rsidP="00BD2A6A" w14:paraId="63D88502" w14:textId="77777777">
      <w:pPr>
        <w:keepNext/>
        <w:keepLines/>
      </w:pPr>
    </w:p>
    <w:p w:rsidR="00140750" w:rsidP="00BD2A6A" w14:paraId="04738E0C" w14:textId="77777777">
      <w:pPr>
        <w:keepNext/>
        <w:keepLines/>
      </w:pPr>
    </w:p>
    <w:p w:rsidR="00140750" w:rsidP="00BD2A6A" w14:paraId="601D208C" w14:textId="77777777">
      <w:pPr>
        <w:keepNext/>
        <w:keepLines/>
      </w:pPr>
    </w:p>
    <w:p w:rsidR="00140750" w:rsidP="00BD2A6A" w14:paraId="587691EB" w14:textId="77777777">
      <w:pPr>
        <w:keepNext/>
        <w:keepLines/>
      </w:pPr>
    </w:p>
    <w:p w:rsidR="00140750" w:rsidP="00BD2A6A" w14:paraId="57C8D643" w14:textId="77777777">
      <w:pPr>
        <w:keepNext/>
        <w:keepLines/>
      </w:pPr>
      <w:r>
        <w:tab/>
      </w:r>
      <w:r>
        <w:tab/>
      </w:r>
      <w:r>
        <w:tab/>
      </w:r>
      <w:r>
        <w:tab/>
      </w:r>
      <w:r>
        <w:tab/>
      </w:r>
      <w:r>
        <w:tab/>
        <w:t>Albert Shuldiner</w:t>
      </w:r>
    </w:p>
    <w:p w:rsidR="00140750" w:rsidP="00BD2A6A" w14:paraId="4ED0A5C6" w14:textId="77777777">
      <w:pPr>
        <w:keepNext/>
        <w:keepLines/>
      </w:pPr>
      <w:r>
        <w:tab/>
      </w:r>
      <w:r>
        <w:tab/>
      </w:r>
      <w:r>
        <w:tab/>
      </w:r>
      <w:r>
        <w:tab/>
      </w:r>
      <w:r>
        <w:tab/>
      </w:r>
      <w:r>
        <w:tab/>
        <w:t>Chief, Audio Division</w:t>
      </w:r>
    </w:p>
    <w:p w:rsidR="00412FC5" w:rsidP="00BD2A6A" w14:paraId="5A1D65FF" w14:textId="4414A7C5">
      <w:pPr>
        <w:keepNext/>
        <w:keepLines/>
      </w:pPr>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12D603B" w14:textId="75DC9899">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w:t>
      </w:r>
      <w:r w:rsidR="00C6145C">
        <w:t>Rules</w:t>
      </w:r>
      <w:r w:rsidRPr="000725CB">
        <w:t xml:space="preserve">.  </w:t>
      </w:r>
      <w:r w:rsidRPr="000725CB">
        <w:rPr>
          <w:i/>
        </w:rPr>
        <w:t>See</w:t>
      </w:r>
      <w:r w:rsidRPr="000725CB">
        <w:t xml:space="preserve"> 47 CFR § 0.283.</w:t>
      </w:r>
    </w:p>
  </w:footnote>
  <w:footnote w:id="4">
    <w:p w:rsidR="00596F9E" w:rsidP="00596F9E" w14:paraId="60B36F5A" w14:textId="77777777">
      <w:pPr>
        <w:shd w:val="clear" w:color="auto" w:fill="FFFFFF"/>
        <w:tabs>
          <w:tab w:val="left" w:pos="125"/>
        </w:tabs>
        <w:spacing w:after="120"/>
        <w:ind w:left="14"/>
        <w:rPr>
          <w:sz w:val="20"/>
        </w:rPr>
      </w:pPr>
      <w:r>
        <w:rPr>
          <w:rStyle w:val="FootnoteReference"/>
        </w:rPr>
        <w:footnoteRef/>
      </w:r>
      <w:r>
        <w:rPr>
          <w:sz w:val="20"/>
        </w:rPr>
        <w:t xml:space="preserve"> </w:t>
      </w:r>
      <w:r>
        <w:rPr>
          <w:i/>
          <w:iCs/>
          <w:sz w:val="20"/>
        </w:rPr>
        <w:t xml:space="preserve">See </w:t>
      </w:r>
      <w:r>
        <w:rPr>
          <w:sz w:val="20"/>
        </w:rPr>
        <w:t>47 C.F.R. § 73.3598.</w:t>
      </w:r>
    </w:p>
  </w:footnote>
  <w:footnote w:id="5">
    <w:p w:rsidR="00596F9E" w:rsidP="00596F9E" w14:paraId="180E879C" w14:textId="28E6B4E0">
      <w:pPr>
        <w:shd w:val="clear" w:color="auto" w:fill="FFFFFF"/>
        <w:tabs>
          <w:tab w:val="left" w:pos="125"/>
        </w:tabs>
        <w:spacing w:after="120"/>
        <w:ind w:left="14"/>
        <w:rPr>
          <w:sz w:val="20"/>
        </w:rPr>
      </w:pPr>
      <w:r>
        <w:rPr>
          <w:rStyle w:val="FootnoteReference"/>
        </w:rPr>
        <w:footnoteRef/>
      </w:r>
      <w:r>
        <w:rPr>
          <w:sz w:val="20"/>
        </w:rPr>
        <w:t xml:space="preserve"> </w:t>
      </w:r>
      <w:r>
        <w:rPr>
          <w:i/>
          <w:sz w:val="20"/>
        </w:rPr>
        <w:t>See</w:t>
      </w:r>
      <w:r>
        <w:rPr>
          <w:sz w:val="20"/>
        </w:rPr>
        <w:t xml:space="preserve"> 47 U.S.C. § 301.</w:t>
      </w:r>
    </w:p>
  </w:footnote>
  <w:footnote w:id="6">
    <w:p w:rsidR="00A41060" w:rsidRPr="00C17963" w:rsidP="00A41060" w14:paraId="4353A7E7" w14:textId="77777777">
      <w:pPr>
        <w:pStyle w:val="FootnoteText"/>
      </w:pPr>
      <w:r>
        <w:rPr>
          <w:rStyle w:val="FootnoteReference"/>
        </w:rPr>
        <w:footnoteRef/>
      </w:r>
      <w:r w:rsidRPr="00C17963">
        <w:t xml:space="preserve"> 47 CFR</w:t>
      </w:r>
      <w:r>
        <w:t xml:space="preserve"> </w:t>
      </w:r>
      <w:r w:rsidRPr="00D84577">
        <w:t>§</w:t>
      </w:r>
      <w:r w:rsidRPr="00C17963">
        <w:t xml:space="preserve"> 73.3598(e) (“</w:t>
      </w:r>
      <w:r>
        <w:t>Any construction permit for which construction has not been completed and for which an application for license has not been filed, shall be automatically forfeited upon expiration without any further affirmative cancellation by the Commission.”).</w:t>
      </w:r>
    </w:p>
  </w:footnote>
  <w:footnote w:id="7">
    <w:p w:rsidR="00341891" w:rsidRPr="00341891" w14:paraId="4D986A6A" w14:textId="22A8106E">
      <w:pPr>
        <w:pStyle w:val="FootnoteText"/>
      </w:pPr>
      <w:r>
        <w:rPr>
          <w:rStyle w:val="FootnoteReference"/>
        </w:rPr>
        <w:footnoteRef/>
      </w:r>
      <w:r>
        <w:t xml:space="preserve"> </w:t>
      </w:r>
      <w:r>
        <w:rPr>
          <w:i/>
          <w:iCs/>
        </w:rPr>
        <w:t>Broadcast Actions</w:t>
      </w:r>
      <w:r>
        <w:t>, Report No. PN-2-210805-01 (MB Aug. 5, 2021).</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27375176">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xml:space="preserve">, </w:t>
      </w:r>
      <w:r w:rsidR="002172BD">
        <w:t xml:space="preserve">Memorandum Opinion and Order, </w:t>
      </w:r>
      <w:r w:rsidRPr="00D64E57">
        <w:t>7 FCC Rcd 3454 (1992</w:t>
      </w:r>
      <w:r w:rsidRPr="00600AB4">
        <w:t>).</w:t>
      </w:r>
    </w:p>
  </w:footnote>
  <w:footnote w:id="12">
    <w:p w:rsidR="00BF575C" w:rsidRPr="006F7D37" w:rsidP="00BF575C" w14:paraId="331B20AE" w14:textId="77777777">
      <w:pPr>
        <w:pStyle w:val="Footer"/>
        <w:spacing w:after="120"/>
        <w:rPr>
          <w:sz w:val="20"/>
        </w:rPr>
      </w:pPr>
      <w:r w:rsidRPr="006F7D37">
        <w:rPr>
          <w:rStyle w:val="FootnoteReference"/>
        </w:rPr>
        <w:footnoteRef/>
      </w:r>
      <w:r w:rsidRPr="006F7D37">
        <w:rPr>
          <w:sz w:val="20"/>
        </w:rPr>
        <w:t xml:space="preserve"> 47 U.S.C. § 312(f)(2). </w:t>
      </w:r>
    </w:p>
  </w:footnote>
  <w:footnote w:id="13">
    <w:p w:rsidR="00140750" w:rsidP="00140750" w14:paraId="57100D3A" w14:textId="4D7364C1">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xml:space="preserve">, </w:t>
      </w:r>
      <w:r w:rsidR="007B357C">
        <w:rPr>
          <w:sz w:val="20"/>
        </w:rPr>
        <w:t xml:space="preserve">Memorandum Opinion and Order, </w:t>
      </w:r>
      <w:r>
        <w:rPr>
          <w:sz w:val="20"/>
        </w:rPr>
        <w:t>15 FCC Rcd 303 (1999); 47 CFR § 1.80(b)(</w:t>
      </w:r>
      <w:r w:rsidR="000B44EA">
        <w:rPr>
          <w:sz w:val="20"/>
        </w:rPr>
        <w:t>10</w:t>
      </w:r>
      <w:r>
        <w:rPr>
          <w:sz w:val="20"/>
        </w:rPr>
        <w:t>), note to paragraph (b)(</w:t>
      </w:r>
      <w:r w:rsidR="000B44EA">
        <w:rPr>
          <w:sz w:val="20"/>
        </w:rPr>
        <w:t>10</w:t>
      </w:r>
      <w:r>
        <w:rPr>
          <w:sz w:val="20"/>
        </w:rPr>
        <w:t>), Section I.</w:t>
      </w:r>
    </w:p>
  </w:footnote>
  <w:footnote w:id="14">
    <w:p w:rsidR="00BF575C" w:rsidRPr="00CF021F" w:rsidP="00BF575C" w14:paraId="55F9CE8D" w14:textId="77777777">
      <w:pPr>
        <w:shd w:val="clear" w:color="auto" w:fill="FFFFFF"/>
        <w:spacing w:after="120"/>
        <w:rPr>
          <w:color w:val="000000"/>
          <w:sz w:val="20"/>
        </w:rPr>
      </w:pPr>
      <w:r>
        <w:rPr>
          <w:rStyle w:val="FootnoteReference"/>
        </w:rPr>
        <w:footnoteRef/>
      </w:r>
      <w:r>
        <w:t xml:space="preserve"> </w:t>
      </w:r>
      <w:r w:rsidRPr="00CF021F">
        <w:rPr>
          <w:color w:val="000000"/>
          <w:sz w:val="20"/>
        </w:rPr>
        <w:t>A broadcast station requires an authorization from the Commission to operate.</w:t>
      </w:r>
      <w:r>
        <w:rPr>
          <w:color w:val="000000"/>
          <w:sz w:val="20"/>
        </w:rPr>
        <w:t xml:space="preserve"> </w:t>
      </w:r>
      <w:r w:rsidRPr="00CF021F">
        <w:rPr>
          <w:color w:val="000000"/>
          <w:sz w:val="20"/>
        </w:rPr>
        <w:t xml:space="preserve"> </w:t>
      </w:r>
      <w:r w:rsidRPr="00CF021F">
        <w:rPr>
          <w:i/>
          <w:iCs/>
          <w:color w:val="000000"/>
          <w:sz w:val="20"/>
        </w:rPr>
        <w:t>See</w:t>
      </w:r>
      <w:r w:rsidRPr="00CF021F">
        <w:rPr>
          <w:color w:val="000000"/>
          <w:sz w:val="20"/>
        </w:rPr>
        <w:t xml:space="preserve"> 47 U.S.C. § 301.</w:t>
      </w:r>
    </w:p>
  </w:footnote>
  <w:footnote w:id="15">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6">
    <w:p w:rsidR="00D6392C" w:rsidRPr="00D6392C" w14:paraId="7726822B" w14:textId="249D7F84">
      <w:pPr>
        <w:pStyle w:val="FootnoteText"/>
      </w:pPr>
      <w:r>
        <w:rPr>
          <w:rStyle w:val="FootnoteReference"/>
        </w:rPr>
        <w:footnoteRef/>
      </w:r>
      <w:r>
        <w:t xml:space="preserve"> </w:t>
      </w:r>
      <w:r>
        <w:rPr>
          <w:i/>
          <w:iCs/>
        </w:rPr>
        <w:t>See, e.g.,</w:t>
      </w:r>
      <w:r>
        <w:t xml:space="preserve"> </w:t>
      </w:r>
      <w:r>
        <w:rPr>
          <w:i/>
          <w:iCs/>
        </w:rPr>
        <w:t>WKLC, Inc.</w:t>
      </w:r>
      <w:r>
        <w:t>, Memorandum Opinion and Order and Notice of Apparent Liability</w:t>
      </w:r>
      <w:r w:rsidR="00FC0CFA">
        <w:t xml:space="preserve">, 26 FCC Rcd 11001 (MB 2011) (proposing $7,000 </w:t>
      </w:r>
      <w:r w:rsidR="004B5D3F">
        <w:t>forfeiture</w:t>
      </w:r>
      <w:r w:rsidR="00FC0CFA">
        <w:t xml:space="preserve"> for violation of section 73.3598 of the Rules and section 301 of the Act)</w:t>
      </w:r>
      <w:r w:rsidR="001C5F2F">
        <w:t xml:space="preserve">.  </w:t>
      </w:r>
      <w:r w:rsidRPr="00DC5CAC" w:rsidR="001C5F2F">
        <w:rPr>
          <w:i/>
          <w:iCs/>
        </w:rPr>
        <w:t xml:space="preserve">See </w:t>
      </w:r>
      <w:r w:rsidR="001C5F2F">
        <w:rPr>
          <w:i/>
          <w:iCs/>
        </w:rPr>
        <w:t xml:space="preserve">also </w:t>
      </w:r>
      <w:r w:rsidRPr="00C3027F" w:rsidR="001C5F2F">
        <w:rPr>
          <w:i/>
          <w:iCs/>
        </w:rPr>
        <w:t>Clear Channel</w:t>
      </w:r>
      <w:r w:rsidR="001C5F2F">
        <w:t xml:space="preserve">, 26 FCC Rcd at 7157 </w:t>
      </w:r>
      <w:r w:rsidRPr="00E4234B" w:rsidR="001C5F2F">
        <w:rPr>
          <w:color w:val="000000" w:themeColor="text1"/>
        </w:rPr>
        <w:t>(“</w:t>
      </w:r>
      <w:r w:rsidRPr="00E4234B" w:rsidR="001C5F2F">
        <w:rPr>
          <w:color w:val="000000" w:themeColor="text1"/>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r w:rsidR="001C5F2F">
        <w:rPr>
          <w:color w:val="000000" w:themeColor="text1"/>
          <w:shd w:val="clear" w:color="auto" w:fill="FFFFFF"/>
        </w:rPr>
        <w:t>.</w:t>
      </w:r>
    </w:p>
  </w:footnote>
  <w:footnote w:id="17">
    <w:p w:rsidR="00140750" w:rsidRPr="000A65AC" w:rsidP="003F17E2" w14:paraId="0ECE7B02" w14:textId="1EC0526F">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Memorandum Opinion and Order and Notice of Apparent Liability, 34 FCC Rcd 12280 (MB 2019) (</w:t>
      </w:r>
      <w:r w:rsidR="006255CA">
        <w:t>reducing $3,000 base forfeiture to</w:t>
      </w:r>
      <w:r>
        <w:t xml:space="preserve"> $1,500 for untimely filed renewal application </w:t>
      </w:r>
      <w:r w:rsidR="006255CA">
        <w:t>filed by</w:t>
      </w:r>
      <w:r>
        <w:t xml:space="preserve"> FM translator station).</w:t>
      </w:r>
    </w:p>
  </w:footnote>
  <w:footnote w:id="18">
    <w:p w:rsidR="005F7F74" w14:paraId="6DDA34AA" w14:textId="3F385F2D">
      <w:pPr>
        <w:pStyle w:val="FootnoteText"/>
      </w:pPr>
      <w:r>
        <w:rPr>
          <w:rStyle w:val="FootnoteReference"/>
        </w:rPr>
        <w:footnoteRef/>
      </w:r>
      <w:r>
        <w:t xml:space="preserve"> </w:t>
      </w:r>
      <w:bookmarkStart w:id="2" w:name="_Hlk63415835"/>
      <w:r w:rsidRPr="005F7F74">
        <w:t>47 U.S.C. § 503(b)</w:t>
      </w:r>
      <w:r>
        <w:t>; 4</w:t>
      </w:r>
      <w:r w:rsidRPr="005F7F74">
        <w:t>7 CFR § 1.80.</w:t>
      </w:r>
      <w:bookmarkEnd w:id="2"/>
    </w:p>
  </w:footnote>
  <w:footnote w:id="19">
    <w:p w:rsidR="00140750" w:rsidRPr="00132193" w:rsidP="003F17E2" w14:paraId="2469170A"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0">
    <w:p w:rsidR="00140750" w:rsidRPr="00132193" w:rsidP="003F17E2" w14:paraId="6EA5A40F"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140750" w:rsidRPr="004B33E9" w:rsidP="003F17E2" w14:paraId="6393D3F3"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3">
    <w:p w:rsidR="00C6145C" w:rsidP="00C6145C" w14:paraId="21D533EE" w14:textId="1970BB38">
      <w:pPr>
        <w:pStyle w:val="FootnoteText"/>
        <w:widowControl w:val="0"/>
      </w:pPr>
      <w:r>
        <w:rPr>
          <w:rStyle w:val="FootnoteReference"/>
        </w:rPr>
        <w:footnoteRef/>
      </w:r>
      <w:r>
        <w:t xml:space="preserve"> 47 CFR §§ 1.16 and 1.80(</w:t>
      </w:r>
      <w:r w:rsidR="001C5F2F">
        <w:t>g</w:t>
      </w:r>
      <w:r>
        <w:t>)(3).</w:t>
      </w:r>
    </w:p>
  </w:footnote>
  <w:footnote w:id="24">
    <w:p w:rsidR="00C6145C" w:rsidP="00C6145C" w14:paraId="0B35FA38"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5">
    <w:p w:rsidR="005F7F74" w:rsidP="005F7F74" w14:paraId="42D7EDAE" w14:textId="14C7058F">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0A037FFA">
    <w:pPr>
      <w:pStyle w:val="Header"/>
      <w:rPr>
        <w:b w:val="0"/>
      </w:rPr>
    </w:pPr>
    <w:r>
      <w:tab/>
      <w:t>Federal Communications Commission</w:t>
    </w:r>
    <w:r>
      <w:tab/>
    </w:r>
    <w:r w:rsidR="00140750">
      <w:t>DA 2</w:t>
    </w:r>
    <w:r w:rsidR="00F02727">
      <w:t>1</w:t>
    </w:r>
    <w:r w:rsidR="00140750">
      <w:t>-</w:t>
    </w:r>
    <w:r w:rsidR="00F875DF">
      <w:t>1092</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414C116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F875DF">
      <w:rPr>
        <w:spacing w:val="-2"/>
      </w:rPr>
      <w:t>1092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7"/>
  </w:num>
  <w:num w:numId="10">
    <w:abstractNumId w:val="9"/>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6E03"/>
    <w:rsid w:val="000202F5"/>
    <w:rsid w:val="00025331"/>
    <w:rsid w:val="00025BF3"/>
    <w:rsid w:val="00036039"/>
    <w:rsid w:val="00037F90"/>
    <w:rsid w:val="00044E42"/>
    <w:rsid w:val="000634FA"/>
    <w:rsid w:val="000725CB"/>
    <w:rsid w:val="000875BF"/>
    <w:rsid w:val="00093FC8"/>
    <w:rsid w:val="00096D8C"/>
    <w:rsid w:val="000A65AC"/>
    <w:rsid w:val="000B15EF"/>
    <w:rsid w:val="000B44EA"/>
    <w:rsid w:val="000C0B65"/>
    <w:rsid w:val="000C4D69"/>
    <w:rsid w:val="000D2FDB"/>
    <w:rsid w:val="000E05FE"/>
    <w:rsid w:val="000E3D42"/>
    <w:rsid w:val="000F2026"/>
    <w:rsid w:val="000F3DE4"/>
    <w:rsid w:val="000F6468"/>
    <w:rsid w:val="0010399E"/>
    <w:rsid w:val="00122BD5"/>
    <w:rsid w:val="001240CA"/>
    <w:rsid w:val="00124FB3"/>
    <w:rsid w:val="00132193"/>
    <w:rsid w:val="0013316D"/>
    <w:rsid w:val="00133F79"/>
    <w:rsid w:val="00140750"/>
    <w:rsid w:val="001416FB"/>
    <w:rsid w:val="00146D8A"/>
    <w:rsid w:val="00152E4C"/>
    <w:rsid w:val="00152F4B"/>
    <w:rsid w:val="00175910"/>
    <w:rsid w:val="001940F0"/>
    <w:rsid w:val="00194A66"/>
    <w:rsid w:val="001C5F2F"/>
    <w:rsid w:val="001D6BCF"/>
    <w:rsid w:val="001E01CA"/>
    <w:rsid w:val="00215867"/>
    <w:rsid w:val="002172BD"/>
    <w:rsid w:val="00221720"/>
    <w:rsid w:val="00244DA3"/>
    <w:rsid w:val="00245789"/>
    <w:rsid w:val="002476A5"/>
    <w:rsid w:val="00250597"/>
    <w:rsid w:val="002546D1"/>
    <w:rsid w:val="00257770"/>
    <w:rsid w:val="00264220"/>
    <w:rsid w:val="00275A56"/>
    <w:rsid w:val="00275CF5"/>
    <w:rsid w:val="00282655"/>
    <w:rsid w:val="0028301F"/>
    <w:rsid w:val="00285017"/>
    <w:rsid w:val="002A2D2E"/>
    <w:rsid w:val="002C00E8"/>
    <w:rsid w:val="002C481A"/>
    <w:rsid w:val="002C655D"/>
    <w:rsid w:val="002F1961"/>
    <w:rsid w:val="002F4279"/>
    <w:rsid w:val="00341891"/>
    <w:rsid w:val="00343749"/>
    <w:rsid w:val="003577E1"/>
    <w:rsid w:val="003660ED"/>
    <w:rsid w:val="003664DA"/>
    <w:rsid w:val="003946B0"/>
    <w:rsid w:val="003B0550"/>
    <w:rsid w:val="003B694F"/>
    <w:rsid w:val="003F171C"/>
    <w:rsid w:val="003F17E2"/>
    <w:rsid w:val="0040710E"/>
    <w:rsid w:val="00412FC5"/>
    <w:rsid w:val="00422276"/>
    <w:rsid w:val="004242F1"/>
    <w:rsid w:val="00434675"/>
    <w:rsid w:val="00441308"/>
    <w:rsid w:val="004450EA"/>
    <w:rsid w:val="00445A00"/>
    <w:rsid w:val="004478DF"/>
    <w:rsid w:val="00451B0F"/>
    <w:rsid w:val="00460B7A"/>
    <w:rsid w:val="004711FC"/>
    <w:rsid w:val="00476992"/>
    <w:rsid w:val="00481FFA"/>
    <w:rsid w:val="004B33E9"/>
    <w:rsid w:val="004B5D3F"/>
    <w:rsid w:val="004C2CAB"/>
    <w:rsid w:val="004C2EE3"/>
    <w:rsid w:val="004E40F1"/>
    <w:rsid w:val="004E4A22"/>
    <w:rsid w:val="00511968"/>
    <w:rsid w:val="00512D18"/>
    <w:rsid w:val="00513883"/>
    <w:rsid w:val="00514C8E"/>
    <w:rsid w:val="00525F98"/>
    <w:rsid w:val="005373CC"/>
    <w:rsid w:val="00555D44"/>
    <w:rsid w:val="0055614C"/>
    <w:rsid w:val="00566D06"/>
    <w:rsid w:val="00596F9E"/>
    <w:rsid w:val="005B2CE7"/>
    <w:rsid w:val="005B6CC4"/>
    <w:rsid w:val="005E14C2"/>
    <w:rsid w:val="005F0307"/>
    <w:rsid w:val="005F5ACF"/>
    <w:rsid w:val="005F7F74"/>
    <w:rsid w:val="00600AB4"/>
    <w:rsid w:val="00607BA5"/>
    <w:rsid w:val="0061180A"/>
    <w:rsid w:val="00614D11"/>
    <w:rsid w:val="006255CA"/>
    <w:rsid w:val="00626EB6"/>
    <w:rsid w:val="00655D03"/>
    <w:rsid w:val="00683388"/>
    <w:rsid w:val="00683F84"/>
    <w:rsid w:val="006A6A81"/>
    <w:rsid w:val="006F7393"/>
    <w:rsid w:val="006F7D37"/>
    <w:rsid w:val="0070224F"/>
    <w:rsid w:val="0071139E"/>
    <w:rsid w:val="007115F7"/>
    <w:rsid w:val="00753410"/>
    <w:rsid w:val="0077399F"/>
    <w:rsid w:val="007743C9"/>
    <w:rsid w:val="00785689"/>
    <w:rsid w:val="0079754B"/>
    <w:rsid w:val="007A1E6D"/>
    <w:rsid w:val="007A2495"/>
    <w:rsid w:val="007A502A"/>
    <w:rsid w:val="007B0EB2"/>
    <w:rsid w:val="007B3516"/>
    <w:rsid w:val="007B357C"/>
    <w:rsid w:val="007B767F"/>
    <w:rsid w:val="007C476C"/>
    <w:rsid w:val="007D0C67"/>
    <w:rsid w:val="007D0E3F"/>
    <w:rsid w:val="007E569D"/>
    <w:rsid w:val="007F223C"/>
    <w:rsid w:val="007F42C5"/>
    <w:rsid w:val="00810B6F"/>
    <w:rsid w:val="00815718"/>
    <w:rsid w:val="00822CE0"/>
    <w:rsid w:val="00823FF9"/>
    <w:rsid w:val="00841AB1"/>
    <w:rsid w:val="00874E66"/>
    <w:rsid w:val="008C4A33"/>
    <w:rsid w:val="008C6117"/>
    <w:rsid w:val="008C68F1"/>
    <w:rsid w:val="008D30C5"/>
    <w:rsid w:val="008D4F70"/>
    <w:rsid w:val="00921803"/>
    <w:rsid w:val="00923E35"/>
    <w:rsid w:val="00926503"/>
    <w:rsid w:val="009377D8"/>
    <w:rsid w:val="00943ACD"/>
    <w:rsid w:val="00947B4D"/>
    <w:rsid w:val="009726D8"/>
    <w:rsid w:val="00982BF9"/>
    <w:rsid w:val="009D7308"/>
    <w:rsid w:val="009F76DB"/>
    <w:rsid w:val="00A069B5"/>
    <w:rsid w:val="00A27808"/>
    <w:rsid w:val="00A32C3B"/>
    <w:rsid w:val="00A41060"/>
    <w:rsid w:val="00A45F4F"/>
    <w:rsid w:val="00A600A9"/>
    <w:rsid w:val="00A8013F"/>
    <w:rsid w:val="00AA120E"/>
    <w:rsid w:val="00AA55B7"/>
    <w:rsid w:val="00AA5B9E"/>
    <w:rsid w:val="00AB2407"/>
    <w:rsid w:val="00AB53DF"/>
    <w:rsid w:val="00AF350B"/>
    <w:rsid w:val="00AF64B2"/>
    <w:rsid w:val="00B07E5C"/>
    <w:rsid w:val="00B10690"/>
    <w:rsid w:val="00B3712A"/>
    <w:rsid w:val="00B4063A"/>
    <w:rsid w:val="00B811F7"/>
    <w:rsid w:val="00B8499A"/>
    <w:rsid w:val="00B913E9"/>
    <w:rsid w:val="00B945BD"/>
    <w:rsid w:val="00B97556"/>
    <w:rsid w:val="00BA5DC6"/>
    <w:rsid w:val="00BA6196"/>
    <w:rsid w:val="00BC6D8C"/>
    <w:rsid w:val="00BD2A6A"/>
    <w:rsid w:val="00BD5379"/>
    <w:rsid w:val="00BF575C"/>
    <w:rsid w:val="00BF7164"/>
    <w:rsid w:val="00BF7B55"/>
    <w:rsid w:val="00C17963"/>
    <w:rsid w:val="00C23825"/>
    <w:rsid w:val="00C27060"/>
    <w:rsid w:val="00C3027F"/>
    <w:rsid w:val="00C34006"/>
    <w:rsid w:val="00C36B4C"/>
    <w:rsid w:val="00C426B1"/>
    <w:rsid w:val="00C55A17"/>
    <w:rsid w:val="00C6145C"/>
    <w:rsid w:val="00C63C85"/>
    <w:rsid w:val="00C66160"/>
    <w:rsid w:val="00C721AC"/>
    <w:rsid w:val="00C72C30"/>
    <w:rsid w:val="00C90D6A"/>
    <w:rsid w:val="00CA247E"/>
    <w:rsid w:val="00CA4CE7"/>
    <w:rsid w:val="00CA6D21"/>
    <w:rsid w:val="00CC72B6"/>
    <w:rsid w:val="00CF021F"/>
    <w:rsid w:val="00D0218D"/>
    <w:rsid w:val="00D16857"/>
    <w:rsid w:val="00D25FB5"/>
    <w:rsid w:val="00D423B0"/>
    <w:rsid w:val="00D44223"/>
    <w:rsid w:val="00D60D91"/>
    <w:rsid w:val="00D6392C"/>
    <w:rsid w:val="00D64E57"/>
    <w:rsid w:val="00D84577"/>
    <w:rsid w:val="00D8571E"/>
    <w:rsid w:val="00D975B7"/>
    <w:rsid w:val="00DA2529"/>
    <w:rsid w:val="00DB10EE"/>
    <w:rsid w:val="00DB130A"/>
    <w:rsid w:val="00DB2EBB"/>
    <w:rsid w:val="00DC10A1"/>
    <w:rsid w:val="00DC543F"/>
    <w:rsid w:val="00DC5CAC"/>
    <w:rsid w:val="00DC655F"/>
    <w:rsid w:val="00DD0B59"/>
    <w:rsid w:val="00DD7EBD"/>
    <w:rsid w:val="00DF62B6"/>
    <w:rsid w:val="00E07225"/>
    <w:rsid w:val="00E1189A"/>
    <w:rsid w:val="00E15AFA"/>
    <w:rsid w:val="00E26139"/>
    <w:rsid w:val="00E32F73"/>
    <w:rsid w:val="00E4234B"/>
    <w:rsid w:val="00E4519B"/>
    <w:rsid w:val="00E5409F"/>
    <w:rsid w:val="00E60119"/>
    <w:rsid w:val="00E66756"/>
    <w:rsid w:val="00E80030"/>
    <w:rsid w:val="00EE25D2"/>
    <w:rsid w:val="00EE4177"/>
    <w:rsid w:val="00EE6488"/>
    <w:rsid w:val="00F021FA"/>
    <w:rsid w:val="00F02727"/>
    <w:rsid w:val="00F11399"/>
    <w:rsid w:val="00F36DD9"/>
    <w:rsid w:val="00F62E97"/>
    <w:rsid w:val="00F64209"/>
    <w:rsid w:val="00F67AFF"/>
    <w:rsid w:val="00F875DF"/>
    <w:rsid w:val="00F92630"/>
    <w:rsid w:val="00F93BF5"/>
    <w:rsid w:val="00F94259"/>
    <w:rsid w:val="00FC0CFA"/>
    <w:rsid w:val="00FD6AD8"/>
    <w:rsid w:val="00FE0253"/>
    <w:rsid w:val="00FF60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40AA67"/>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C481A"/>
    <w:pPr>
      <w:widowControl w:val="0"/>
    </w:pPr>
    <w:rPr>
      <w:snapToGrid w:val="0"/>
      <w:kern w:val="28"/>
      <w:sz w:val="22"/>
    </w:rPr>
  </w:style>
  <w:style w:type="paragraph" w:styleId="Heading1">
    <w:name w:val="heading 1"/>
    <w:basedOn w:val="Normal"/>
    <w:next w:val="ParaNum"/>
    <w:link w:val="Heading1Char"/>
    <w:qFormat/>
    <w:rsid w:val="002C481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481A"/>
    <w:pPr>
      <w:keepNext/>
      <w:numPr>
        <w:ilvl w:val="1"/>
        <w:numId w:val="3"/>
      </w:numPr>
      <w:spacing w:after="120"/>
      <w:outlineLvl w:val="1"/>
    </w:pPr>
    <w:rPr>
      <w:b/>
    </w:rPr>
  </w:style>
  <w:style w:type="paragraph" w:styleId="Heading3">
    <w:name w:val="heading 3"/>
    <w:basedOn w:val="Normal"/>
    <w:next w:val="ParaNum"/>
    <w:qFormat/>
    <w:rsid w:val="002C481A"/>
    <w:pPr>
      <w:keepNext/>
      <w:numPr>
        <w:ilvl w:val="2"/>
        <w:numId w:val="3"/>
      </w:numPr>
      <w:tabs>
        <w:tab w:val="left" w:pos="2160"/>
      </w:tabs>
      <w:spacing w:after="120"/>
      <w:outlineLvl w:val="2"/>
    </w:pPr>
    <w:rPr>
      <w:b/>
    </w:rPr>
  </w:style>
  <w:style w:type="paragraph" w:styleId="Heading4">
    <w:name w:val="heading 4"/>
    <w:basedOn w:val="Normal"/>
    <w:next w:val="ParaNum"/>
    <w:qFormat/>
    <w:rsid w:val="002C481A"/>
    <w:pPr>
      <w:keepNext/>
      <w:numPr>
        <w:ilvl w:val="3"/>
        <w:numId w:val="3"/>
      </w:numPr>
      <w:tabs>
        <w:tab w:val="left" w:pos="2880"/>
      </w:tabs>
      <w:spacing w:after="120"/>
      <w:outlineLvl w:val="3"/>
    </w:pPr>
    <w:rPr>
      <w:b/>
    </w:rPr>
  </w:style>
  <w:style w:type="paragraph" w:styleId="Heading5">
    <w:name w:val="heading 5"/>
    <w:basedOn w:val="Normal"/>
    <w:next w:val="ParaNum"/>
    <w:qFormat/>
    <w:rsid w:val="002C481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C481A"/>
    <w:pPr>
      <w:numPr>
        <w:ilvl w:val="5"/>
        <w:numId w:val="3"/>
      </w:numPr>
      <w:tabs>
        <w:tab w:val="left" w:pos="4320"/>
      </w:tabs>
      <w:spacing w:after="120"/>
      <w:outlineLvl w:val="5"/>
    </w:pPr>
    <w:rPr>
      <w:b/>
    </w:rPr>
  </w:style>
  <w:style w:type="paragraph" w:styleId="Heading7">
    <w:name w:val="heading 7"/>
    <w:basedOn w:val="Normal"/>
    <w:next w:val="ParaNum"/>
    <w:qFormat/>
    <w:rsid w:val="002C481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C481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C481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48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481A"/>
  </w:style>
  <w:style w:type="paragraph" w:customStyle="1" w:styleId="ParaNum">
    <w:name w:val="ParaNum"/>
    <w:basedOn w:val="Normal"/>
    <w:link w:val="ParaNumChar"/>
    <w:rsid w:val="002C481A"/>
    <w:pPr>
      <w:numPr>
        <w:numId w:val="2"/>
      </w:numPr>
      <w:tabs>
        <w:tab w:val="clear" w:pos="1080"/>
        <w:tab w:val="num" w:pos="1440"/>
      </w:tabs>
      <w:spacing w:after="120"/>
    </w:pPr>
  </w:style>
  <w:style w:type="paragraph" w:styleId="EndnoteText">
    <w:name w:val="endnote text"/>
    <w:basedOn w:val="Normal"/>
    <w:semiHidden/>
    <w:rsid w:val="002C481A"/>
    <w:rPr>
      <w:sz w:val="20"/>
    </w:rPr>
  </w:style>
  <w:style w:type="character" w:styleId="EndnoteReference">
    <w:name w:val="endnote reference"/>
    <w:semiHidden/>
    <w:rsid w:val="002C481A"/>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2C481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C481A"/>
    <w:rPr>
      <w:rFonts w:ascii="Times New Roman" w:hAnsi="Times New Roman"/>
      <w:dstrike w:val="0"/>
      <w:color w:val="auto"/>
      <w:sz w:val="20"/>
      <w:vertAlign w:val="superscript"/>
    </w:rPr>
  </w:style>
  <w:style w:type="paragraph" w:styleId="TOC1">
    <w:name w:val="toc 1"/>
    <w:basedOn w:val="Normal"/>
    <w:next w:val="Normal"/>
    <w:semiHidden/>
    <w:rsid w:val="002C481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481A"/>
    <w:pPr>
      <w:tabs>
        <w:tab w:val="left" w:pos="720"/>
        <w:tab w:val="right" w:leader="dot" w:pos="9360"/>
      </w:tabs>
      <w:suppressAutoHyphens/>
      <w:ind w:left="720" w:right="720" w:hanging="360"/>
    </w:pPr>
    <w:rPr>
      <w:noProof/>
    </w:rPr>
  </w:style>
  <w:style w:type="paragraph" w:styleId="TOC3">
    <w:name w:val="toc 3"/>
    <w:basedOn w:val="Normal"/>
    <w:next w:val="Normal"/>
    <w:semiHidden/>
    <w:rsid w:val="002C481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481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481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481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481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481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481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481A"/>
    <w:pPr>
      <w:tabs>
        <w:tab w:val="right" w:pos="9360"/>
      </w:tabs>
      <w:suppressAutoHyphens/>
    </w:pPr>
  </w:style>
  <w:style w:type="character" w:customStyle="1" w:styleId="EquationCaption">
    <w:name w:val="_Equation Caption"/>
    <w:rsid w:val="002C481A"/>
  </w:style>
  <w:style w:type="paragraph" w:styleId="Header">
    <w:name w:val="header"/>
    <w:basedOn w:val="Normal"/>
    <w:autoRedefine/>
    <w:rsid w:val="002C481A"/>
    <w:pPr>
      <w:tabs>
        <w:tab w:val="center" w:pos="4680"/>
        <w:tab w:val="right" w:pos="9360"/>
      </w:tabs>
    </w:pPr>
    <w:rPr>
      <w:b/>
    </w:rPr>
  </w:style>
  <w:style w:type="paragraph" w:styleId="Footer">
    <w:name w:val="footer"/>
    <w:basedOn w:val="Normal"/>
    <w:link w:val="FooterChar"/>
    <w:uiPriority w:val="99"/>
    <w:rsid w:val="002C481A"/>
    <w:pPr>
      <w:tabs>
        <w:tab w:val="center" w:pos="4320"/>
        <w:tab w:val="right" w:pos="8640"/>
      </w:tabs>
    </w:pPr>
  </w:style>
  <w:style w:type="character" w:styleId="PageNumber">
    <w:name w:val="page number"/>
    <w:basedOn w:val="DefaultParagraphFont"/>
    <w:rsid w:val="002C481A"/>
  </w:style>
  <w:style w:type="paragraph" w:styleId="BlockText">
    <w:name w:val="Block Text"/>
    <w:basedOn w:val="Normal"/>
    <w:rsid w:val="002C481A"/>
    <w:pPr>
      <w:spacing w:after="240"/>
      <w:ind w:left="1440" w:right="1440"/>
    </w:pPr>
  </w:style>
  <w:style w:type="paragraph" w:customStyle="1" w:styleId="Paratitle">
    <w:name w:val="Para title"/>
    <w:basedOn w:val="Normal"/>
    <w:rsid w:val="002C481A"/>
    <w:pPr>
      <w:tabs>
        <w:tab w:val="center" w:pos="9270"/>
      </w:tabs>
      <w:spacing w:after="240"/>
    </w:pPr>
    <w:rPr>
      <w:spacing w:val="-2"/>
    </w:rPr>
  </w:style>
  <w:style w:type="paragraph" w:customStyle="1" w:styleId="Bullet">
    <w:name w:val="Bullet"/>
    <w:basedOn w:val="Normal"/>
    <w:rsid w:val="002C481A"/>
    <w:pPr>
      <w:tabs>
        <w:tab w:val="left" w:pos="2160"/>
      </w:tabs>
      <w:spacing w:after="220"/>
      <w:ind w:left="2160" w:hanging="720"/>
    </w:pPr>
  </w:style>
  <w:style w:type="paragraph" w:customStyle="1" w:styleId="TableFormat">
    <w:name w:val="TableFormat"/>
    <w:basedOn w:val="Bullet"/>
    <w:rsid w:val="002C481A"/>
    <w:pPr>
      <w:tabs>
        <w:tab w:val="clear" w:pos="2160"/>
        <w:tab w:val="left" w:pos="5040"/>
      </w:tabs>
      <w:ind w:left="5040" w:hanging="3600"/>
    </w:pPr>
  </w:style>
  <w:style w:type="paragraph" w:customStyle="1" w:styleId="TOCTitle">
    <w:name w:val="TOC Title"/>
    <w:basedOn w:val="Normal"/>
    <w:rsid w:val="002C48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481A"/>
    <w:pPr>
      <w:jc w:val="center"/>
    </w:pPr>
    <w:rPr>
      <w:rFonts w:ascii="Times New Roman Bold" w:hAnsi="Times New Roman Bold"/>
      <w:b/>
      <w:bCs/>
      <w:caps/>
      <w:szCs w:val="22"/>
    </w:rPr>
  </w:style>
  <w:style w:type="character" w:styleId="Hyperlink">
    <w:name w:val="Hyperlink"/>
    <w:rsid w:val="002C481A"/>
    <w:rPr>
      <w:color w:val="0000FF"/>
      <w:u w:val="single"/>
    </w:rPr>
  </w:style>
  <w:style w:type="character" w:customStyle="1" w:styleId="FooterChar">
    <w:name w:val="Footer Char"/>
    <w:link w:val="Footer"/>
    <w:uiPriority w:val="99"/>
    <w:rsid w:val="002C481A"/>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styleId="Emphasis">
    <w:name w:val="Emphasis"/>
    <w:basedOn w:val="DefaultParagraphFont"/>
    <w:uiPriority w:val="20"/>
    <w:qFormat/>
    <w:rsid w:val="00357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