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P="00AE2D78" w14:paraId="6D973A36" w14:textId="77777777">
      <w:pPr>
        <w:jc w:val="center"/>
        <w:rPr>
          <w:b/>
          <w:szCs w:val="22"/>
        </w:rPr>
      </w:pPr>
      <w:r>
        <w:rPr>
          <w:b/>
          <w:szCs w:val="22"/>
        </w:rPr>
        <w:t>Before the</w:t>
      </w:r>
    </w:p>
    <w:p w:rsidR="00AE2D78" w:rsidP="00AE2D78" w14:paraId="5DA1124A" w14:textId="77777777">
      <w:pPr>
        <w:jc w:val="center"/>
        <w:rPr>
          <w:b/>
          <w:szCs w:val="22"/>
        </w:rPr>
      </w:pPr>
      <w:r>
        <w:rPr>
          <w:b/>
          <w:szCs w:val="22"/>
        </w:rPr>
        <w:t>Federal Communications Commission</w:t>
      </w:r>
    </w:p>
    <w:p w:rsidR="00AE2D78" w:rsidP="00AE2D78" w14:paraId="074797A6" w14:textId="77777777">
      <w:pPr>
        <w:jc w:val="center"/>
        <w:rPr>
          <w:b/>
          <w:szCs w:val="22"/>
        </w:rPr>
      </w:pPr>
      <w:r>
        <w:rPr>
          <w:b/>
          <w:szCs w:val="22"/>
        </w:rPr>
        <w:t>Washington, D.C. 20554</w:t>
      </w:r>
    </w:p>
    <w:p w:rsidR="00AE2D78" w:rsidP="00AE2D78" w14:paraId="60916AF5" w14:textId="77777777">
      <w:pPr>
        <w:rPr>
          <w:szCs w:val="22"/>
        </w:rPr>
      </w:pPr>
    </w:p>
    <w:tbl>
      <w:tblPr>
        <w:tblW w:w="9648" w:type="dxa"/>
        <w:tblLayout w:type="fixed"/>
        <w:tblLook w:val="0000"/>
      </w:tblPr>
      <w:tblGrid>
        <w:gridCol w:w="4698"/>
        <w:gridCol w:w="720"/>
        <w:gridCol w:w="4230"/>
      </w:tblGrid>
      <w:tr w14:paraId="3A2F93BF" w14:textId="77777777" w:rsidTr="00197841">
        <w:tblPrEx>
          <w:tblW w:w="9648" w:type="dxa"/>
          <w:tblLayout w:type="fixed"/>
          <w:tblLook w:val="0000"/>
        </w:tblPrEx>
        <w:tc>
          <w:tcPr>
            <w:tcW w:w="4698" w:type="dxa"/>
          </w:tcPr>
          <w:p w:rsidR="00AE2D78" w:rsidP="00197841" w14:paraId="45C126EC" w14:textId="77777777">
            <w:pPr>
              <w:ind w:right="-18"/>
              <w:rPr>
                <w:szCs w:val="22"/>
              </w:rPr>
            </w:pPr>
            <w:r>
              <w:rPr>
                <w:szCs w:val="22"/>
              </w:rPr>
              <w:t xml:space="preserve">In re Application of  </w:t>
            </w:r>
          </w:p>
          <w:p w:rsidR="00AE2D78" w:rsidP="00197841" w14:paraId="1DFF177C" w14:textId="77777777">
            <w:pPr>
              <w:ind w:right="-18"/>
              <w:rPr>
                <w:szCs w:val="22"/>
              </w:rPr>
            </w:pPr>
          </w:p>
          <w:p w:rsidR="00AE2D78" w:rsidP="00197841" w14:paraId="5E34AB2A" w14:textId="6B98B373">
            <w:pPr>
              <w:tabs>
                <w:tab w:val="left" w:pos="0"/>
              </w:tabs>
              <w:suppressAutoHyphens/>
              <w:ind w:left="5040" w:hanging="5040"/>
              <w:rPr>
                <w:b/>
                <w:szCs w:val="22"/>
              </w:rPr>
            </w:pPr>
            <w:r>
              <w:rPr>
                <w:b/>
                <w:szCs w:val="22"/>
              </w:rPr>
              <w:t>SCLC Jacksonville Florida</w:t>
            </w:r>
          </w:p>
          <w:p w:rsidR="00AE2D78" w:rsidP="00197841" w14:paraId="2597502A" w14:textId="77777777">
            <w:pPr>
              <w:tabs>
                <w:tab w:val="left" w:pos="0"/>
              </w:tabs>
              <w:suppressAutoHyphens/>
              <w:ind w:left="5040" w:hanging="5040"/>
              <w:rPr>
                <w:szCs w:val="22"/>
              </w:rPr>
            </w:pPr>
          </w:p>
          <w:p w:rsidR="00AE2D78" w:rsidP="00197841" w14:paraId="38EB0FEF" w14:textId="77777777">
            <w:pPr>
              <w:ind w:right="-18"/>
              <w:rPr>
                <w:szCs w:val="22"/>
              </w:rPr>
            </w:pPr>
            <w:r>
              <w:rPr>
                <w:szCs w:val="22"/>
              </w:rPr>
              <w:t>For Renewal of License for</w:t>
            </w:r>
          </w:p>
          <w:p w:rsidR="00AE2D78" w:rsidP="00197841" w14:paraId="2CCF11E7" w14:textId="70EAD30B">
            <w:pPr>
              <w:ind w:right="-18"/>
              <w:rPr>
                <w:b/>
                <w:szCs w:val="22"/>
              </w:rPr>
            </w:pPr>
            <w:r>
              <w:rPr>
                <w:szCs w:val="22"/>
              </w:rPr>
              <w:t xml:space="preserve">Station </w:t>
            </w:r>
            <w:bookmarkStart w:id="0" w:name="_Hlk66709967"/>
            <w:r>
              <w:rPr>
                <w:szCs w:val="22"/>
              </w:rPr>
              <w:t>W</w:t>
            </w:r>
            <w:r w:rsidR="0041471C">
              <w:rPr>
                <w:szCs w:val="22"/>
              </w:rPr>
              <w:t>RIA</w:t>
            </w:r>
            <w:r w:rsidR="0028442B">
              <w:rPr>
                <w:szCs w:val="22"/>
              </w:rPr>
              <w:t>-LP</w:t>
            </w:r>
            <w:bookmarkEnd w:id="0"/>
          </w:p>
          <w:p w:rsidR="00AE2D78" w:rsidP="00197841" w14:paraId="1EEE88BC" w14:textId="0C963B79">
            <w:pPr>
              <w:ind w:right="-18"/>
              <w:rPr>
                <w:szCs w:val="22"/>
              </w:rPr>
            </w:pPr>
            <w:r>
              <w:rPr>
                <w:szCs w:val="22"/>
              </w:rPr>
              <w:t>Jacksonville</w:t>
            </w:r>
            <w:r w:rsidR="00014107">
              <w:rPr>
                <w:szCs w:val="22"/>
              </w:rPr>
              <w:t>, Florida</w:t>
            </w:r>
          </w:p>
        </w:tc>
        <w:tc>
          <w:tcPr>
            <w:tcW w:w="720" w:type="dxa"/>
          </w:tcPr>
          <w:p w:rsidR="00AE2D78" w:rsidP="00197841" w14:paraId="40006884" w14:textId="77777777">
            <w:pPr>
              <w:rPr>
                <w:b/>
                <w:szCs w:val="22"/>
              </w:rPr>
            </w:pPr>
            <w:r>
              <w:rPr>
                <w:b/>
                <w:szCs w:val="22"/>
              </w:rPr>
              <w:t>)</w:t>
            </w:r>
          </w:p>
          <w:p w:rsidR="00AE2D78" w:rsidP="00197841" w14:paraId="6AB67015" w14:textId="77777777">
            <w:pPr>
              <w:rPr>
                <w:b/>
                <w:szCs w:val="22"/>
              </w:rPr>
            </w:pPr>
            <w:r>
              <w:rPr>
                <w:b/>
                <w:szCs w:val="22"/>
              </w:rPr>
              <w:t>)</w:t>
            </w:r>
          </w:p>
          <w:p w:rsidR="00AE2D78" w:rsidP="00197841" w14:paraId="73F6D78D" w14:textId="77777777">
            <w:pPr>
              <w:rPr>
                <w:b/>
                <w:szCs w:val="22"/>
              </w:rPr>
            </w:pPr>
            <w:r>
              <w:rPr>
                <w:b/>
                <w:szCs w:val="22"/>
              </w:rPr>
              <w:t>)</w:t>
            </w:r>
          </w:p>
          <w:p w:rsidR="00AE2D78" w:rsidP="00197841" w14:paraId="5FB83B13" w14:textId="77777777">
            <w:pPr>
              <w:rPr>
                <w:b/>
                <w:szCs w:val="22"/>
              </w:rPr>
            </w:pPr>
            <w:r>
              <w:rPr>
                <w:b/>
                <w:szCs w:val="22"/>
              </w:rPr>
              <w:t>)</w:t>
            </w:r>
          </w:p>
          <w:p w:rsidR="00AE2D78" w:rsidP="00197841" w14:paraId="39BF35AC" w14:textId="77777777">
            <w:pPr>
              <w:rPr>
                <w:b/>
                <w:szCs w:val="22"/>
              </w:rPr>
            </w:pPr>
            <w:r>
              <w:rPr>
                <w:b/>
                <w:szCs w:val="22"/>
              </w:rPr>
              <w:t>)</w:t>
            </w:r>
          </w:p>
          <w:p w:rsidR="00AE2D78" w:rsidP="00197841" w14:paraId="777AE54B" w14:textId="77777777">
            <w:pPr>
              <w:rPr>
                <w:b/>
                <w:szCs w:val="22"/>
              </w:rPr>
            </w:pPr>
            <w:r>
              <w:rPr>
                <w:b/>
                <w:szCs w:val="22"/>
              </w:rPr>
              <w:t>)</w:t>
            </w:r>
          </w:p>
          <w:p w:rsidR="00AE2D78" w:rsidP="00197841" w14:paraId="40BB57F8" w14:textId="77777777">
            <w:pPr>
              <w:rPr>
                <w:b/>
                <w:szCs w:val="22"/>
              </w:rPr>
            </w:pPr>
            <w:r>
              <w:rPr>
                <w:b/>
                <w:szCs w:val="22"/>
              </w:rPr>
              <w:t>)</w:t>
            </w:r>
          </w:p>
        </w:tc>
        <w:tc>
          <w:tcPr>
            <w:tcW w:w="4230" w:type="dxa"/>
          </w:tcPr>
          <w:p w:rsidR="00AE2D78" w:rsidP="00197841" w14:paraId="6E2AAA52" w14:textId="77777777">
            <w:pPr>
              <w:rPr>
                <w:szCs w:val="22"/>
              </w:rPr>
            </w:pPr>
          </w:p>
          <w:p w:rsidR="00AE2D78" w:rsidP="00197841" w14:paraId="75D4F4D6" w14:textId="77777777">
            <w:pPr>
              <w:rPr>
                <w:szCs w:val="22"/>
              </w:rPr>
            </w:pPr>
          </w:p>
          <w:p w:rsidR="00AE2D78" w:rsidP="00197841" w14:paraId="05C1A910" w14:textId="010FA1BB">
            <w:pPr>
              <w:rPr>
                <w:szCs w:val="22"/>
              </w:rPr>
            </w:pPr>
            <w:r>
              <w:rPr>
                <w:szCs w:val="22"/>
              </w:rPr>
              <w:t xml:space="preserve">Facility ID No. </w:t>
            </w:r>
            <w:r w:rsidRPr="0041471C" w:rsidR="0041471C">
              <w:rPr>
                <w:szCs w:val="22"/>
              </w:rPr>
              <w:t>192585</w:t>
            </w:r>
          </w:p>
          <w:p w:rsidR="00AE2D78" w:rsidP="00197841" w14:paraId="717F6CE7" w14:textId="01AD6EAA">
            <w:pPr>
              <w:rPr>
                <w:szCs w:val="22"/>
              </w:rPr>
            </w:pPr>
            <w:r w:rsidRPr="00994B28">
              <w:rPr>
                <w:szCs w:val="22"/>
              </w:rPr>
              <w:t>NAL/Acct. No.</w:t>
            </w:r>
            <w:r w:rsidR="0084681F">
              <w:rPr>
                <w:szCs w:val="22"/>
              </w:rPr>
              <w:t xml:space="preserve"> </w:t>
            </w:r>
            <w:r w:rsidR="00994B28">
              <w:t>MB-202141410044</w:t>
            </w:r>
          </w:p>
          <w:p w:rsidR="00AE2D78" w:rsidRPr="006B0B35" w:rsidP="00197841" w14:paraId="4081CC8F" w14:textId="1C1D5C33">
            <w:pPr>
              <w:rPr>
                <w:szCs w:val="22"/>
              </w:rPr>
            </w:pPr>
            <w:r>
              <w:rPr>
                <w:szCs w:val="22"/>
              </w:rPr>
              <w:t xml:space="preserve">FRN:  </w:t>
            </w:r>
            <w:r w:rsidRPr="0041471C" w:rsidR="0041471C">
              <w:rPr>
                <w:szCs w:val="22"/>
              </w:rPr>
              <w:t>0023116023</w:t>
            </w:r>
          </w:p>
          <w:p w:rsidR="00AE2D78" w:rsidP="00197841" w14:paraId="4E91607E" w14:textId="0EC0EAF6">
            <w:pPr>
              <w:rPr>
                <w:szCs w:val="22"/>
              </w:rPr>
            </w:pPr>
            <w:r>
              <w:t>File No</w:t>
            </w:r>
            <w:bookmarkStart w:id="1" w:name="_Hlk41742021"/>
            <w:r w:rsidR="00816E67">
              <w:t xml:space="preserve">. </w:t>
            </w:r>
            <w:r w:rsidR="006A6CFC">
              <w:t>0000106586</w:t>
            </w:r>
            <w:bookmarkEnd w:id="1"/>
          </w:p>
        </w:tc>
      </w:tr>
    </w:tbl>
    <w:p w:rsidR="00AE2D78" w:rsidP="00AE2D78" w14:paraId="4E43D549" w14:textId="77777777">
      <w:pPr>
        <w:rPr>
          <w:szCs w:val="22"/>
        </w:rPr>
      </w:pPr>
    </w:p>
    <w:p w:rsidR="00AE2D78" w:rsidP="00AE2D78" w14:paraId="1B5A35A0" w14:textId="77777777">
      <w:pPr>
        <w:jc w:val="center"/>
        <w:rPr>
          <w:b/>
          <w:spacing w:val="-2"/>
          <w:szCs w:val="22"/>
        </w:rPr>
      </w:pPr>
      <w:r>
        <w:rPr>
          <w:b/>
          <w:spacing w:val="-2"/>
          <w:szCs w:val="22"/>
        </w:rPr>
        <w:t xml:space="preserve">MEMORANDUM OPINION AND ORDER </w:t>
      </w:r>
    </w:p>
    <w:p w:rsidR="00AE2D78" w:rsidP="00AE2D78" w14:paraId="6EC80860" w14:textId="77777777">
      <w:pPr>
        <w:jc w:val="center"/>
        <w:rPr>
          <w:b/>
          <w:spacing w:val="-2"/>
          <w:szCs w:val="22"/>
        </w:rPr>
      </w:pPr>
      <w:r>
        <w:rPr>
          <w:b/>
          <w:spacing w:val="-2"/>
          <w:szCs w:val="22"/>
        </w:rPr>
        <w:t>AND</w:t>
      </w:r>
    </w:p>
    <w:p w:rsidR="00AE2D78" w:rsidP="00AE2D78" w14:paraId="0AF62F22" w14:textId="77777777">
      <w:pPr>
        <w:jc w:val="center"/>
        <w:rPr>
          <w:b/>
          <w:szCs w:val="22"/>
        </w:rPr>
      </w:pPr>
      <w:r>
        <w:rPr>
          <w:b/>
          <w:spacing w:val="-2"/>
          <w:szCs w:val="22"/>
        </w:rPr>
        <w:t>NOTICE OF APPARENT LIABILITY FOR FORFEITURE</w:t>
      </w:r>
    </w:p>
    <w:p w:rsidR="00AE2D78" w:rsidP="00AE2D78" w14:paraId="217AE054" w14:textId="77777777">
      <w:pPr>
        <w:rPr>
          <w:szCs w:val="22"/>
        </w:rPr>
      </w:pPr>
    </w:p>
    <w:p w:rsidR="00AE2D78" w:rsidP="00AE2D78" w14:paraId="01FCBA1B" w14:textId="196AE5CD">
      <w:pPr>
        <w:tabs>
          <w:tab w:val="left" w:pos="5760"/>
        </w:tabs>
        <w:rPr>
          <w:b/>
          <w:szCs w:val="22"/>
        </w:rPr>
      </w:pPr>
      <w:r w:rsidRPr="00994B28">
        <w:rPr>
          <w:b/>
          <w:szCs w:val="22"/>
        </w:rPr>
        <w:t xml:space="preserve">Adopted: </w:t>
      </w:r>
      <w:r w:rsidRPr="00994B28" w:rsidR="00787F68">
        <w:rPr>
          <w:b/>
          <w:szCs w:val="22"/>
        </w:rPr>
        <w:t xml:space="preserve"> </w:t>
      </w:r>
      <w:r w:rsidR="00994B28">
        <w:rPr>
          <w:b/>
          <w:szCs w:val="22"/>
        </w:rPr>
        <w:t>September 2, 2021</w:t>
      </w:r>
      <w:r w:rsidRPr="00994B28">
        <w:rPr>
          <w:b/>
          <w:szCs w:val="22"/>
        </w:rPr>
        <w:tab/>
      </w:r>
      <w:r w:rsidRPr="00994B28" w:rsidR="003344E3">
        <w:rPr>
          <w:b/>
          <w:szCs w:val="22"/>
        </w:rPr>
        <w:tab/>
      </w:r>
      <w:r w:rsidRPr="00994B28">
        <w:rPr>
          <w:b/>
          <w:szCs w:val="22"/>
        </w:rPr>
        <w:t>Released:</w:t>
      </w:r>
      <w:r>
        <w:rPr>
          <w:b/>
          <w:szCs w:val="22"/>
        </w:rPr>
        <w:t xml:space="preserve"> </w:t>
      </w:r>
      <w:r w:rsidR="009C4B9E">
        <w:rPr>
          <w:b/>
          <w:szCs w:val="22"/>
        </w:rPr>
        <w:t xml:space="preserve"> </w:t>
      </w:r>
      <w:r w:rsidR="00994B28">
        <w:rPr>
          <w:b/>
          <w:szCs w:val="22"/>
        </w:rPr>
        <w:t>September 2, 2021</w:t>
      </w:r>
    </w:p>
    <w:p w:rsidR="00AE2D78" w:rsidP="00AE2D78" w14:paraId="577C4B24" w14:textId="77777777">
      <w:pPr>
        <w:tabs>
          <w:tab w:val="left" w:pos="5760"/>
        </w:tabs>
        <w:rPr>
          <w:b/>
          <w:szCs w:val="22"/>
        </w:rPr>
      </w:pPr>
    </w:p>
    <w:p w:rsidR="00AE2D78" w:rsidP="00AE2D78" w14:paraId="565B79CC" w14:textId="77777777">
      <w:pPr>
        <w:tabs>
          <w:tab w:val="left" w:pos="5760"/>
        </w:tabs>
        <w:rPr>
          <w:spacing w:val="-2"/>
          <w:szCs w:val="22"/>
        </w:rPr>
      </w:pPr>
      <w:r>
        <w:rPr>
          <w:szCs w:val="22"/>
        </w:rPr>
        <w:t>By the Chief, Audio Division, Media Bureau</w:t>
      </w:r>
      <w:r>
        <w:rPr>
          <w:spacing w:val="-2"/>
          <w:szCs w:val="22"/>
        </w:rPr>
        <w:t>:</w:t>
      </w:r>
    </w:p>
    <w:p w:rsidR="00AE2D78" w:rsidP="00AE2D78" w14:paraId="0E5C702A" w14:textId="77777777">
      <w:pPr>
        <w:tabs>
          <w:tab w:val="left" w:pos="5760"/>
        </w:tabs>
        <w:rPr>
          <w:szCs w:val="22"/>
        </w:rPr>
      </w:pPr>
    </w:p>
    <w:p w:rsidR="00AE2D78" w:rsidP="00971225" w14:paraId="0B47A1B3" w14:textId="32FB5AAC">
      <w:pPr>
        <w:pStyle w:val="Heading1"/>
      </w:pPr>
      <w:r>
        <w:t>INTRODUCTION</w:t>
      </w:r>
    </w:p>
    <w:p w:rsidR="00AE2D78" w:rsidP="00674FA2" w14:paraId="33859182" w14:textId="691B2B91">
      <w:pPr>
        <w:pStyle w:val="ParaNum"/>
      </w:pPr>
      <w:r w:rsidRPr="009D269D">
        <w:t xml:space="preserve">The Media Bureau </w:t>
      </w:r>
      <w:r>
        <w:t xml:space="preserve">(Bureau) </w:t>
      </w:r>
      <w:r w:rsidRPr="009D269D">
        <w:t xml:space="preserve">has before it the application </w:t>
      </w:r>
      <w:r>
        <w:t>(Application)</w:t>
      </w:r>
      <w:r>
        <w:rPr>
          <w:rStyle w:val="FootnoteReference"/>
        </w:rPr>
        <w:footnoteReference w:id="3"/>
      </w:r>
      <w:r>
        <w:t xml:space="preserve"> </w:t>
      </w:r>
      <w:r w:rsidRPr="00674FA2">
        <w:t xml:space="preserve">of </w:t>
      </w:r>
      <w:bookmarkStart w:id="2" w:name="_Hlk81474311"/>
      <w:r w:rsidRPr="00674FA2" w:rsidR="00674FA2">
        <w:t>SCLC Jacksonville Florida</w:t>
      </w:r>
      <w:bookmarkEnd w:id="2"/>
      <w:r w:rsidR="009C3B44">
        <w:t xml:space="preserve"> </w:t>
      </w:r>
      <w:r w:rsidRPr="009D269D">
        <w:t xml:space="preserve">(Licensee) for renewal of its license for </w:t>
      </w:r>
      <w:r w:rsidR="00816E67">
        <w:t xml:space="preserve">low-power </w:t>
      </w:r>
      <w:r w:rsidR="008B7DF1">
        <w:t>FM</w:t>
      </w:r>
      <w:r w:rsidR="00816E67">
        <w:t xml:space="preserve"> (LPFM) </w:t>
      </w:r>
      <w:r w:rsidRPr="009D269D">
        <w:t xml:space="preserve">Station </w:t>
      </w:r>
      <w:r w:rsidR="00674FA2">
        <w:t>WRIA</w:t>
      </w:r>
      <w:r w:rsidR="008C0432">
        <w:t xml:space="preserve">-LP, </w:t>
      </w:r>
      <w:r w:rsidR="000E0353">
        <w:t>Jacksonville</w:t>
      </w:r>
      <w:r w:rsidR="008C0432">
        <w:t>, Florida</w:t>
      </w:r>
      <w:r w:rsidRPr="009D269D">
        <w:t xml:space="preserve"> (Station).  In this </w:t>
      </w:r>
      <w:r w:rsidRPr="00674FA2">
        <w:rPr>
          <w:i/>
          <w:iCs/>
        </w:rPr>
        <w:t>Memorandum Opinion and Order and Notice of Apparent Liability for Forfeiture</w:t>
      </w:r>
      <w:r w:rsidRPr="009D269D">
        <w:t xml:space="preserve"> (</w:t>
      </w:r>
      <w:r w:rsidRPr="00674FA2">
        <w:rPr>
          <w:i/>
          <w:iCs/>
        </w:rPr>
        <w:t>NAL</w:t>
      </w:r>
      <w:r>
        <w:t>)</w:t>
      </w:r>
      <w:r w:rsidR="00B55994">
        <w:t>,</w:t>
      </w:r>
      <w:r>
        <w:rPr>
          <w:rStyle w:val="FootnoteReference"/>
        </w:rPr>
        <w:footnoteReference w:id="4"/>
      </w:r>
      <w:r w:rsidRPr="009D269D">
        <w:t xml:space="preserve"> we find that </w:t>
      </w:r>
      <w:r w:rsidR="00EC4C53">
        <w:t xml:space="preserve">the </w:t>
      </w:r>
      <w:r w:rsidRPr="009D269D">
        <w:t>Licensee apparently willfully</w:t>
      </w:r>
      <w:r>
        <w:t xml:space="preserve"> </w:t>
      </w:r>
      <w:r w:rsidRPr="009D269D">
        <w:t>violated</w:t>
      </w:r>
      <w:r w:rsidR="00146290">
        <w:t xml:space="preserve"> </w:t>
      </w:r>
      <w:r>
        <w:t>s</w:t>
      </w:r>
      <w:r w:rsidRPr="009D269D">
        <w:t>ection 73.3539 of the Rules</w:t>
      </w:r>
      <w:r>
        <w:rPr>
          <w:rStyle w:val="FootnoteReference"/>
        </w:rPr>
        <w:footnoteReference w:id="5"/>
      </w:r>
      <w:r w:rsidRPr="009D269D">
        <w:t xml:space="preserve"> by failing to file a</w:t>
      </w:r>
      <w:r>
        <w:t xml:space="preserve"> timely license renewal application for the Station</w:t>
      </w:r>
      <w:r w:rsidR="00971225">
        <w:t>,</w:t>
      </w:r>
      <w:r>
        <w:t xml:space="preserve"> and</w:t>
      </w:r>
      <w:r w:rsidR="00146290">
        <w:t xml:space="preserve"> </w:t>
      </w:r>
      <w:r w:rsidR="00971225">
        <w:t>willfully</w:t>
      </w:r>
      <w:r w:rsidR="00146290">
        <w:t xml:space="preserve"> and repeatedly violated </w:t>
      </w:r>
      <w:r>
        <w:t>section 301 of the Act</w:t>
      </w:r>
      <w:r>
        <w:rPr>
          <w:rStyle w:val="FootnoteReference"/>
        </w:rPr>
        <w:footnoteReference w:id="6"/>
      </w:r>
      <w:r>
        <w:t xml:space="preserve"> by engaging in unauthorized operation of the Station after its authorization had expired.  Based upon our review of the record before us, we conclude that Licensee is apparently liable for a monetary forfeiture in the amount of </w:t>
      </w:r>
      <w:r w:rsidR="003D4183">
        <w:t>three</w:t>
      </w:r>
      <w:r>
        <w:t xml:space="preserve"> thousand </w:t>
      </w:r>
      <w:r w:rsidR="003D4183">
        <w:t xml:space="preserve">five hundred </w:t>
      </w:r>
      <w:r>
        <w:t>dollars ($</w:t>
      </w:r>
      <w:r w:rsidR="00AC0054">
        <w:t>3,500</w:t>
      </w:r>
      <w:r>
        <w:t>)</w:t>
      </w:r>
      <w:r w:rsidRPr="00674FA2">
        <w:rPr>
          <w:szCs w:val="22"/>
        </w:rPr>
        <w:t>.</w:t>
      </w:r>
    </w:p>
    <w:p w:rsidR="00AE2D78" w:rsidP="00971225" w14:paraId="015537FB" w14:textId="77777777">
      <w:pPr>
        <w:pStyle w:val="Heading1"/>
      </w:pPr>
      <w:r>
        <w:t>BACKGROUND</w:t>
      </w:r>
    </w:p>
    <w:p w:rsidR="00581D3E" w:rsidRPr="00581D3E" w:rsidP="00816E67" w14:paraId="735D3DBA" w14:textId="07948B75">
      <w:pPr>
        <w:pStyle w:val="ParaNum"/>
        <w:widowControl/>
      </w:pPr>
      <w:r>
        <w:t xml:space="preserve">Section 73.3539(a) of the Rules requires that applications for renewal of license for broadcast stations must be filed “not later than the first day of the fourth full calendar month prior to </w:t>
      </w:r>
      <w:r w:rsidR="00AC0054">
        <w:t>the</w:t>
      </w:r>
      <w:r w:rsidR="00001C98">
        <w:t xml:space="preserve"> </w:t>
      </w:r>
      <w:r w:rsidRPr="00001C98" w:rsidR="00001C98">
        <w:t>expiration date of the license sought to be renewed.”</w:t>
      </w:r>
      <w:r>
        <w:rPr>
          <w:vertAlign w:val="superscript"/>
        </w:rPr>
        <w:footnoteReference w:id="7"/>
      </w:r>
      <w:r w:rsidRPr="00001C98" w:rsidR="00001C98">
        <w:t xml:space="preserve">  An application for renewal of the</w:t>
      </w:r>
      <w:r w:rsidR="00AC0054">
        <w:t xml:space="preserve"> Station’s </w:t>
      </w:r>
      <w:r>
        <w:t xml:space="preserve">license should have been filed by </w:t>
      </w:r>
      <w:r w:rsidR="005D10BF">
        <w:t>October 1</w:t>
      </w:r>
      <w:r w:rsidR="00AC0054">
        <w:t>, 20</w:t>
      </w:r>
      <w:r w:rsidR="005D10BF">
        <w:t>19</w:t>
      </w:r>
      <w:r>
        <w:t xml:space="preserve">, four months prior to the </w:t>
      </w:r>
      <w:r w:rsidR="00B35252">
        <w:t xml:space="preserve">Station’s </w:t>
      </w:r>
      <w:r>
        <w:t xml:space="preserve">license expiration date of </w:t>
      </w:r>
      <w:r w:rsidR="005D10BF">
        <w:t>February 1,</w:t>
      </w:r>
      <w:r w:rsidR="00AC0054">
        <w:t xml:space="preserve"> 2020</w:t>
      </w:r>
      <w:r>
        <w:t>,</w:t>
      </w:r>
      <w:r>
        <w:rPr>
          <w:rStyle w:val="FootnoteReference"/>
          <w:color w:val="000000"/>
          <w:szCs w:val="22"/>
        </w:rPr>
        <w:footnoteReference w:id="8"/>
      </w:r>
      <w:r>
        <w:t xml:space="preserve"> but was </w:t>
      </w:r>
      <w:r w:rsidRPr="00377315">
        <w:t xml:space="preserve">not.  Accordingly, on </w:t>
      </w:r>
      <w:r w:rsidRPr="00377315" w:rsidR="005D10BF">
        <w:t>January 1</w:t>
      </w:r>
      <w:r w:rsidRPr="00377315" w:rsidR="00884E73">
        <w:t>7</w:t>
      </w:r>
      <w:r w:rsidRPr="00377315" w:rsidR="005D10BF">
        <w:t>, 2020</w:t>
      </w:r>
      <w:r w:rsidRPr="00377315">
        <w:t xml:space="preserve">, the staff, by Public Notice, notified the Licensee that the Station’s license </w:t>
      </w:r>
      <w:r w:rsidRPr="00377315" w:rsidR="003D4183">
        <w:t xml:space="preserve">would expire on </w:t>
      </w:r>
      <w:r w:rsidRPr="00377315" w:rsidR="001A7F2D">
        <w:t>February</w:t>
      </w:r>
      <w:r w:rsidRPr="00377315" w:rsidR="003D4183">
        <w:t xml:space="preserve"> 1, 2020, if no renewal application was filed </w:t>
      </w:r>
      <w:r w:rsidRPr="00377315" w:rsidR="006C7F87">
        <w:t>by</w:t>
      </w:r>
      <w:r w:rsidRPr="00377315" w:rsidR="00001C98">
        <w:t xml:space="preserve"> </w:t>
      </w:r>
      <w:r w:rsidRPr="00377315" w:rsidR="003D4183">
        <w:t>that day</w:t>
      </w:r>
      <w:r w:rsidRPr="00377315">
        <w:rPr>
          <w:szCs w:val="22"/>
        </w:rPr>
        <w:t>.</w:t>
      </w:r>
      <w:r>
        <w:rPr>
          <w:rStyle w:val="FootnoteReference"/>
        </w:rPr>
        <w:footnoteReference w:id="9"/>
      </w:r>
      <w:r w:rsidR="004C4812">
        <w:rPr>
          <w:rStyle w:val="FootnoteReference"/>
        </w:rPr>
        <w:t xml:space="preserve"> </w:t>
      </w:r>
      <w:r w:rsidR="004C4812">
        <w:t xml:space="preserve"> </w:t>
      </w:r>
      <w:r w:rsidR="003D4183">
        <w:t xml:space="preserve">On </w:t>
      </w:r>
      <w:r w:rsidR="009C3B44">
        <w:t xml:space="preserve">February </w:t>
      </w:r>
      <w:r w:rsidR="00CD3D11">
        <w:t>25</w:t>
      </w:r>
      <w:r w:rsidR="003D4183">
        <w:t>, 2020</w:t>
      </w:r>
      <w:r w:rsidRPr="001C60F2">
        <w:t>,</w:t>
      </w:r>
      <w:r>
        <w:t xml:space="preserve"> </w:t>
      </w:r>
      <w:r w:rsidRPr="001C60F2">
        <w:t xml:space="preserve">Licensee filed </w:t>
      </w:r>
      <w:r w:rsidR="00FA596C">
        <w:t>the Application</w:t>
      </w:r>
      <w:r w:rsidR="001A7F2D">
        <w:t xml:space="preserve"> after the Statio</w:t>
      </w:r>
      <w:r w:rsidRPr="00F31413" w:rsidR="001A7F2D">
        <w:t xml:space="preserve">n’s license had </w:t>
      </w:r>
      <w:r w:rsidRPr="00F31413" w:rsidR="001A7F2D">
        <w:t>expired</w:t>
      </w:r>
      <w:r w:rsidRPr="00F31413">
        <w:t>.</w:t>
      </w:r>
      <w:r>
        <w:rPr>
          <w:vertAlign w:val="superscript"/>
        </w:rPr>
        <w:footnoteReference w:id="10"/>
      </w:r>
      <w:r w:rsidRPr="00F31413">
        <w:t xml:space="preserve">  </w:t>
      </w:r>
      <w:r w:rsidRPr="00F31413" w:rsidR="009C3B44">
        <w:t>The Licensee provides no explanation for the untimely filing of the Application.</w:t>
      </w:r>
      <w:r w:rsidR="00692316">
        <w:t xml:space="preserve">  While Licensee attaches a letter requesting that the Commission accept the late-filed Application without any penalty, Licensee </w:t>
      </w:r>
      <w:r w:rsidR="00C25669">
        <w:t xml:space="preserve">does not assert that it filed the renewal Application on time or seek a waiver of the renewal </w:t>
      </w:r>
      <w:r w:rsidR="00781445">
        <w:t>filing deadline.</w:t>
      </w:r>
      <w:r>
        <w:rPr>
          <w:rStyle w:val="FootnoteReference"/>
        </w:rPr>
        <w:footnoteReference w:id="11"/>
      </w:r>
      <w:r w:rsidRPr="00F31413" w:rsidR="009C3B44">
        <w:t xml:space="preserve">  </w:t>
      </w:r>
      <w:r w:rsidRPr="00F31413" w:rsidR="00486EED">
        <w:t>Licensee</w:t>
      </w:r>
      <w:r w:rsidR="00486EED">
        <w:t xml:space="preserve"> </w:t>
      </w:r>
      <w:r w:rsidR="00A846E9">
        <w:t xml:space="preserve">also </w:t>
      </w:r>
      <w:r w:rsidR="00486EED">
        <w:t>did not request special temporary authority (STA) to operate the Station following the expiration of the Station’s license.</w:t>
      </w:r>
    </w:p>
    <w:p w:rsidR="00AE2D78" w:rsidP="00971225" w14:paraId="777DE41F" w14:textId="77777777">
      <w:pPr>
        <w:pStyle w:val="Heading1"/>
      </w:pPr>
      <w:r>
        <w:t>DISCUSSION</w:t>
      </w:r>
    </w:p>
    <w:p w:rsidR="00AE2D78" w:rsidP="00971225" w14:paraId="6D8243F0" w14:textId="2E30FDFB">
      <w:pPr>
        <w:pStyle w:val="ParaNum"/>
      </w:pPr>
      <w:r>
        <w:rPr>
          <w:i/>
        </w:rPr>
        <w:t xml:space="preserve">Proposed Forfeiture.  </w:t>
      </w:r>
      <w:r>
        <w:t xml:space="preserve">In this case, Licensee has failed to file a timely license renewal application for </w:t>
      </w:r>
      <w:r w:rsidR="00486EED">
        <w:t>the Station</w:t>
      </w:r>
      <w:r>
        <w:t xml:space="preserve"> as required by section 73.3539(a) of the Rules.  Moreover, it </w:t>
      </w:r>
      <w:r>
        <w:rPr>
          <w:color w:val="000000"/>
        </w:rPr>
        <w:t xml:space="preserve">continued operating the Station after the license expired on </w:t>
      </w:r>
      <w:r w:rsidR="001A7F2D">
        <w:rPr>
          <w:color w:val="000000"/>
        </w:rPr>
        <w:t>February 1</w:t>
      </w:r>
      <w:r>
        <w:rPr>
          <w:color w:val="000000"/>
        </w:rPr>
        <w:t>, 20</w:t>
      </w:r>
      <w:r w:rsidR="00816E67">
        <w:rPr>
          <w:color w:val="000000"/>
        </w:rPr>
        <w:t>20</w:t>
      </w:r>
      <w:r>
        <w:rPr>
          <w:color w:val="000000"/>
        </w:rPr>
        <w:t>,</w:t>
      </w:r>
      <w:r w:rsidR="00486EED">
        <w:rPr>
          <w:color w:val="000000"/>
        </w:rPr>
        <w:t xml:space="preserve"> without requesting STA</w:t>
      </w:r>
      <w:r>
        <w:rPr>
          <w:color w:val="000000"/>
        </w:rPr>
        <w:t>, in violation of section 301 of the Act.</w:t>
      </w:r>
      <w:r>
        <w:t xml:space="preserve">  </w:t>
      </w:r>
    </w:p>
    <w:p w:rsidR="00AE2D78" w:rsidP="007C3B9F" w14:paraId="63C04A7C" w14:textId="3E098A22">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2"/>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3"/>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4"/>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5"/>
      </w:r>
      <w:r>
        <w:t xml:space="preserve">  </w:t>
      </w:r>
      <w:r w:rsidRPr="008D30C5" w:rsidR="00506029">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6"/>
      </w:r>
      <w:r w:rsidRPr="008D30C5" w:rsidR="00506029">
        <w:t xml:space="preserve">  </w:t>
      </w:r>
    </w:p>
    <w:p w:rsidR="00AE2D78" w:rsidP="007C3B9F" w14:paraId="62F6687D" w14:textId="78C891EE">
      <w:pPr>
        <w:pStyle w:val="ParaNum"/>
        <w:widowControl/>
      </w:pPr>
      <w:r>
        <w:t>The Commission</w:t>
      </w:r>
      <w:r w:rsidR="00B32FF4">
        <w:t>’</w:t>
      </w:r>
      <w:r>
        <w:t xml:space="preserve">s </w:t>
      </w:r>
      <w:r>
        <w:rPr>
          <w:rStyle w:val="Emphasis"/>
        </w:rPr>
        <w:t>Forfeiture Policy Statement</w:t>
      </w:r>
      <w:r>
        <w:t xml:space="preserve"> and section 1.80(b)(</w:t>
      </w:r>
      <w:r w:rsidR="00FA2FA4">
        <w:t>10</w:t>
      </w:r>
      <w:r>
        <w:t>) of the Rules establish a base forfeiture amount of $3,000 for the failure to file a required form.</w:t>
      </w:r>
      <w:r>
        <w:rPr>
          <w:rStyle w:val="FootnoteReference"/>
        </w:rPr>
        <w:footnoteReference w:id="17"/>
      </w:r>
      <w:r>
        <w:t xml:space="preserve">  The guidelines also specify a base forfeiture amount of $10,000 for construction and/or operation without an instrument of authorization for the service.</w:t>
      </w:r>
      <w:r>
        <w:rPr>
          <w:rStyle w:val="FootnoteReference"/>
        </w:rPr>
        <w:footnoteReference w:id="18"/>
      </w:r>
      <w:r>
        <w:t xml:space="preserve">  In determining the appropriate forfeiture amount, we may adjust the base amount upward or downward by considering the factors enumerated in section 503(b)(2)(</w:t>
      </w:r>
      <w:r w:rsidR="00085DA5">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r>
        <w:t xml:space="preserve"> </w:t>
      </w:r>
    </w:p>
    <w:p w:rsidR="00AE2D78" w:rsidRPr="00710DF1" w:rsidP="007C3B9F" w14:paraId="22135D67" w14:textId="6B1F6FD5">
      <w:pPr>
        <w:pStyle w:val="ParaNum"/>
        <w:widowControl/>
      </w:pPr>
      <w:r w:rsidRPr="00710DF1">
        <w:t xml:space="preserve">Based on our review of the facts and circumstances, we </w:t>
      </w:r>
      <w:r>
        <w:t xml:space="preserve">tentatively </w:t>
      </w:r>
      <w:r w:rsidRPr="00710DF1">
        <w:t>find that a $7,000 forfeiture is appropriate.  Licensee</w:t>
      </w:r>
      <w:r>
        <w:t xml:space="preserve"> failed to file a timely license renewal application for the Station</w:t>
      </w:r>
      <w:r w:rsidR="00144FA6">
        <w:t>,</w:t>
      </w:r>
      <w:r>
        <w:t xml:space="preserve"> continued operating the Station </w:t>
      </w:r>
      <w:r w:rsidR="00F261BB">
        <w:t>a</w:t>
      </w:r>
      <w:r>
        <w:t xml:space="preserve">fter the license expired on </w:t>
      </w:r>
      <w:r w:rsidR="009C3B44">
        <w:t>February</w:t>
      </w:r>
      <w:r>
        <w:t xml:space="preserve"> 1, </w:t>
      </w:r>
      <w:r w:rsidR="007C3B9F">
        <w:t xml:space="preserve">2020, and </w:t>
      </w:r>
      <w:r w:rsidR="00F261BB">
        <w:t xml:space="preserve">never </w:t>
      </w:r>
      <w:r w:rsidR="007C3B9F">
        <w:t>file</w:t>
      </w:r>
      <w:r w:rsidR="00F261BB">
        <w:t>d</w:t>
      </w:r>
      <w:r w:rsidR="007C3B9F">
        <w:t xml:space="preserve"> for STA to operate the Station after its license expired.</w:t>
      </w:r>
      <w:r>
        <w:t xml:space="preserve">  Taking into consideration all of the factors required by </w:t>
      </w:r>
      <w:r>
        <w:t xml:space="preserve">section 503(b)(2)(E) of the Act and the </w:t>
      </w:r>
      <w:r>
        <w:rPr>
          <w:rStyle w:val="Emphasis"/>
        </w:rPr>
        <w:t>Forfeiture Policy Statement</w:t>
      </w:r>
      <w:r>
        <w:t xml:space="preserve">, we propose a forfeiture for the full $3,000 amount for the </w:t>
      </w:r>
      <w:r w:rsidRPr="00CB1BA6">
        <w:t>failure</w:t>
      </w:r>
      <w:r>
        <w:t xml:space="preserve"> to </w:t>
      </w:r>
      <w:r w:rsidRPr="00CB1BA6">
        <w:t>file</w:t>
      </w:r>
      <w:r>
        <w:t xml:space="preserve"> a </w:t>
      </w:r>
      <w:r w:rsidRPr="00CB1BA6">
        <w:t>timely</w:t>
      </w:r>
      <w:r>
        <w:t xml:space="preserve"> </w:t>
      </w:r>
      <w:r w:rsidRPr="00CB1BA6">
        <w:t>renewal</w:t>
      </w:r>
      <w:r>
        <w:t xml:space="preserve"> application but reduce the proposed forfeiture for the unauthorized operation from the $10,000 base amount to $4,000</w:t>
      </w:r>
      <w:r w:rsidRPr="00710DF1">
        <w:t>.</w:t>
      </w:r>
      <w:r>
        <w:rPr>
          <w:rStyle w:val="FootnoteReference"/>
        </w:rPr>
        <w:footnoteReference w:id="20"/>
      </w:r>
      <w:r w:rsidRPr="00710DF1">
        <w:rPr>
          <w:i/>
        </w:rPr>
        <w:t xml:space="preserve"> </w:t>
      </w:r>
      <w:r w:rsidRPr="00710DF1">
        <w:t xml:space="preserve"> Accordingly, we </w:t>
      </w:r>
      <w:r w:rsidR="001C402E">
        <w:t>tentatively</w:t>
      </w:r>
      <w:r>
        <w:t xml:space="preserve"> </w:t>
      </w:r>
      <w:r w:rsidRPr="00710DF1">
        <w:t>find that, considering the record as a whole, a $7,000 forfeiture is appropriate for the violations in this case.</w:t>
      </w:r>
      <w:r w:rsidRPr="001C402E" w:rsidR="001C402E">
        <w:rPr>
          <w:rStyle w:val="FootnoteReference"/>
        </w:rPr>
        <w:t xml:space="preserve"> </w:t>
      </w:r>
      <w:r>
        <w:rPr>
          <w:rStyle w:val="FootnoteReference"/>
        </w:rPr>
        <w:footnoteReference w:id="21"/>
      </w:r>
      <w:r w:rsidR="001C402E">
        <w:t xml:space="preserve">  However, </w:t>
      </w:r>
      <w:r w:rsidRPr="001C402E" w:rsidR="001C402E">
        <w:t>we will reduce the forfeiture from the base amount to $1,500 for the failure to file a timely license renewal application</w:t>
      </w:r>
      <w:r w:rsidR="001C402E">
        <w:t xml:space="preserve"> and to $2,000 for unauthorized operations</w:t>
      </w:r>
      <w:r w:rsidR="000B4B44">
        <w:t>, for a total of $3,500,</w:t>
      </w:r>
      <w:r w:rsidRPr="001C402E" w:rsidR="001C402E">
        <w:t xml:space="preserve"> because, as an LPFM station, the Station is providing a secondary service.</w:t>
      </w:r>
      <w:r>
        <w:rPr>
          <w:vertAlign w:val="superscript"/>
        </w:rPr>
        <w:footnoteReference w:id="22"/>
      </w:r>
    </w:p>
    <w:p w:rsidR="00AE2D78" w:rsidP="00971225" w14:paraId="5BF2F1A9" w14:textId="77777777">
      <w:pPr>
        <w:pStyle w:val="ParaNum"/>
      </w:pPr>
      <w:r w:rsidRPr="00D74CC9">
        <w:rPr>
          <w:i/>
        </w:rPr>
        <w:t>License Renewal Application.</w:t>
      </w:r>
      <w:r>
        <w:t xml:space="preserve">  In evaluating an application for license renewal, the Commission’s decision is governed by section 309(k) of the Act.</w:t>
      </w:r>
      <w:r>
        <w:rPr>
          <w:rStyle w:val="FootnoteReference"/>
          <w:szCs w:val="22"/>
        </w:rPr>
        <w:footnoteReference w:id="23"/>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24"/>
      </w:r>
      <w:r>
        <w:t xml:space="preserve"> </w:t>
      </w:r>
      <w:r w:rsidRPr="00D74CC9">
        <w:rPr>
          <w:i/>
        </w:rPr>
        <w:t xml:space="preserve"> </w:t>
      </w:r>
      <w: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Cs w:val="22"/>
        </w:rPr>
        <w:footnoteReference w:id="25"/>
      </w:r>
    </w:p>
    <w:p w:rsidR="00AE2D78" w:rsidRPr="00710DF1" w:rsidP="00971225" w14:paraId="122DD7E9" w14:textId="4A7415B6">
      <w:pPr>
        <w:pStyle w:val="ParaNum"/>
      </w:pPr>
      <w:r>
        <w:t xml:space="preserve">We find that Licensee’s </w:t>
      </w:r>
      <w:r w:rsidR="00085DA5">
        <w:t xml:space="preserve">apparent </w:t>
      </w:r>
      <w:r>
        <w:t xml:space="preserve">violation of section 73.3539 of the Rules and section 301 of the Act do not </w:t>
      </w:r>
      <w:r w:rsidR="00085DA5">
        <w:t>present</w:t>
      </w:r>
      <w:r>
        <w:t xml:space="preserve"> “serious violations” warranting designation for evidentiary hearing.  Moreover, we find no evidence of violations that, when considered together, constitute a pattern of abuse.</w:t>
      </w:r>
      <w:r>
        <w:rPr>
          <w:rStyle w:val="FootnoteReference"/>
        </w:rPr>
        <w:footnoteReference w:id="26"/>
      </w:r>
      <w:r>
        <w:t xml:space="preserve">  </w:t>
      </w:r>
      <w:r w:rsidRPr="00710DF1">
        <w:rPr>
          <w:spacing w:val="-2"/>
        </w:rPr>
        <w:t xml:space="preserve">Further, </w:t>
      </w:r>
      <w:r w:rsidR="00085DA5">
        <w:rPr>
          <w:spacing w:val="-2"/>
        </w:rPr>
        <w:t xml:space="preserve">based on our review of the Application, </w:t>
      </w:r>
      <w:r w:rsidRPr="00710DF1">
        <w:rPr>
          <w:spacing w:val="-2"/>
        </w:rPr>
        <w:t>we find that</w:t>
      </w:r>
      <w:r>
        <w:t xml:space="preserve"> the Station served the public interest, convenience, and necessity during the subject license term.  </w:t>
      </w:r>
      <w:r w:rsidRPr="00FE0540" w:rsidR="00146290">
        <w:t>We will therefore grant the Application by separate action upon the conclusion of this forfeiture proceeding if there are no issues other than the apparent violation that would preclude grant of the Application.</w:t>
      </w:r>
    </w:p>
    <w:p w:rsidR="00AE2D78" w:rsidP="00971225" w14:paraId="03C0AE42" w14:textId="12FB7EEF">
      <w:pPr>
        <w:pStyle w:val="Heading1"/>
      </w:pPr>
      <w:r>
        <w:t>ORDERING CLAUSES</w:t>
      </w:r>
    </w:p>
    <w:p w:rsidR="00146290" w:rsidRPr="005B1997" w:rsidP="00E97E95" w14:paraId="3A2A9BF7" w14:textId="521A6BF5">
      <w:pPr>
        <w:pStyle w:val="ParaNum"/>
        <w:widowControl/>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27"/>
      </w:r>
      <w:r w:rsidRPr="005B1997">
        <w:t xml:space="preserve"> </w:t>
      </w:r>
      <w:r w:rsidR="009C3B44">
        <w:t xml:space="preserve">that </w:t>
      </w:r>
      <w:r w:rsidRPr="00674FA2" w:rsidR="000A5A8E">
        <w:t>SCLC Jacksonville Florida</w:t>
      </w:r>
      <w:r>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w:t>
      </w:r>
      <w:r w:rsidR="00971225">
        <w:t xml:space="preserve"> thre</w:t>
      </w:r>
      <w:r w:rsidRPr="005B1997">
        <w:t xml:space="preserve">e </w:t>
      </w:r>
      <w:r w:rsidRPr="005B1997">
        <w:t>thousand five hundred dollars ($</w:t>
      </w:r>
      <w:r w:rsidR="00971225">
        <w:t>3</w:t>
      </w:r>
      <w:r w:rsidRPr="005B1997">
        <w:t>,500) for its apparent willful violation of section 73.3539 of the Commission’s rules</w:t>
      </w:r>
      <w:r>
        <w:t xml:space="preserve"> </w:t>
      </w:r>
      <w:r w:rsidRPr="008514DF">
        <w:t>and its apparent willful and repeated violation of section 301 of the</w:t>
      </w:r>
      <w:r w:rsidR="00FA596C">
        <w:t xml:space="preserve"> Communications</w:t>
      </w:r>
      <w:r w:rsidRPr="008514DF">
        <w:t xml:space="preserve"> Act</w:t>
      </w:r>
      <w:r w:rsidR="00FA596C">
        <w:t xml:space="preserve"> of 1934, as amended.</w:t>
      </w:r>
    </w:p>
    <w:p w:rsidR="00146290" w:rsidRPr="005B1997" w:rsidP="00971225" w14:paraId="0FAE2860" w14:textId="25AFF31B">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Pr="00674FA2" w:rsidR="000A5A8E">
        <w:t>SCLC Jacksonville Florida</w:t>
      </w:r>
      <w:r w:rsidR="000A5A8E">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146290" w:rsidP="00971225" w14:paraId="274FB5F4"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8"/>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9"/>
      </w:r>
    </w:p>
    <w:p w:rsidR="00146290" w:rsidP="00146290" w14:paraId="38042BA1" w14:textId="77777777">
      <w:pPr>
        <w:pStyle w:val="ParaNum"/>
        <w:numPr>
          <w:ilvl w:val="0"/>
          <w:numId w:val="11"/>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0"/>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146290" w:rsidP="00146290" w14:paraId="130A9F1A" w14:textId="77777777">
      <w:pPr>
        <w:pStyle w:val="ParaNum"/>
        <w:numPr>
          <w:ilvl w:val="0"/>
          <w:numId w:val="11"/>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t xml:space="preserve"> </w:t>
      </w:r>
    </w:p>
    <w:p w:rsidR="00146290" w:rsidP="00146290" w14:paraId="1986533B" w14:textId="77777777">
      <w:pPr>
        <w:pStyle w:val="ParaNum"/>
        <w:numPr>
          <w:ilvl w:val="0"/>
          <w:numId w:val="11"/>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6290" w:rsidRPr="00E20626" w:rsidP="00146290" w14:paraId="5133CD68" w14:textId="2950E187">
      <w:pPr>
        <w:pStyle w:val="ParaNum"/>
      </w:pPr>
      <w:r w:rsidRPr="005B1997">
        <w:t xml:space="preserve">Any request for making full payment over time under an installment plan should be sent to:  </w:t>
      </w:r>
      <w:r w:rsidR="00F903FF">
        <w:t>Revenue and Receivables Operations Group</w:t>
      </w:r>
      <w:r w:rsidRPr="005B1997">
        <w:t>—Financial Operations, Federal Communications Commission, 45 L Street, N.E., Washington, DC 20554</w:t>
      </w:r>
      <w:r w:rsidR="00F903FF">
        <w:t xml:space="preserve">, or by e-mail, </w:t>
      </w:r>
      <w:hyperlink r:id="rId8" w:history="1">
        <w:r w:rsidR="00F903FF">
          <w:rPr>
            <w:rStyle w:val="Hyperlink"/>
          </w:rPr>
          <w:t>ARINQUIRIES@fcc.gov</w:t>
        </w:r>
      </w:hyperlink>
      <w:r w:rsidRPr="005B1997">
        <w:t>.</w:t>
      </w:r>
      <w:r>
        <w:rPr>
          <w:vertAlign w:val="superscript"/>
        </w:rPr>
        <w:footnoteReference w:id="31"/>
      </w:r>
      <w:r w:rsidRPr="005B1997">
        <w:t xml:space="preserve">  Questions regarding payment procedures should be directed to the Financial Operations Group Help Desk </w:t>
      </w:r>
      <w:r w:rsidRPr="005B1997">
        <w:t xml:space="preserve">by phone, 1-877-480-3201 (option #6), or by e-mail at </w:t>
      </w:r>
      <w:hyperlink r:id="rId8" w:history="1">
        <w:r w:rsidRPr="005B1997">
          <w:rPr>
            <w:rStyle w:val="Hyperlink"/>
          </w:rPr>
          <w:t>ARINQUIRIES@fcc.gov</w:t>
        </w:r>
      </w:hyperlink>
      <w:r w:rsidRPr="005B1997">
        <w:t>.</w:t>
      </w:r>
    </w:p>
    <w:p w:rsidR="00146290" w:rsidP="00146290" w14:paraId="4B5BF9DA" w14:textId="4CE8B9AB">
      <w:pPr>
        <w:pStyle w:val="ParaNum"/>
      </w:pPr>
      <w:r w:rsidRPr="005B1997">
        <w:t>Any written response seeking reduction or cancellation of the proposed forfeiture must include a detailed factual statement supported by appropriate documentation and affidavits pursuant to sections 1.16 and 1.80(</w:t>
      </w:r>
      <w:r w:rsidR="00FA2FA4">
        <w:t>g</w:t>
      </w:r>
      <w:r w:rsidRPr="005B1997">
        <w:t>)(3) of the Commission’s rules.</w:t>
      </w:r>
      <w:r>
        <w:rPr>
          <w:vertAlign w:val="superscript"/>
        </w:rPr>
        <w:footnoteReference w:id="32"/>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3"/>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146290" w:rsidP="00146290" w14:paraId="228D0FB1" w14:textId="77777777">
      <w:pPr>
        <w:pStyle w:val="ParaNum"/>
        <w:numPr>
          <w:ilvl w:val="0"/>
          <w:numId w:val="10"/>
        </w:numPr>
      </w:pPr>
      <w:r w:rsidRPr="005B1997">
        <w:t xml:space="preserve">Commercial overnight mail (other than U.S. Postal Service Express Mail and Priority Mail) must be sent to 9050 Junction Drive, Annapolis Junction, MD 20701. </w:t>
      </w:r>
    </w:p>
    <w:p w:rsidR="00146290" w:rsidRPr="005B1997" w:rsidP="00146290" w14:paraId="189FB792" w14:textId="77777777">
      <w:pPr>
        <w:pStyle w:val="ParaNum"/>
        <w:numPr>
          <w:ilvl w:val="0"/>
          <w:numId w:val="10"/>
        </w:numPr>
      </w:pPr>
      <w:r w:rsidRPr="005B1997">
        <w:t>Postal Service first-class, Express, and Priority mail must be addressed to 45 L Street, NE, Washington, DC 20554.</w:t>
      </w:r>
    </w:p>
    <w:p w:rsidR="00146290" w:rsidRPr="005B1997" w:rsidP="00971225" w14:paraId="42520D58" w14:textId="4B6240E9">
      <w:pPr>
        <w:pStyle w:val="ParaNum"/>
      </w:pPr>
      <w:r w:rsidRPr="005B1997">
        <w:t>The Commission will not consider reducing or canceling a forfeiture in response to a claim of inability to pay unless the respondent submits</w:t>
      </w:r>
      <w:r w:rsidRPr="005B1997">
        <w:t>:  (</w:t>
      </w:r>
      <w:r w:rsidRPr="005B1997">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34"/>
      </w:r>
      <w:r w:rsidRPr="005B1997">
        <w:t xml:space="preserve">  </w:t>
      </w:r>
    </w:p>
    <w:p w:rsidR="00B26476" w:rsidRPr="00B26476" w:rsidP="00146290" w14:paraId="303FA313" w14:textId="62A758C3">
      <w:pPr>
        <w:pStyle w:val="ParaNum"/>
        <w:widowControl/>
      </w:pPr>
      <w:r w:rsidRPr="00FA2FA4">
        <w:rPr>
          <w:b/>
        </w:rPr>
        <w:t>IT IS FURTHER ORDERED</w:t>
      </w:r>
      <w:r w:rsidRPr="005B1997">
        <w:t xml:space="preserve"> that</w:t>
      </w:r>
      <w:r>
        <w:t xml:space="preserve"> a</w:t>
      </w:r>
      <w:r w:rsidRPr="005B1997">
        <w:t xml:space="preserve"> cop</w:t>
      </w:r>
      <w:r>
        <w:t>y</w:t>
      </w:r>
      <w:r w:rsidRPr="005B1997">
        <w:t xml:space="preserve"> of this </w:t>
      </w:r>
      <w:r w:rsidRPr="00FA2FA4">
        <w:rPr>
          <w:i/>
        </w:rPr>
        <w:t>NAL</w:t>
      </w:r>
      <w:r w:rsidRPr="005B1997">
        <w:t xml:space="preserve"> shall be sent by First Class and Certified Mail, Return Receipt Requested, to </w:t>
      </w:r>
      <w:r w:rsidRPr="00674FA2" w:rsidR="000A5A8E">
        <w:t>SCLC Jacksonville Florida</w:t>
      </w:r>
      <w:r w:rsidR="009C3B44">
        <w:t xml:space="preserve">, </w:t>
      </w:r>
      <w:r w:rsidR="00FA2FA4">
        <w:t xml:space="preserve">c/o </w:t>
      </w:r>
      <w:r w:rsidRPr="007303AA" w:rsidR="007303AA">
        <w:rPr>
          <w:bCs/>
        </w:rPr>
        <w:t>Dr. Shirley A. Watts</w:t>
      </w:r>
      <w:r w:rsidR="007303AA">
        <w:rPr>
          <w:bCs/>
        </w:rPr>
        <w:t>,</w:t>
      </w:r>
      <w:r w:rsidR="007303AA">
        <w:t xml:space="preserve"> </w:t>
      </w:r>
      <w:r w:rsidRPr="007303AA" w:rsidR="007303AA">
        <w:rPr>
          <w:bCs/>
        </w:rPr>
        <w:t>303 NE 39th Avenue</w:t>
      </w:r>
      <w:r w:rsidR="0008287D">
        <w:t xml:space="preserve">, </w:t>
      </w:r>
      <w:r w:rsidRPr="007303AA" w:rsidR="007303AA">
        <w:rPr>
          <w:bCs/>
        </w:rPr>
        <w:t>Gainesville, FL 32609</w:t>
      </w:r>
      <w:r>
        <w:rPr>
          <w:bCs/>
        </w:rPr>
        <w:t>.</w:t>
      </w:r>
    </w:p>
    <w:p w:rsidR="00146290" w:rsidP="00B26476" w14:paraId="580D934C" w14:textId="5453DC84">
      <w:pPr>
        <w:pStyle w:val="ParaNum"/>
        <w:widowControl/>
        <w:numPr>
          <w:ilvl w:val="0"/>
          <w:numId w:val="0"/>
        </w:numPr>
      </w:pPr>
      <w:r>
        <w:tab/>
      </w:r>
      <w:r>
        <w:tab/>
      </w:r>
      <w:r>
        <w:tab/>
      </w:r>
      <w:r>
        <w:tab/>
      </w:r>
      <w:r>
        <w:tab/>
      </w:r>
      <w:r>
        <w:tab/>
        <w:t>FEDERAL COMMUNICATIONS COMMISSION</w:t>
      </w:r>
    </w:p>
    <w:p w:rsidR="00146290" w:rsidP="00146290" w14:paraId="1BD8AFC4" w14:textId="77777777"/>
    <w:p w:rsidR="00146290" w:rsidP="00146290" w14:paraId="62DBADEB" w14:textId="77777777"/>
    <w:p w:rsidR="00146290" w:rsidP="00146290" w14:paraId="20AC07A9" w14:textId="77777777"/>
    <w:p w:rsidR="00146290" w:rsidP="00146290" w14:paraId="02AE9878" w14:textId="77777777"/>
    <w:p w:rsidR="00146290" w:rsidP="00146290" w14:paraId="7F1BDE4D" w14:textId="77777777">
      <w:r>
        <w:tab/>
      </w:r>
      <w:r>
        <w:tab/>
      </w:r>
      <w:r>
        <w:tab/>
      </w:r>
      <w:r>
        <w:tab/>
      </w:r>
      <w:r>
        <w:tab/>
      </w:r>
      <w:r>
        <w:tab/>
        <w:t>Albert Shuldiner</w:t>
      </w:r>
    </w:p>
    <w:p w:rsidR="00146290" w:rsidP="00146290" w14:paraId="6B2C1E58" w14:textId="77777777">
      <w:r>
        <w:tab/>
      </w:r>
      <w:r>
        <w:tab/>
      </w:r>
      <w:r>
        <w:tab/>
      </w:r>
      <w:r>
        <w:tab/>
      </w:r>
      <w:r>
        <w:tab/>
      </w:r>
      <w:r>
        <w:tab/>
        <w:t>Chief, Audio Division</w:t>
      </w:r>
    </w:p>
    <w:p w:rsidR="00146290" w:rsidP="00146290" w14:paraId="1694F5CE" w14:textId="77777777">
      <w:r>
        <w:tab/>
      </w:r>
      <w:r>
        <w:tab/>
      </w:r>
      <w:r>
        <w:tab/>
      </w:r>
      <w:r>
        <w:tab/>
      </w:r>
      <w:r>
        <w:tab/>
      </w:r>
      <w:r>
        <w:tab/>
        <w:t>Media Bureau</w:t>
      </w:r>
    </w:p>
    <w:p w:rsidR="00412FC5" w:rsidRPr="00AE2D78" w:rsidP="00AE2D78" w14:paraId="1DBF95C2" w14:textId="77777777"/>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65DB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B3DE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559BA" w14:paraId="3CF5BA5C" w14:textId="3BD585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C319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3D6D" w14:paraId="3331D04E" w14:textId="77777777">
      <w:r>
        <w:separator/>
      </w:r>
    </w:p>
  </w:footnote>
  <w:footnote w:type="continuationSeparator" w:id="1">
    <w:p w:rsidR="00783D6D" w:rsidP="00C721AC" w14:paraId="3E26590A" w14:textId="77777777">
      <w:pPr>
        <w:spacing w:before="120"/>
        <w:rPr>
          <w:sz w:val="20"/>
        </w:rPr>
      </w:pPr>
      <w:r>
        <w:rPr>
          <w:sz w:val="20"/>
        </w:rPr>
        <w:t xml:space="preserve">(Continued from previous page)  </w:t>
      </w:r>
      <w:r>
        <w:rPr>
          <w:sz w:val="20"/>
        </w:rPr>
        <w:separator/>
      </w:r>
    </w:p>
  </w:footnote>
  <w:footnote w:type="continuationNotice" w:id="2">
    <w:p w:rsidR="00783D6D" w:rsidP="00C721AC" w14:paraId="13FD2264" w14:textId="77777777">
      <w:pPr>
        <w:jc w:val="right"/>
        <w:rPr>
          <w:sz w:val="20"/>
        </w:rPr>
      </w:pPr>
    </w:p>
  </w:footnote>
  <w:footnote w:id="3">
    <w:p w:rsidR="00CB1BA6" w14:paraId="1E729C1E" w14:textId="51E8BD66">
      <w:pPr>
        <w:pStyle w:val="FootnoteText"/>
      </w:pPr>
      <w:r>
        <w:rPr>
          <w:rStyle w:val="FootnoteReference"/>
        </w:rPr>
        <w:footnoteRef/>
      </w:r>
      <w:r>
        <w:t xml:space="preserve"> </w:t>
      </w:r>
      <w:r w:rsidR="001E3D3C">
        <w:t xml:space="preserve">Application </w:t>
      </w:r>
      <w:r>
        <w:t xml:space="preserve">File No. </w:t>
      </w:r>
      <w:r w:rsidR="0022563C">
        <w:t>0000106586</w:t>
      </w:r>
      <w:r w:rsidR="001E3D3C">
        <w:t xml:space="preserve"> (filed Feb. 25, 2020).</w:t>
      </w:r>
    </w:p>
  </w:footnote>
  <w:footnote w:id="4">
    <w:p w:rsidR="00AE2D78" w:rsidRPr="00222234" w:rsidP="00AE2D78" w14:paraId="2DDBE292"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AE2D78" w:rsidP="00AE2D78" w14:paraId="678FD34D" w14:textId="77777777">
      <w:pPr>
        <w:pStyle w:val="FootnoteText"/>
      </w:pPr>
      <w:r>
        <w:rPr>
          <w:rStyle w:val="FootnoteReference"/>
        </w:rPr>
        <w:footnoteRef/>
      </w:r>
      <w:r>
        <w:t xml:space="preserve"> </w:t>
      </w:r>
      <w:r>
        <w:rPr>
          <w:i/>
        </w:rPr>
        <w:t xml:space="preserve">See </w:t>
      </w:r>
      <w:r>
        <w:t>47 CFR § 73.3539.</w:t>
      </w:r>
    </w:p>
  </w:footnote>
  <w:footnote w:id="6">
    <w:p w:rsidR="00AE2D78" w:rsidP="00AE2D78" w14:paraId="13AA3021" w14:textId="77777777">
      <w:pPr>
        <w:pStyle w:val="FootnoteText"/>
      </w:pPr>
      <w:r>
        <w:rPr>
          <w:rStyle w:val="FootnoteReference"/>
        </w:rPr>
        <w:footnoteRef/>
      </w:r>
      <w:r>
        <w:t xml:space="preserve"> </w:t>
      </w:r>
      <w:r>
        <w:rPr>
          <w:i/>
        </w:rPr>
        <w:t>See</w:t>
      </w:r>
      <w:r>
        <w:t xml:space="preserve"> 47 U.S.C. § 301.</w:t>
      </w:r>
    </w:p>
  </w:footnote>
  <w:footnote w:id="7">
    <w:p w:rsidR="00001C98" w:rsidRPr="00E1189A" w:rsidP="00001C98" w14:paraId="5C8DAE1D" w14:textId="77777777">
      <w:pPr>
        <w:pStyle w:val="FootnoteText"/>
        <w:widowControl w:val="0"/>
      </w:pPr>
      <w:r w:rsidRPr="000725CB">
        <w:rPr>
          <w:rStyle w:val="FootnoteReference"/>
        </w:rPr>
        <w:footnoteRef/>
      </w:r>
      <w:r w:rsidRPr="000725CB">
        <w:t xml:space="preserve"> 47 CFR § 73.3539(a).</w:t>
      </w:r>
      <w:r>
        <w:t xml:space="preserve">  </w:t>
      </w:r>
    </w:p>
  </w:footnote>
  <w:footnote w:id="8">
    <w:p w:rsidR="00AE2D78" w:rsidP="00AE2D78" w14:paraId="767C97BC" w14:textId="77777777">
      <w:pPr>
        <w:pStyle w:val="FootnoteText"/>
      </w:pPr>
      <w:r>
        <w:rPr>
          <w:rStyle w:val="FootnoteReference"/>
        </w:rPr>
        <w:footnoteRef/>
      </w:r>
      <w:r>
        <w:t xml:space="preserve"> </w:t>
      </w:r>
      <w:r>
        <w:rPr>
          <w:i/>
        </w:rPr>
        <w:t>See</w:t>
      </w:r>
      <w:r>
        <w:t xml:space="preserve"> 47 CFR §§ 73.1020, 73.3539(a).</w:t>
      </w:r>
    </w:p>
  </w:footnote>
  <w:footnote w:id="9">
    <w:p w:rsidR="003D4183" w:rsidRPr="00D2667A" w:rsidP="003D4183" w14:paraId="1AC24E2F" w14:textId="1E57E696">
      <w:pPr>
        <w:pStyle w:val="FootnoteText"/>
      </w:pPr>
      <w:r>
        <w:rPr>
          <w:rStyle w:val="FootnoteReference"/>
        </w:rPr>
        <w:footnoteRef/>
      </w:r>
      <w:r>
        <w:t xml:space="preserve"> </w:t>
      </w:r>
      <w:r>
        <w:rPr>
          <w:i/>
          <w:iCs/>
        </w:rPr>
        <w:t>See Radio License Expirations</w:t>
      </w:r>
      <w:r w:rsidRPr="00CB1BA6">
        <w:t>,</w:t>
      </w:r>
      <w:r>
        <w:rPr>
          <w:i/>
          <w:iCs/>
        </w:rPr>
        <w:t xml:space="preserve"> </w:t>
      </w:r>
      <w:r>
        <w:t xml:space="preserve">Public Notice, </w:t>
      </w:r>
      <w:r w:rsidR="000B4B44">
        <w:t xml:space="preserve">35 FCC </w:t>
      </w:r>
      <w:r w:rsidR="000B4B44">
        <w:t>Rcd</w:t>
      </w:r>
      <w:r w:rsidR="000B4B44">
        <w:t xml:space="preserve"> </w:t>
      </w:r>
      <w:r w:rsidR="005D10BF">
        <w:t>589</w:t>
      </w:r>
      <w:r w:rsidR="008C0432">
        <w:t xml:space="preserve"> </w:t>
      </w:r>
      <w:r>
        <w:t>(MB 2020).</w:t>
      </w:r>
    </w:p>
  </w:footnote>
  <w:footnote w:id="10">
    <w:p w:rsidR="00AE2D78" w:rsidP="00AE2D78" w14:paraId="3F63DF59" w14:textId="77777777">
      <w:pPr>
        <w:pStyle w:val="FootnoteText"/>
      </w:pPr>
      <w:r>
        <w:rPr>
          <w:rStyle w:val="FootnoteReference"/>
        </w:rPr>
        <w:footnoteRef/>
      </w:r>
      <w:r>
        <w:t xml:space="preserve"> </w:t>
      </w:r>
      <w:r w:rsidR="00CB1BA6">
        <w:rPr>
          <w:i/>
          <w:iCs/>
        </w:rPr>
        <w:t xml:space="preserve">See </w:t>
      </w:r>
      <w:r w:rsidR="00CB1BA6">
        <w:t xml:space="preserve">n.1, </w:t>
      </w:r>
      <w:r w:rsidR="00CB1BA6">
        <w:rPr>
          <w:i/>
          <w:iCs/>
        </w:rPr>
        <w:t>supra.</w:t>
      </w:r>
    </w:p>
  </w:footnote>
  <w:footnote w:id="11">
    <w:p w:rsidR="00781445" w14:paraId="550F31B4" w14:textId="0CDFDFA9">
      <w:pPr>
        <w:pStyle w:val="FootnoteText"/>
      </w:pPr>
      <w:r>
        <w:rPr>
          <w:rStyle w:val="FootnoteReference"/>
        </w:rPr>
        <w:footnoteRef/>
      </w:r>
      <w:r>
        <w:t xml:space="preserve"> </w:t>
      </w:r>
      <w:r w:rsidR="00054488">
        <w:t xml:space="preserve">Application, Attachment, </w:t>
      </w:r>
      <w:r w:rsidR="001B7D74">
        <w:t>Letter</w:t>
      </w:r>
      <w:r w:rsidR="00054488">
        <w:t xml:space="preserve"> for Late Filed Renewal Application.</w:t>
      </w:r>
    </w:p>
  </w:footnote>
  <w:footnote w:id="12">
    <w:p w:rsidR="007C3B9F" w:rsidRPr="00E4519B" w:rsidP="007C3B9F" w14:paraId="7B2F0972"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3">
    <w:p w:rsidR="007C3B9F" w:rsidRPr="00D64E57" w:rsidP="007C3B9F" w14:paraId="568A5200" w14:textId="77777777">
      <w:pPr>
        <w:pStyle w:val="FootnoteText"/>
        <w:widowControl w:val="0"/>
      </w:pPr>
      <w:r w:rsidRPr="00E4519B">
        <w:rPr>
          <w:rStyle w:val="FootnoteReference"/>
        </w:rPr>
        <w:footnoteRef/>
      </w:r>
      <w:r w:rsidRPr="00E4519B">
        <w:t xml:space="preserve"> </w:t>
      </w:r>
      <w:r w:rsidRPr="00D64E57">
        <w:t>47 U.S.C. § 312(f)(1).</w:t>
      </w:r>
    </w:p>
  </w:footnote>
  <w:footnote w:id="14">
    <w:p w:rsidR="007C3B9F" w:rsidRPr="00D64E57" w:rsidP="007C3B9F" w14:paraId="13789FF2"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5">
    <w:p w:rsidR="007C3B9F" w:rsidRPr="00D64E57" w:rsidP="007C3B9F" w14:paraId="159CC781" w14:textId="0272D13D">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F261BB">
        <w:t xml:space="preserve">Memorandum Opinion and Order, </w:t>
      </w:r>
      <w:r w:rsidRPr="00D64E57">
        <w:t xml:space="preserve">7 FCC </w:t>
      </w:r>
      <w:r w:rsidRPr="00D64E57">
        <w:t>Rcd</w:t>
      </w:r>
      <w:r w:rsidRPr="00D64E57">
        <w:t xml:space="preserve"> 3454 (1992</w:t>
      </w:r>
      <w:r w:rsidRPr="00600AB4">
        <w:t>).</w:t>
      </w:r>
    </w:p>
  </w:footnote>
  <w:footnote w:id="16">
    <w:p w:rsidR="00AE2D78" w:rsidRPr="006F7D37" w:rsidP="00AE2D78" w14:paraId="619A7347" w14:textId="77777777">
      <w:pPr>
        <w:pStyle w:val="Footer"/>
        <w:spacing w:after="120"/>
        <w:rPr>
          <w:sz w:val="20"/>
        </w:rPr>
      </w:pPr>
      <w:r w:rsidRPr="006F7D37">
        <w:rPr>
          <w:rStyle w:val="FootnoteReference"/>
        </w:rPr>
        <w:footnoteRef/>
      </w:r>
      <w:r w:rsidRPr="006F7D37">
        <w:rPr>
          <w:sz w:val="20"/>
        </w:rPr>
        <w:t xml:space="preserve"> 47 U.S.C. § 312(f)(2). </w:t>
      </w:r>
    </w:p>
  </w:footnote>
  <w:footnote w:id="17">
    <w:p w:rsidR="00AE2D78" w:rsidRPr="00CF021F" w:rsidP="00AE2D78" w14:paraId="7D455F01" w14:textId="58C17CE2">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r w:rsidR="007C3B9F">
        <w:rPr>
          <w:sz w:val="20"/>
        </w:rPr>
        <w:t xml:space="preserve">Memorandum Opinion and Order,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CF021F">
          <w:rPr>
            <w:sz w:val="20"/>
          </w:rPr>
          <w:t>47 CFR § 1.80(b)(</w:t>
        </w:r>
        <w:r w:rsidR="00FA2FA4">
          <w:rPr>
            <w:sz w:val="20"/>
          </w:rPr>
          <w:t>10</w:t>
        </w:r>
        <w:r w:rsidRPr="00CF021F">
          <w:rPr>
            <w:sz w:val="20"/>
          </w:rPr>
          <w:t>)</w:t>
        </w:r>
      </w:hyperlink>
      <w:r w:rsidRPr="00CF021F">
        <w:rPr>
          <w:sz w:val="20"/>
        </w:rPr>
        <w:t xml:space="preserve">, </w:t>
      </w:r>
      <w:r w:rsidR="00B41685">
        <w:rPr>
          <w:sz w:val="20"/>
        </w:rPr>
        <w:t>table 1</w:t>
      </w:r>
      <w:r w:rsidRPr="00CF021F" w:rsidR="00B41685">
        <w:rPr>
          <w:sz w:val="20"/>
        </w:rPr>
        <w:t xml:space="preserve"> </w:t>
      </w:r>
      <w:r w:rsidRPr="00CF021F">
        <w:rPr>
          <w:sz w:val="20"/>
        </w:rPr>
        <w:t>to paragraph (b)(</w:t>
      </w:r>
      <w:r w:rsidR="00B41685">
        <w:rPr>
          <w:sz w:val="20"/>
        </w:rPr>
        <w:t>10</w:t>
      </w:r>
      <w:r w:rsidRPr="00CF021F">
        <w:rPr>
          <w:sz w:val="20"/>
        </w:rPr>
        <w:t>).</w:t>
      </w:r>
    </w:p>
  </w:footnote>
  <w:footnote w:id="18">
    <w:p w:rsidR="00AE2D78" w:rsidRPr="00CF021F" w:rsidP="00AE2D78" w14:paraId="695A9F00"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9">
    <w:p w:rsidR="00AE2D78" w:rsidRPr="00CF021F" w:rsidP="00AE2D78" w14:paraId="5492A3BB" w14:textId="7513DB26">
      <w:pPr>
        <w:spacing w:after="120"/>
        <w:rPr>
          <w:sz w:val="20"/>
        </w:rPr>
      </w:pPr>
      <w:r w:rsidRPr="00CF021F">
        <w:rPr>
          <w:rStyle w:val="FootnoteReference"/>
        </w:rPr>
        <w:footnoteRef/>
      </w:r>
      <w:r w:rsidRPr="00CF021F">
        <w:rPr>
          <w:sz w:val="20"/>
        </w:rPr>
        <w:t xml:space="preserve"> </w:t>
      </w:r>
      <w:hyperlink r:id="rId4" w:anchor="co_pp_a79d0000944d2" w:history="1">
        <w:r w:rsidRPr="00CF021F">
          <w:rPr>
            <w:sz w:val="20"/>
          </w:rPr>
          <w:t>47 U.S.C. § 503(b)(2)(</w:t>
        </w:r>
        <w:r>
          <w:rPr>
            <w:sz w:val="20"/>
          </w:rPr>
          <w:t>E</w:t>
        </w:r>
        <w:r w:rsidRPr="00CF021F">
          <w:rPr>
            <w:sz w:val="20"/>
          </w:rPr>
          <w:t>)</w:t>
        </w:r>
      </w:hyperlink>
      <w:r w:rsidRPr="00CF021F">
        <w:rPr>
          <w:sz w:val="20"/>
        </w:rPr>
        <w:t xml:space="preserve">; </w:t>
      </w:r>
      <w:r w:rsidRPr="00CF021F">
        <w:rPr>
          <w:i/>
          <w:iCs/>
          <w:sz w:val="20"/>
        </w:rPr>
        <w:t xml:space="preserve">see also </w:t>
      </w:r>
      <w:hyperlink r:id="rId5" w:anchor="co_pp_sp_4493_17100" w:history="1">
        <w:r w:rsidRPr="00CF021F">
          <w:rPr>
            <w:i/>
            <w:iCs/>
            <w:sz w:val="20"/>
          </w:rPr>
          <w:t>Forfeiture Policy Statement</w:t>
        </w:r>
        <w:r w:rsidRPr="00CB1BA6">
          <w:rPr>
            <w:sz w:val="20"/>
          </w:rPr>
          <w:t>,</w:t>
        </w:r>
        <w:r w:rsidRPr="00CF021F">
          <w:rPr>
            <w:sz w:val="20"/>
          </w:rPr>
          <w:t xml:space="preserve"> 12 FCC </w:t>
        </w:r>
        <w:r w:rsidRPr="00CF021F">
          <w:rPr>
            <w:sz w:val="20"/>
          </w:rPr>
          <w:t>Rcd</w:t>
        </w:r>
        <w:r w:rsidRPr="00CF021F">
          <w:rPr>
            <w:sz w:val="20"/>
          </w:rPr>
          <w:t xml:space="preserve"> at 17100;</w:t>
        </w:r>
      </w:hyperlink>
      <w:r w:rsidRPr="00CF021F">
        <w:rPr>
          <w:sz w:val="20"/>
        </w:rPr>
        <w:t xml:space="preserve"> </w:t>
      </w:r>
      <w:hyperlink r:id="rId3" w:anchor="co_pp_6ad60000aeea7" w:history="1">
        <w:r w:rsidRPr="00CF021F">
          <w:rPr>
            <w:sz w:val="20"/>
          </w:rPr>
          <w:t>47 CFR § 1.80(b)(</w:t>
        </w:r>
        <w:r w:rsidR="00FA2FA4">
          <w:rPr>
            <w:sz w:val="20"/>
          </w:rPr>
          <w:t>10</w:t>
        </w:r>
        <w:r w:rsidRPr="00CF021F">
          <w:rPr>
            <w:sz w:val="20"/>
          </w:rPr>
          <w:t>)</w:t>
        </w:r>
      </w:hyperlink>
      <w:r w:rsidRPr="00CF021F">
        <w:rPr>
          <w:sz w:val="20"/>
        </w:rPr>
        <w:t>.</w:t>
      </w:r>
    </w:p>
  </w:footnote>
  <w:footnote w:id="20">
    <w:p w:rsidR="007F25AD" w:rsidRPr="008049A8" w:rsidP="007F25AD" w14:paraId="030B913E" w14:textId="1D7E440D">
      <w:pPr>
        <w:pStyle w:val="FootnoteText"/>
      </w:pPr>
      <w:r>
        <w:rPr>
          <w:rStyle w:val="FootnoteReference"/>
        </w:rPr>
        <w:footnoteRef/>
      </w:r>
      <w:r>
        <w:t xml:space="preserve"> </w:t>
      </w:r>
      <w:r>
        <w:rPr>
          <w:i/>
          <w:iCs/>
        </w:rPr>
        <w:t xml:space="preserve">See </w:t>
      </w:r>
      <w:r>
        <w:t xml:space="preserve">47 CFR § 1.80, </w:t>
      </w:r>
      <w:r w:rsidR="00760655">
        <w:t xml:space="preserve">table 1 </w:t>
      </w:r>
      <w:r>
        <w:t>to paragraph (b)(</w:t>
      </w:r>
      <w:r w:rsidR="00760655">
        <w:t>10</w:t>
      </w:r>
      <w:r>
        <w:t>), Base Amounts for Section 503 Forfeitures.</w:t>
      </w:r>
    </w:p>
  </w:footnote>
  <w:footnote w:id="21">
    <w:p w:rsidR="001C402E" w:rsidP="001C402E" w14:paraId="47D57E24" w14:textId="77777777">
      <w:pPr>
        <w:pStyle w:val="FootnoteText"/>
      </w:pPr>
      <w:r>
        <w:rPr>
          <w:rStyle w:val="FootnoteReference"/>
        </w:rPr>
        <w:footnoteRef/>
      </w:r>
      <w:r>
        <w:t xml:space="preserve"> </w:t>
      </w:r>
      <w:r>
        <w:rPr>
          <w:rStyle w:val="Emphasis"/>
        </w:rPr>
        <w:t>See, e.g.</w:t>
      </w:r>
      <w:r w:rsidRPr="002E1A3E">
        <w:rPr>
          <w:rStyle w:val="Emphasis"/>
          <w:i w:val="0"/>
          <w:iCs w:val="0"/>
        </w:rPr>
        <w:t xml:space="preserve">, </w:t>
      </w:r>
      <w:r>
        <w:rPr>
          <w:rStyle w:val="Emphasis"/>
        </w:rPr>
        <w:t>Chisholm Trail Commc'ns, LLC</w:t>
      </w:r>
      <w:r>
        <w:t xml:space="preserve">, Memorandum Opinion and Order and Notice of Apparent Liability for Forfeiture, 33 FCC </w:t>
      </w:r>
      <w:r>
        <w:t>Rcd</w:t>
      </w:r>
      <w:r>
        <w:t xml:space="preserve"> 107 (MB 2018) (</w:t>
      </w:r>
      <w:r>
        <w:rPr>
          <w:rStyle w:val="cosearchterm"/>
        </w:rPr>
        <w:t>$7,000</w:t>
      </w:r>
      <w:r>
        <w:t xml:space="preserve"> forfeiture assessed where licensee failed to timely file renewal application and continued station operations after expiration of license).</w:t>
      </w:r>
    </w:p>
  </w:footnote>
  <w:footnote w:id="22">
    <w:p w:rsidR="001C402E" w:rsidRPr="000A65AC" w:rsidP="001E1873" w14:paraId="03B2391D" w14:textId="3EE3FD6A">
      <w:pPr>
        <w:pStyle w:val="FootnoteText"/>
        <w:jc w:val="both"/>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(reducing $3,000 base forfeiture to $1,500 for untimely filed renewal application for LPFM station)</w:t>
      </w:r>
      <w:r w:rsidR="001E1873">
        <w:t>;</w:t>
      </w:r>
      <w:r w:rsidR="003775BA">
        <w:t xml:space="preserve"> </w:t>
      </w:r>
      <w:r w:rsidR="001E1873">
        <w:rPr>
          <w:i/>
          <w:iCs/>
        </w:rPr>
        <w:t>Lighthouse Ministries of Northwest Ohio</w:t>
      </w:r>
      <w:r w:rsidR="001E1873">
        <w:t>,</w:t>
      </w:r>
      <w:r w:rsidRPr="001E1873" w:rsidR="001E1873">
        <w:t xml:space="preserve"> </w:t>
      </w:r>
      <w:r w:rsidR="001E1873">
        <w:t>Memorandum Opinion and Order and Notice of Apparent Liability, DA 21-275 (MB Mar. 8, 2021) (proposing $3,500 forfeiture for untimely fined renewal application and unauthorized operation of LPFM station).</w:t>
      </w:r>
      <w:r w:rsidR="001E1873">
        <w:rPr>
          <w:i/>
          <w:iCs/>
        </w:rPr>
        <w:t xml:space="preserve"> </w:t>
      </w:r>
    </w:p>
  </w:footnote>
  <w:footnote w:id="23">
    <w:p w:rsidR="00AE2D78" w:rsidP="00AE2D78" w14:paraId="10341675" w14:textId="77777777">
      <w:pPr>
        <w:pStyle w:val="FootnoteText"/>
      </w:pPr>
      <w:r>
        <w:rPr>
          <w:rStyle w:val="FootnoteReference"/>
        </w:rPr>
        <w:footnoteRef/>
      </w:r>
      <w:r>
        <w:rPr>
          <w:i/>
        </w:rPr>
        <w:t xml:space="preserve"> </w:t>
      </w:r>
      <w:r>
        <w:t>47 U.S.C. § 309(k).</w:t>
      </w:r>
    </w:p>
  </w:footnote>
  <w:footnote w:id="24">
    <w:p w:rsidR="00AE2D78" w:rsidP="00AE2D78" w14:paraId="394E412C" w14:textId="0D079A06">
      <w:pPr>
        <w:pStyle w:val="FootnoteText"/>
      </w:pPr>
      <w:r>
        <w:rPr>
          <w:rStyle w:val="FootnoteReference"/>
        </w:rPr>
        <w:footnoteRef/>
      </w:r>
      <w:r>
        <w:t xml:space="preserve"> 47 U.S.C. § 309(k)(1).</w:t>
      </w:r>
    </w:p>
  </w:footnote>
  <w:footnote w:id="25">
    <w:p w:rsidR="00AE2D78" w:rsidP="00AE2D78" w14:paraId="0A271772" w14:textId="77777777">
      <w:pPr>
        <w:pStyle w:val="Footer"/>
        <w:spacing w:after="120"/>
        <w:rPr>
          <w:sz w:val="20"/>
        </w:rPr>
      </w:pPr>
      <w:r>
        <w:rPr>
          <w:rStyle w:val="FootnoteReference"/>
        </w:rPr>
        <w:footnoteRef/>
      </w:r>
      <w:r>
        <w:rPr>
          <w:sz w:val="20"/>
        </w:rPr>
        <w:t xml:space="preserve"> 47 U.S.C. §§ 309(k)(2), 309(k)(3).</w:t>
      </w:r>
    </w:p>
  </w:footnote>
  <w:footnote w:id="26">
    <w:p w:rsidR="00AE2D78" w:rsidRPr="00F32824" w:rsidP="00AE2D78" w14:paraId="18BB1774" w14:textId="10055DF3">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Decision, 32 FCC 2d 196, 198</w:t>
      </w:r>
      <w:r w:rsidR="00085DA5">
        <w:rPr>
          <w:sz w:val="20"/>
        </w:rPr>
        <w:t>, para. 6</w:t>
      </w:r>
      <w:r>
        <w:rPr>
          <w:sz w:val="20"/>
        </w:rPr>
        <w:t xml:space="preserve"> (1971).  Nor do we find on the record here that “the number, nature and extent</w:t>
      </w:r>
      <w:r w:rsidR="00181B9C">
        <w:rPr>
          <w:sz w:val="20"/>
        </w:rPr>
        <w:t>”</w:t>
      </w:r>
      <w:r>
        <w:rPr>
          <w:sz w:val="20"/>
        </w:rPr>
        <w:t xml:space="preserve"> of the violations indicate that “the licensee cannot be relied upon to operate [the Station] in the future in accordance with the requirements of its licenses and the Commission</w:t>
      </w:r>
      <w:r w:rsidR="00D3673F">
        <w:rPr>
          <w:sz w:val="20"/>
        </w:rPr>
        <w:t>’</w:t>
      </w:r>
      <w:r>
        <w:rPr>
          <w:sz w:val="20"/>
        </w:rPr>
        <w:t xml:space="preserve">s Rules.”  </w:t>
      </w:r>
      <w:r>
        <w:rPr>
          <w:i/>
          <w:sz w:val="20"/>
        </w:rPr>
        <w:t>Id.</w:t>
      </w:r>
      <w:r>
        <w:rPr>
          <w:sz w:val="20"/>
        </w:rPr>
        <w:t xml:space="preserve"> at 200.  </w:t>
      </w:r>
      <w:r>
        <w:rPr>
          <w:i/>
          <w:sz w:val="20"/>
        </w:rPr>
        <w:t>Compare</w:t>
      </w:r>
      <w:r w:rsidR="00A40554">
        <w:rPr>
          <w:i/>
          <w:sz w:val="20"/>
        </w:rPr>
        <w:t xml:space="preserve"> with</w:t>
      </w:r>
      <w:r>
        <w:rPr>
          <w:i/>
          <w:sz w:val="20"/>
        </w:rPr>
        <w:t xml:space="preserve">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27">
    <w:p w:rsidR="00146290" w:rsidP="00146290" w14:paraId="6BA69F99" w14:textId="77777777">
      <w:pPr>
        <w:pStyle w:val="FootnoteText"/>
      </w:pPr>
      <w:r>
        <w:rPr>
          <w:rStyle w:val="FootnoteReference"/>
        </w:rPr>
        <w:footnoteRef/>
      </w:r>
      <w:r>
        <w:t xml:space="preserve"> </w:t>
      </w:r>
      <w:bookmarkStart w:id="3" w:name="_Hlk63415835"/>
      <w:r w:rsidRPr="005F7F74">
        <w:t>47 U.S.C. § 503(b)</w:t>
      </w:r>
      <w:r>
        <w:t>; 4</w:t>
      </w:r>
      <w:r w:rsidRPr="005F7F74">
        <w:t>7 CFR § 1.80.</w:t>
      </w:r>
      <w:bookmarkEnd w:id="3"/>
    </w:p>
  </w:footnote>
  <w:footnote w:id="28">
    <w:p w:rsidR="00146290" w:rsidRPr="00132193" w:rsidP="00146290" w14:paraId="7245A086"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9">
    <w:p w:rsidR="00146290" w:rsidRPr="00132193" w:rsidP="00146290" w14:paraId="742C1CE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30">
    <w:p w:rsidR="00146290" w:rsidRPr="004B33E9" w:rsidP="00146290" w14:paraId="5B5DBD3B" w14:textId="77777777">
      <w:pPr>
        <w:pStyle w:val="FootnoteText"/>
        <w:widowControl w:val="0"/>
      </w:pPr>
      <w:r w:rsidRPr="00132193">
        <w:rPr>
          <w:rStyle w:val="FootnoteReference"/>
        </w:rPr>
        <w:footnoteRef/>
      </w:r>
      <w:r w:rsidRPr="00132193">
        <w:t xml:space="preserve"> Instructions for completing the form may be obtained at </w:t>
      </w:r>
      <w:hyperlink r:id="rId7" w:history="1">
        <w:r w:rsidRPr="00132193">
          <w:rPr>
            <w:rStyle w:val="Hyperlink"/>
          </w:rPr>
          <w:t>https://www.fcc.gov/Forms/Form159/159.pdf</w:t>
        </w:r>
      </w:hyperlink>
      <w:r w:rsidRPr="00132193">
        <w:t>.</w:t>
      </w:r>
      <w:r w:rsidRPr="004B33E9">
        <w:t xml:space="preserve"> </w:t>
      </w:r>
    </w:p>
  </w:footnote>
  <w:footnote w:id="31">
    <w:p w:rsidR="00146290" w:rsidRPr="004B33E9" w:rsidP="00146290" w14:paraId="36316F41"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32">
    <w:p w:rsidR="00146290" w:rsidP="00146290" w14:paraId="2185DCE4" w14:textId="6AFF478D">
      <w:pPr>
        <w:pStyle w:val="FootnoteText"/>
        <w:widowControl w:val="0"/>
      </w:pPr>
      <w:r>
        <w:rPr>
          <w:rStyle w:val="FootnoteReference"/>
        </w:rPr>
        <w:footnoteRef/>
      </w:r>
      <w:r>
        <w:t xml:space="preserve"> 47 CFR §§ 1.16 and 1.80(</w:t>
      </w:r>
      <w:r w:rsidR="00FA2FA4">
        <w:t>g</w:t>
      </w:r>
      <w:r>
        <w:t>)(3).</w:t>
      </w:r>
    </w:p>
  </w:footnote>
  <w:footnote w:id="33">
    <w:p w:rsidR="00146290" w:rsidP="00146290" w14:paraId="2777ED39"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4">
    <w:p w:rsidR="00146290" w:rsidP="00146290" w14:paraId="3ED467BE"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879DA" w14:textId="22AB95C3">
    <w:pPr>
      <w:pStyle w:val="Header"/>
      <w:rPr>
        <w:b w:val="0"/>
      </w:rPr>
    </w:pPr>
    <w:r>
      <w:tab/>
      <w:t>Federal Communications Commission</w:t>
    </w:r>
    <w:r>
      <w:tab/>
    </w:r>
    <w:r w:rsidR="00AE2D78">
      <w:t xml:space="preserve">DA </w:t>
    </w:r>
    <w:r w:rsidR="00994B28">
      <w:t>21-1093</w:t>
    </w:r>
  </w:p>
  <w:p w:rsidR="00D25FB5" w14:paraId="10E758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4816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F2201D" w14:textId="677CCD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94B28">
      <w:rPr>
        <w:spacing w:val="-2"/>
      </w:rPr>
      <w:t>DA 21-1093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1C98"/>
    <w:rsid w:val="00014107"/>
    <w:rsid w:val="0001509E"/>
    <w:rsid w:val="00036039"/>
    <w:rsid w:val="00037F90"/>
    <w:rsid w:val="00054488"/>
    <w:rsid w:val="000725CB"/>
    <w:rsid w:val="00076929"/>
    <w:rsid w:val="0008287D"/>
    <w:rsid w:val="00085DA5"/>
    <w:rsid w:val="000875BF"/>
    <w:rsid w:val="00096D8C"/>
    <w:rsid w:val="000A2A51"/>
    <w:rsid w:val="000A5A8E"/>
    <w:rsid w:val="000A65AC"/>
    <w:rsid w:val="000B4B44"/>
    <w:rsid w:val="000C0B65"/>
    <w:rsid w:val="000D1B5F"/>
    <w:rsid w:val="000D4E69"/>
    <w:rsid w:val="000E0353"/>
    <w:rsid w:val="000E05FE"/>
    <w:rsid w:val="000E3D42"/>
    <w:rsid w:val="000F3BFA"/>
    <w:rsid w:val="00121038"/>
    <w:rsid w:val="00122BD5"/>
    <w:rsid w:val="00126646"/>
    <w:rsid w:val="00132193"/>
    <w:rsid w:val="00133F79"/>
    <w:rsid w:val="00144FA6"/>
    <w:rsid w:val="00146290"/>
    <w:rsid w:val="00177E7D"/>
    <w:rsid w:val="00181B9C"/>
    <w:rsid w:val="00194A66"/>
    <w:rsid w:val="00197841"/>
    <w:rsid w:val="001A7F2D"/>
    <w:rsid w:val="001B7D74"/>
    <w:rsid w:val="001C2556"/>
    <w:rsid w:val="001C402E"/>
    <w:rsid w:val="001C60F2"/>
    <w:rsid w:val="001D6BCF"/>
    <w:rsid w:val="001E01CA"/>
    <w:rsid w:val="001E1873"/>
    <w:rsid w:val="001E3D3C"/>
    <w:rsid w:val="00201D9D"/>
    <w:rsid w:val="00203CC8"/>
    <w:rsid w:val="00207182"/>
    <w:rsid w:val="00222234"/>
    <w:rsid w:val="0022563C"/>
    <w:rsid w:val="00261CF4"/>
    <w:rsid w:val="00275CF5"/>
    <w:rsid w:val="0028301F"/>
    <w:rsid w:val="0028442B"/>
    <w:rsid w:val="00285017"/>
    <w:rsid w:val="002A2D2E"/>
    <w:rsid w:val="002C00E8"/>
    <w:rsid w:val="002D40C2"/>
    <w:rsid w:val="002E1A3E"/>
    <w:rsid w:val="003119FD"/>
    <w:rsid w:val="003301E2"/>
    <w:rsid w:val="003344E3"/>
    <w:rsid w:val="00341A35"/>
    <w:rsid w:val="00343749"/>
    <w:rsid w:val="003660ED"/>
    <w:rsid w:val="00377315"/>
    <w:rsid w:val="003775BA"/>
    <w:rsid w:val="003B0550"/>
    <w:rsid w:val="003B694F"/>
    <w:rsid w:val="003C238A"/>
    <w:rsid w:val="003D4183"/>
    <w:rsid w:val="003F171C"/>
    <w:rsid w:val="004029B5"/>
    <w:rsid w:val="00403C7A"/>
    <w:rsid w:val="00412FC5"/>
    <w:rsid w:val="0041458C"/>
    <w:rsid w:val="0041471C"/>
    <w:rsid w:val="00422276"/>
    <w:rsid w:val="004242F1"/>
    <w:rsid w:val="00445A00"/>
    <w:rsid w:val="00451B0F"/>
    <w:rsid w:val="004559BA"/>
    <w:rsid w:val="0046477F"/>
    <w:rsid w:val="00486EED"/>
    <w:rsid w:val="0049479B"/>
    <w:rsid w:val="004A4379"/>
    <w:rsid w:val="004B33E9"/>
    <w:rsid w:val="004C2EE3"/>
    <w:rsid w:val="004C4812"/>
    <w:rsid w:val="004E4A22"/>
    <w:rsid w:val="00505710"/>
    <w:rsid w:val="00506029"/>
    <w:rsid w:val="00511968"/>
    <w:rsid w:val="00511FF7"/>
    <w:rsid w:val="00525153"/>
    <w:rsid w:val="00525F98"/>
    <w:rsid w:val="00537BD6"/>
    <w:rsid w:val="00543EDB"/>
    <w:rsid w:val="0055614C"/>
    <w:rsid w:val="00564DBA"/>
    <w:rsid w:val="00566D06"/>
    <w:rsid w:val="00581D3E"/>
    <w:rsid w:val="005B1997"/>
    <w:rsid w:val="005C2209"/>
    <w:rsid w:val="005D10BF"/>
    <w:rsid w:val="005E14C2"/>
    <w:rsid w:val="005E1FDE"/>
    <w:rsid w:val="005F7F74"/>
    <w:rsid w:val="00600AB4"/>
    <w:rsid w:val="00607BA5"/>
    <w:rsid w:val="0061180A"/>
    <w:rsid w:val="00626EB6"/>
    <w:rsid w:val="00642B83"/>
    <w:rsid w:val="00655D03"/>
    <w:rsid w:val="00660E0D"/>
    <w:rsid w:val="00674FA2"/>
    <w:rsid w:val="00683388"/>
    <w:rsid w:val="00683F84"/>
    <w:rsid w:val="00692316"/>
    <w:rsid w:val="006A6A81"/>
    <w:rsid w:val="006A6CFC"/>
    <w:rsid w:val="006B0B35"/>
    <w:rsid w:val="006C7F87"/>
    <w:rsid w:val="006F7393"/>
    <w:rsid w:val="006F7D37"/>
    <w:rsid w:val="0070224F"/>
    <w:rsid w:val="00710DF1"/>
    <w:rsid w:val="007115F7"/>
    <w:rsid w:val="007303AA"/>
    <w:rsid w:val="00741257"/>
    <w:rsid w:val="0074666D"/>
    <w:rsid w:val="00760655"/>
    <w:rsid w:val="00781445"/>
    <w:rsid w:val="00783D6D"/>
    <w:rsid w:val="00785689"/>
    <w:rsid w:val="00787F68"/>
    <w:rsid w:val="0079754B"/>
    <w:rsid w:val="007A1E6D"/>
    <w:rsid w:val="007B0EB2"/>
    <w:rsid w:val="007B1D07"/>
    <w:rsid w:val="007C3B9F"/>
    <w:rsid w:val="007F25AD"/>
    <w:rsid w:val="008049A8"/>
    <w:rsid w:val="00810B6F"/>
    <w:rsid w:val="00815718"/>
    <w:rsid w:val="00816E67"/>
    <w:rsid w:val="00822CE0"/>
    <w:rsid w:val="00841AB1"/>
    <w:rsid w:val="0084681F"/>
    <w:rsid w:val="008514DF"/>
    <w:rsid w:val="00884E73"/>
    <w:rsid w:val="008945D2"/>
    <w:rsid w:val="008B7DF1"/>
    <w:rsid w:val="008C0432"/>
    <w:rsid w:val="008C68F1"/>
    <w:rsid w:val="008D30C5"/>
    <w:rsid w:val="008E2B0C"/>
    <w:rsid w:val="00910CCA"/>
    <w:rsid w:val="00910EC5"/>
    <w:rsid w:val="00921803"/>
    <w:rsid w:val="00926503"/>
    <w:rsid w:val="00935862"/>
    <w:rsid w:val="00965E39"/>
    <w:rsid w:val="00971225"/>
    <w:rsid w:val="009726D8"/>
    <w:rsid w:val="0097716D"/>
    <w:rsid w:val="00994588"/>
    <w:rsid w:val="00994B28"/>
    <w:rsid w:val="009C3B44"/>
    <w:rsid w:val="009C4B9E"/>
    <w:rsid w:val="009C5E1D"/>
    <w:rsid w:val="009D269D"/>
    <w:rsid w:val="009D7308"/>
    <w:rsid w:val="009F76DB"/>
    <w:rsid w:val="00A1362B"/>
    <w:rsid w:val="00A32C3B"/>
    <w:rsid w:val="00A40554"/>
    <w:rsid w:val="00A45F4F"/>
    <w:rsid w:val="00A52908"/>
    <w:rsid w:val="00A600A9"/>
    <w:rsid w:val="00A7009C"/>
    <w:rsid w:val="00A83757"/>
    <w:rsid w:val="00A846E9"/>
    <w:rsid w:val="00AA55B7"/>
    <w:rsid w:val="00AA5B9E"/>
    <w:rsid w:val="00AB0947"/>
    <w:rsid w:val="00AB2407"/>
    <w:rsid w:val="00AB53DF"/>
    <w:rsid w:val="00AC0054"/>
    <w:rsid w:val="00AE2D78"/>
    <w:rsid w:val="00B00BDF"/>
    <w:rsid w:val="00B07E5C"/>
    <w:rsid w:val="00B26476"/>
    <w:rsid w:val="00B32FF4"/>
    <w:rsid w:val="00B35252"/>
    <w:rsid w:val="00B40D6E"/>
    <w:rsid w:val="00B41685"/>
    <w:rsid w:val="00B47EE4"/>
    <w:rsid w:val="00B55994"/>
    <w:rsid w:val="00B57093"/>
    <w:rsid w:val="00B811F7"/>
    <w:rsid w:val="00B97556"/>
    <w:rsid w:val="00BA4417"/>
    <w:rsid w:val="00BA5DC6"/>
    <w:rsid w:val="00BA6196"/>
    <w:rsid w:val="00BB5E1D"/>
    <w:rsid w:val="00BC6D8C"/>
    <w:rsid w:val="00BD3CD6"/>
    <w:rsid w:val="00C25669"/>
    <w:rsid w:val="00C25D32"/>
    <w:rsid w:val="00C34006"/>
    <w:rsid w:val="00C36B4C"/>
    <w:rsid w:val="00C426B1"/>
    <w:rsid w:val="00C61CB8"/>
    <w:rsid w:val="00C66160"/>
    <w:rsid w:val="00C721AC"/>
    <w:rsid w:val="00C75785"/>
    <w:rsid w:val="00C90D6A"/>
    <w:rsid w:val="00CA247E"/>
    <w:rsid w:val="00CA6D21"/>
    <w:rsid w:val="00CB1BA6"/>
    <w:rsid w:val="00CB7063"/>
    <w:rsid w:val="00CC72B6"/>
    <w:rsid w:val="00CD3D11"/>
    <w:rsid w:val="00CD7225"/>
    <w:rsid w:val="00CF021F"/>
    <w:rsid w:val="00CF56A8"/>
    <w:rsid w:val="00D0218D"/>
    <w:rsid w:val="00D25FB5"/>
    <w:rsid w:val="00D2667A"/>
    <w:rsid w:val="00D3673F"/>
    <w:rsid w:val="00D44223"/>
    <w:rsid w:val="00D4745B"/>
    <w:rsid w:val="00D55DAF"/>
    <w:rsid w:val="00D64E57"/>
    <w:rsid w:val="00D74CC9"/>
    <w:rsid w:val="00DA04C7"/>
    <w:rsid w:val="00DA2529"/>
    <w:rsid w:val="00DB130A"/>
    <w:rsid w:val="00DB2EBB"/>
    <w:rsid w:val="00DC10A1"/>
    <w:rsid w:val="00DC655F"/>
    <w:rsid w:val="00DD0B59"/>
    <w:rsid w:val="00DD7E8F"/>
    <w:rsid w:val="00DD7EBD"/>
    <w:rsid w:val="00DF62B6"/>
    <w:rsid w:val="00E07225"/>
    <w:rsid w:val="00E1189A"/>
    <w:rsid w:val="00E20626"/>
    <w:rsid w:val="00E23B79"/>
    <w:rsid w:val="00E274C2"/>
    <w:rsid w:val="00E4519B"/>
    <w:rsid w:val="00E521FC"/>
    <w:rsid w:val="00E5409F"/>
    <w:rsid w:val="00E77E92"/>
    <w:rsid w:val="00E97E95"/>
    <w:rsid w:val="00EA3857"/>
    <w:rsid w:val="00EC4C53"/>
    <w:rsid w:val="00EE4177"/>
    <w:rsid w:val="00EE6488"/>
    <w:rsid w:val="00EF47D7"/>
    <w:rsid w:val="00F021FA"/>
    <w:rsid w:val="00F261BB"/>
    <w:rsid w:val="00F31413"/>
    <w:rsid w:val="00F32824"/>
    <w:rsid w:val="00F56822"/>
    <w:rsid w:val="00F60863"/>
    <w:rsid w:val="00F62E97"/>
    <w:rsid w:val="00F64209"/>
    <w:rsid w:val="00F903FF"/>
    <w:rsid w:val="00F93BF5"/>
    <w:rsid w:val="00FA2FA4"/>
    <w:rsid w:val="00FA596C"/>
    <w:rsid w:val="00FE05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D9835"/>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B28"/>
    <w:pPr>
      <w:widowControl w:val="0"/>
    </w:pPr>
    <w:rPr>
      <w:snapToGrid w:val="0"/>
      <w:kern w:val="28"/>
      <w:sz w:val="22"/>
    </w:rPr>
  </w:style>
  <w:style w:type="paragraph" w:styleId="Heading1">
    <w:name w:val="heading 1"/>
    <w:basedOn w:val="Normal"/>
    <w:next w:val="ParaNum"/>
    <w:qFormat/>
    <w:rsid w:val="00994B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4B28"/>
    <w:pPr>
      <w:keepNext/>
      <w:numPr>
        <w:ilvl w:val="1"/>
        <w:numId w:val="3"/>
      </w:numPr>
      <w:spacing w:after="120"/>
      <w:outlineLvl w:val="1"/>
    </w:pPr>
    <w:rPr>
      <w:b/>
    </w:rPr>
  </w:style>
  <w:style w:type="paragraph" w:styleId="Heading3">
    <w:name w:val="heading 3"/>
    <w:basedOn w:val="Normal"/>
    <w:next w:val="ParaNum"/>
    <w:qFormat/>
    <w:rsid w:val="00994B28"/>
    <w:pPr>
      <w:keepNext/>
      <w:numPr>
        <w:ilvl w:val="2"/>
        <w:numId w:val="3"/>
      </w:numPr>
      <w:tabs>
        <w:tab w:val="left" w:pos="2160"/>
      </w:tabs>
      <w:spacing w:after="120"/>
      <w:outlineLvl w:val="2"/>
    </w:pPr>
    <w:rPr>
      <w:b/>
    </w:rPr>
  </w:style>
  <w:style w:type="paragraph" w:styleId="Heading4">
    <w:name w:val="heading 4"/>
    <w:basedOn w:val="Normal"/>
    <w:next w:val="ParaNum"/>
    <w:qFormat/>
    <w:rsid w:val="00994B28"/>
    <w:pPr>
      <w:keepNext/>
      <w:numPr>
        <w:ilvl w:val="3"/>
        <w:numId w:val="3"/>
      </w:numPr>
      <w:tabs>
        <w:tab w:val="left" w:pos="2880"/>
      </w:tabs>
      <w:spacing w:after="120"/>
      <w:outlineLvl w:val="3"/>
    </w:pPr>
    <w:rPr>
      <w:b/>
    </w:rPr>
  </w:style>
  <w:style w:type="paragraph" w:styleId="Heading5">
    <w:name w:val="heading 5"/>
    <w:basedOn w:val="Normal"/>
    <w:next w:val="ParaNum"/>
    <w:qFormat/>
    <w:rsid w:val="00994B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4B28"/>
    <w:pPr>
      <w:numPr>
        <w:ilvl w:val="5"/>
        <w:numId w:val="3"/>
      </w:numPr>
      <w:tabs>
        <w:tab w:val="left" w:pos="4320"/>
      </w:tabs>
      <w:spacing w:after="120"/>
      <w:outlineLvl w:val="5"/>
    </w:pPr>
    <w:rPr>
      <w:b/>
    </w:rPr>
  </w:style>
  <w:style w:type="paragraph" w:styleId="Heading7">
    <w:name w:val="heading 7"/>
    <w:basedOn w:val="Normal"/>
    <w:next w:val="ParaNum"/>
    <w:qFormat/>
    <w:rsid w:val="00994B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4B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4B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4B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B28"/>
  </w:style>
  <w:style w:type="paragraph" w:customStyle="1" w:styleId="ParaNum">
    <w:name w:val="ParaNum"/>
    <w:basedOn w:val="Normal"/>
    <w:link w:val="ParaNumChar"/>
    <w:rsid w:val="00994B28"/>
    <w:pPr>
      <w:numPr>
        <w:numId w:val="2"/>
      </w:numPr>
      <w:tabs>
        <w:tab w:val="clear" w:pos="1080"/>
        <w:tab w:val="num" w:pos="1440"/>
      </w:tabs>
      <w:spacing w:after="120"/>
    </w:pPr>
  </w:style>
  <w:style w:type="paragraph" w:styleId="EndnoteText">
    <w:name w:val="endnote text"/>
    <w:basedOn w:val="Normal"/>
    <w:semiHidden/>
    <w:rsid w:val="00994B28"/>
    <w:rPr>
      <w:sz w:val="20"/>
    </w:rPr>
  </w:style>
  <w:style w:type="character" w:styleId="EndnoteReference">
    <w:name w:val="endnote reference"/>
    <w:semiHidden/>
    <w:rsid w:val="00994B28"/>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994B2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94B28"/>
    <w:rPr>
      <w:rFonts w:ascii="Times New Roman" w:hAnsi="Times New Roman"/>
      <w:dstrike w:val="0"/>
      <w:color w:val="auto"/>
      <w:sz w:val="20"/>
      <w:vertAlign w:val="superscript"/>
    </w:rPr>
  </w:style>
  <w:style w:type="paragraph" w:styleId="TOC1">
    <w:name w:val="toc 1"/>
    <w:basedOn w:val="Normal"/>
    <w:next w:val="Normal"/>
    <w:semiHidden/>
    <w:rsid w:val="00994B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4B28"/>
    <w:pPr>
      <w:tabs>
        <w:tab w:val="left" w:pos="720"/>
        <w:tab w:val="right" w:leader="dot" w:pos="9360"/>
      </w:tabs>
      <w:suppressAutoHyphens/>
      <w:ind w:left="720" w:right="720" w:hanging="360"/>
    </w:pPr>
    <w:rPr>
      <w:noProof/>
    </w:rPr>
  </w:style>
  <w:style w:type="paragraph" w:styleId="TOC3">
    <w:name w:val="toc 3"/>
    <w:basedOn w:val="Normal"/>
    <w:next w:val="Normal"/>
    <w:semiHidden/>
    <w:rsid w:val="00994B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4B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4B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4B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4B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4B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4B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4B28"/>
    <w:pPr>
      <w:tabs>
        <w:tab w:val="right" w:pos="9360"/>
      </w:tabs>
      <w:suppressAutoHyphens/>
    </w:pPr>
  </w:style>
  <w:style w:type="character" w:customStyle="1" w:styleId="EquationCaption">
    <w:name w:val="_Equation Caption"/>
    <w:rsid w:val="00994B28"/>
  </w:style>
  <w:style w:type="paragraph" w:styleId="Header">
    <w:name w:val="header"/>
    <w:basedOn w:val="Normal"/>
    <w:autoRedefine/>
    <w:rsid w:val="00994B28"/>
    <w:pPr>
      <w:tabs>
        <w:tab w:val="center" w:pos="4680"/>
        <w:tab w:val="right" w:pos="9360"/>
      </w:tabs>
    </w:pPr>
    <w:rPr>
      <w:b/>
    </w:rPr>
  </w:style>
  <w:style w:type="paragraph" w:styleId="Footer">
    <w:name w:val="footer"/>
    <w:basedOn w:val="Normal"/>
    <w:link w:val="FooterChar"/>
    <w:uiPriority w:val="99"/>
    <w:rsid w:val="00994B28"/>
    <w:pPr>
      <w:tabs>
        <w:tab w:val="center" w:pos="4320"/>
        <w:tab w:val="right" w:pos="8640"/>
      </w:tabs>
    </w:pPr>
  </w:style>
  <w:style w:type="character" w:styleId="PageNumber">
    <w:name w:val="page number"/>
    <w:basedOn w:val="DefaultParagraphFont"/>
    <w:rsid w:val="00994B28"/>
  </w:style>
  <w:style w:type="paragraph" w:styleId="BlockText">
    <w:name w:val="Block Text"/>
    <w:basedOn w:val="Normal"/>
    <w:rsid w:val="00994B28"/>
    <w:pPr>
      <w:spacing w:after="240"/>
      <w:ind w:left="1440" w:right="1440"/>
    </w:pPr>
  </w:style>
  <w:style w:type="paragraph" w:customStyle="1" w:styleId="Paratitle">
    <w:name w:val="Para title"/>
    <w:basedOn w:val="Normal"/>
    <w:rsid w:val="00994B28"/>
    <w:pPr>
      <w:tabs>
        <w:tab w:val="center" w:pos="9270"/>
      </w:tabs>
      <w:spacing w:after="240"/>
    </w:pPr>
    <w:rPr>
      <w:spacing w:val="-2"/>
    </w:rPr>
  </w:style>
  <w:style w:type="paragraph" w:customStyle="1" w:styleId="Bullet">
    <w:name w:val="Bullet"/>
    <w:basedOn w:val="Normal"/>
    <w:rsid w:val="00994B28"/>
    <w:pPr>
      <w:tabs>
        <w:tab w:val="left" w:pos="2160"/>
      </w:tabs>
      <w:spacing w:after="220"/>
      <w:ind w:left="2160" w:hanging="720"/>
    </w:pPr>
  </w:style>
  <w:style w:type="paragraph" w:customStyle="1" w:styleId="TableFormat">
    <w:name w:val="TableFormat"/>
    <w:basedOn w:val="Bullet"/>
    <w:rsid w:val="00994B28"/>
    <w:pPr>
      <w:tabs>
        <w:tab w:val="clear" w:pos="2160"/>
        <w:tab w:val="left" w:pos="5040"/>
      </w:tabs>
      <w:ind w:left="5040" w:hanging="3600"/>
    </w:pPr>
  </w:style>
  <w:style w:type="paragraph" w:customStyle="1" w:styleId="TOCTitle">
    <w:name w:val="TOC Title"/>
    <w:basedOn w:val="Normal"/>
    <w:rsid w:val="00994B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4B28"/>
    <w:pPr>
      <w:jc w:val="center"/>
    </w:pPr>
    <w:rPr>
      <w:rFonts w:ascii="Times New Roman Bold" w:hAnsi="Times New Roman Bold"/>
      <w:b/>
      <w:bCs/>
      <w:caps/>
      <w:szCs w:val="22"/>
    </w:rPr>
  </w:style>
  <w:style w:type="character" w:styleId="Hyperlink">
    <w:name w:val="Hyperlink"/>
    <w:rsid w:val="00994B28"/>
    <w:rPr>
      <w:color w:val="0000FF"/>
      <w:u w:val="single"/>
    </w:rPr>
  </w:style>
  <w:style w:type="character" w:customStyle="1" w:styleId="FooterChar">
    <w:name w:val="Footer Char"/>
    <w:link w:val="Footer"/>
    <w:uiPriority w:val="99"/>
    <w:rsid w:val="00994B28"/>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