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46B2CCB8" w14:textId="36C10A5E">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9757F3">
        <w:rPr>
          <w:b/>
          <w:szCs w:val="22"/>
        </w:rPr>
        <w:t>1094</w:t>
      </w:r>
    </w:p>
    <w:p w:rsidR="00E7033D" w14:paraId="54648A8E" w14:textId="6575C147">
      <w:pPr>
        <w:spacing w:before="60"/>
        <w:jc w:val="right"/>
        <w:rPr>
          <w:b/>
          <w:szCs w:val="22"/>
        </w:rPr>
      </w:pPr>
      <w:r>
        <w:rPr>
          <w:b/>
          <w:szCs w:val="22"/>
        </w:rPr>
        <w:t xml:space="preserve">September </w:t>
      </w:r>
      <w:r w:rsidR="005E1380">
        <w:rPr>
          <w:b/>
          <w:szCs w:val="22"/>
        </w:rPr>
        <w:t>2</w:t>
      </w:r>
      <w:r w:rsidR="00830743">
        <w:rPr>
          <w:b/>
          <w:szCs w:val="22"/>
        </w:rPr>
        <w:t>, 2021</w:t>
      </w:r>
    </w:p>
    <w:p w:rsidR="00E7033D" w14:paraId="30245004" w14:textId="77777777">
      <w:pPr>
        <w:tabs>
          <w:tab w:val="left" w:pos="5900"/>
        </w:tabs>
        <w:rPr>
          <w:szCs w:val="22"/>
        </w:rPr>
      </w:pPr>
      <w:r>
        <w:rPr>
          <w:szCs w:val="22"/>
        </w:rPr>
        <w:tab/>
      </w:r>
    </w:p>
    <w:p w:rsidR="00E7033D" w:rsidP="00AA5B82" w14:paraId="359D7417" w14:textId="3077782E">
      <w:pPr>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sidR="007C3551">
        <w:rPr>
          <w:b/>
          <w:bCs/>
          <w:szCs w:val="22"/>
        </w:rPr>
        <w:t xml:space="preserve">TRANSFER OF </w:t>
      </w:r>
      <w:r w:rsidR="00C430CD">
        <w:rPr>
          <w:b/>
          <w:bCs/>
          <w:szCs w:val="22"/>
        </w:rPr>
        <w:t xml:space="preserve">CONTROL OF </w:t>
      </w:r>
      <w:bookmarkEnd w:id="3"/>
      <w:bookmarkEnd w:id="4"/>
      <w:bookmarkEnd w:id="5"/>
      <w:r w:rsidR="00CF101F">
        <w:rPr>
          <w:b/>
          <w:bCs/>
          <w:szCs w:val="22"/>
        </w:rPr>
        <w:t>ALL POINTS NORTHERN NECK, LLC</w:t>
      </w:r>
      <w:r w:rsidR="008A5E3E">
        <w:rPr>
          <w:b/>
          <w:bCs/>
          <w:szCs w:val="22"/>
        </w:rPr>
        <w:t xml:space="preserve"> TO SEARCHLIGHT TYP HOLDCO, LLC</w:t>
      </w:r>
    </w:p>
    <w:p w:rsidR="00541FF2" w:rsidP="00541FF2" w14:paraId="241C6D2D" w14:textId="77777777">
      <w:pPr>
        <w:jc w:val="center"/>
        <w:rPr>
          <w:b/>
          <w:bCs/>
          <w:szCs w:val="22"/>
        </w:rPr>
      </w:pPr>
    </w:p>
    <w:p w:rsidR="00E7033D" w14:paraId="747B56DE" w14:textId="77777777">
      <w:pPr>
        <w:jc w:val="center"/>
        <w:rPr>
          <w:b/>
          <w:szCs w:val="22"/>
        </w:rPr>
      </w:pPr>
      <w:r w:rsidRPr="00A464DC">
        <w:rPr>
          <w:b/>
          <w:bCs/>
          <w:szCs w:val="22"/>
        </w:rPr>
        <w:t>NON-</w:t>
      </w:r>
      <w:r w:rsidRPr="00A464DC" w:rsidR="00066D12">
        <w:rPr>
          <w:b/>
          <w:bCs/>
          <w:szCs w:val="22"/>
        </w:rPr>
        <w:t>STREA</w:t>
      </w:r>
      <w:r w:rsidRPr="00A464DC" w:rsidR="00066D12">
        <w:rPr>
          <w:b/>
          <w:szCs w:val="22"/>
        </w:rPr>
        <w:t>MLINED</w:t>
      </w:r>
      <w:r w:rsidR="00066D12">
        <w:rPr>
          <w:b/>
          <w:szCs w:val="22"/>
        </w:rPr>
        <w:t xml:space="preserve"> PLEADING CYCLE ESTABLISHED</w:t>
      </w:r>
    </w:p>
    <w:p w:rsidR="00E7033D" w14:paraId="3AC06B8C" w14:textId="77777777">
      <w:pPr>
        <w:jc w:val="center"/>
        <w:rPr>
          <w:b/>
          <w:szCs w:val="22"/>
        </w:rPr>
      </w:pPr>
    </w:p>
    <w:p w:rsidR="00E7033D" w14:paraId="02EABF17" w14:textId="62B0C98A">
      <w:pPr>
        <w:jc w:val="center"/>
        <w:rPr>
          <w:b/>
          <w:szCs w:val="22"/>
        </w:rPr>
      </w:pPr>
      <w:r w:rsidRPr="00AB369C">
        <w:rPr>
          <w:b/>
          <w:szCs w:val="22"/>
        </w:rPr>
        <w:t>WC Docket No. 21-</w:t>
      </w:r>
      <w:r w:rsidR="00A267BC">
        <w:rPr>
          <w:b/>
          <w:szCs w:val="22"/>
        </w:rPr>
        <w:t>335</w:t>
      </w:r>
    </w:p>
    <w:p w:rsidR="00E7033D" w14:paraId="02B1980C" w14:textId="77777777">
      <w:pPr>
        <w:jc w:val="center"/>
        <w:rPr>
          <w:szCs w:val="22"/>
        </w:rPr>
      </w:pPr>
    </w:p>
    <w:bookmarkEnd w:id="1"/>
    <w:p w:rsidR="00AB369C" w:rsidRPr="006F586C" w:rsidP="00AB369C" w14:paraId="4E395427" w14:textId="4E835F44">
      <w:pPr>
        <w:tabs>
          <w:tab w:val="left" w:pos="6221"/>
        </w:tabs>
        <w:autoSpaceDE w:val="0"/>
        <w:autoSpaceDN w:val="0"/>
        <w:adjustRightInd w:val="0"/>
        <w:rPr>
          <w:b/>
          <w:szCs w:val="22"/>
        </w:rPr>
      </w:pPr>
      <w:r w:rsidRPr="006F586C">
        <w:rPr>
          <w:b/>
          <w:szCs w:val="22"/>
        </w:rPr>
        <w:t xml:space="preserve">Comments Due:  </w:t>
      </w:r>
      <w:r w:rsidR="007572E5">
        <w:rPr>
          <w:b/>
          <w:szCs w:val="22"/>
        </w:rPr>
        <w:t>September</w:t>
      </w:r>
      <w:r w:rsidR="006B3211">
        <w:rPr>
          <w:b/>
          <w:szCs w:val="22"/>
        </w:rPr>
        <w:t xml:space="preserve"> </w:t>
      </w:r>
      <w:r w:rsidR="005E1380">
        <w:rPr>
          <w:b/>
          <w:szCs w:val="22"/>
        </w:rPr>
        <w:t>16</w:t>
      </w:r>
      <w:r w:rsidRPr="006F586C">
        <w:rPr>
          <w:b/>
          <w:szCs w:val="22"/>
        </w:rPr>
        <w:t>, 2021</w:t>
      </w:r>
    </w:p>
    <w:p w:rsidR="00C869E8" w:rsidP="00AB369C" w14:paraId="5F62C416" w14:textId="7805603C">
      <w:pPr>
        <w:tabs>
          <w:tab w:val="left" w:pos="6221"/>
        </w:tabs>
        <w:autoSpaceDE w:val="0"/>
        <w:autoSpaceDN w:val="0"/>
        <w:adjustRightInd w:val="0"/>
        <w:rPr>
          <w:b/>
          <w:szCs w:val="22"/>
        </w:rPr>
      </w:pPr>
      <w:r w:rsidRPr="006F586C">
        <w:rPr>
          <w:b/>
          <w:szCs w:val="22"/>
        </w:rPr>
        <w:t xml:space="preserve">Reply Comments Due:  </w:t>
      </w:r>
      <w:r w:rsidR="006B3211">
        <w:rPr>
          <w:b/>
          <w:szCs w:val="22"/>
        </w:rPr>
        <w:t xml:space="preserve">September </w:t>
      </w:r>
      <w:r w:rsidR="005E1380">
        <w:rPr>
          <w:b/>
          <w:szCs w:val="22"/>
        </w:rPr>
        <w:t>23</w:t>
      </w:r>
      <w:r w:rsidR="00FD3D14">
        <w:rPr>
          <w:b/>
          <w:szCs w:val="22"/>
        </w:rPr>
        <w:t>,</w:t>
      </w:r>
      <w:r w:rsidRPr="006F586C">
        <w:rPr>
          <w:b/>
          <w:szCs w:val="22"/>
        </w:rPr>
        <w:t xml:space="preserve"> 2021</w:t>
      </w:r>
    </w:p>
    <w:bookmarkEnd w:id="2"/>
    <w:p w:rsidR="00760269" w:rsidRPr="005B2105" w:rsidP="00AB369C" w14:paraId="7B103349" w14:textId="2D0E6C28">
      <w:pPr>
        <w:tabs>
          <w:tab w:val="left" w:pos="6221"/>
        </w:tabs>
        <w:autoSpaceDE w:val="0"/>
        <w:autoSpaceDN w:val="0"/>
        <w:adjustRightInd w:val="0"/>
        <w:rPr>
          <w:szCs w:val="22"/>
        </w:rPr>
      </w:pPr>
      <w:r w:rsidRPr="005B2105">
        <w:rPr>
          <w:szCs w:val="22"/>
        </w:rPr>
        <w:tab/>
      </w:r>
    </w:p>
    <w:p w:rsidR="00680D6E" w:rsidP="00B80934" w14:paraId="162A516B" w14:textId="46CD10BA">
      <w:pPr>
        <w:autoSpaceDE w:val="0"/>
        <w:autoSpaceDN w:val="0"/>
        <w:adjustRightInd w:val="0"/>
        <w:spacing w:after="120"/>
        <w:ind w:firstLine="720"/>
        <w:rPr>
          <w:szCs w:val="22"/>
        </w:rPr>
      </w:pPr>
      <w:r w:rsidRPr="00B26F81">
        <w:rPr>
          <w:szCs w:val="22"/>
        </w:rPr>
        <w:t xml:space="preserve">By this Public Notice, the Wireline Competition Bureau </w:t>
      </w:r>
      <w:r w:rsidR="008A5E3E">
        <w:rPr>
          <w:szCs w:val="22"/>
        </w:rPr>
        <w:t xml:space="preserve">(Bureau) </w:t>
      </w:r>
      <w:r w:rsidRPr="00B26F81">
        <w:rPr>
          <w:szCs w:val="22"/>
        </w:rPr>
        <w:t>seek</w:t>
      </w:r>
      <w:r w:rsidRPr="00B26F81" w:rsidR="00E82CF0">
        <w:rPr>
          <w:szCs w:val="22"/>
        </w:rPr>
        <w:t>s</w:t>
      </w:r>
      <w:r w:rsidRPr="00B26F81">
        <w:rPr>
          <w:szCs w:val="22"/>
        </w:rPr>
        <w:t xml:space="preserve"> comment from interested parties</w:t>
      </w:r>
      <w:r w:rsidR="007572E5">
        <w:rPr>
          <w:szCs w:val="22"/>
        </w:rPr>
        <w:t xml:space="preserve"> </w:t>
      </w:r>
      <w:r w:rsidR="00EA6114">
        <w:rPr>
          <w:szCs w:val="22"/>
        </w:rPr>
        <w:t>on an application,</w:t>
      </w:r>
      <w:r>
        <w:rPr>
          <w:rStyle w:val="FootnoteReference"/>
          <w:szCs w:val="22"/>
        </w:rPr>
        <w:footnoteReference w:id="3"/>
      </w:r>
      <w:r w:rsidR="00EA6114">
        <w:rPr>
          <w:szCs w:val="22"/>
        </w:rPr>
        <w:t xml:space="preserve"> </w:t>
      </w:r>
      <w:r w:rsidRPr="00B26F81" w:rsidR="00876514">
        <w:rPr>
          <w:szCs w:val="22"/>
        </w:rPr>
        <w:t xml:space="preserve">filed </w:t>
      </w:r>
      <w:r w:rsidRPr="00B26F81" w:rsidR="00EC10D1">
        <w:rPr>
          <w:szCs w:val="22"/>
        </w:rPr>
        <w:t xml:space="preserve">pursuant to </w:t>
      </w:r>
      <w:r w:rsidRPr="00B26F81" w:rsidR="008036BB">
        <w:rPr>
          <w:szCs w:val="22"/>
        </w:rPr>
        <w:t>s</w:t>
      </w:r>
      <w:r w:rsidRPr="00B26F81" w:rsidR="00EC10D1">
        <w:rPr>
          <w:szCs w:val="22"/>
        </w:rPr>
        <w:t>ection 214 of the Communications Act of 1934, as amended, and sections 63.03-04</w:t>
      </w:r>
      <w:r w:rsidRPr="00B26F81" w:rsidR="008B4FC7">
        <w:rPr>
          <w:szCs w:val="22"/>
        </w:rPr>
        <w:t xml:space="preserve"> </w:t>
      </w:r>
      <w:r w:rsidRPr="00B26F81" w:rsidR="00EC10D1">
        <w:rPr>
          <w:szCs w:val="22"/>
        </w:rPr>
        <w:t>of the Commission’s rules, to transfer control</w:t>
      </w:r>
      <w:r w:rsidR="009E2CB1">
        <w:rPr>
          <w:szCs w:val="22"/>
        </w:rPr>
        <w:t xml:space="preserve"> of</w:t>
      </w:r>
      <w:r w:rsidRPr="00B26F81" w:rsidR="00EC10D1">
        <w:rPr>
          <w:szCs w:val="22"/>
        </w:rPr>
        <w:t xml:space="preserve"> </w:t>
      </w:r>
      <w:r w:rsidR="0079265D">
        <w:rPr>
          <w:szCs w:val="22"/>
        </w:rPr>
        <w:t xml:space="preserve">the domestic section 214 authorization </w:t>
      </w:r>
      <w:r w:rsidRPr="00B26F81" w:rsidR="00EC10D1">
        <w:rPr>
          <w:szCs w:val="22"/>
        </w:rPr>
        <w:t xml:space="preserve">of </w:t>
      </w:r>
      <w:r w:rsidR="007572E5">
        <w:rPr>
          <w:szCs w:val="22"/>
        </w:rPr>
        <w:t xml:space="preserve">All Points Northern Neck, LLC (All Points Northern Neck), a wholly owned subsidiary of </w:t>
      </w:r>
      <w:r w:rsidR="00EA6114">
        <w:rPr>
          <w:szCs w:val="22"/>
        </w:rPr>
        <w:t>Virginia Everywhere, LLC d/b/a All Points Broadband (APB)</w:t>
      </w:r>
      <w:r w:rsidR="0079265D">
        <w:rPr>
          <w:szCs w:val="22"/>
        </w:rPr>
        <w:t>, to Searchlight TYP Holdco, LLC (</w:t>
      </w:r>
      <w:r w:rsidR="00D15048">
        <w:rPr>
          <w:szCs w:val="22"/>
        </w:rPr>
        <w:t>SCP Holdco</w:t>
      </w:r>
      <w:r w:rsidR="0079265D">
        <w:rPr>
          <w:szCs w:val="22"/>
        </w:rPr>
        <w:t>, together with APB, Applicants)</w:t>
      </w:r>
      <w:r w:rsidR="007572E5">
        <w:rPr>
          <w:szCs w:val="22"/>
        </w:rPr>
        <w:t>.</w:t>
      </w:r>
      <w:r>
        <w:rPr>
          <w:rStyle w:val="FootnoteReference"/>
          <w:szCs w:val="22"/>
        </w:rPr>
        <w:footnoteReference w:id="4"/>
      </w:r>
      <w:r w:rsidRPr="00B26F81" w:rsidR="005320B5">
        <w:rPr>
          <w:szCs w:val="22"/>
        </w:rPr>
        <w:t xml:space="preserve"> </w:t>
      </w:r>
      <w:r w:rsidRPr="00B26F81" w:rsidR="0028555C">
        <w:rPr>
          <w:szCs w:val="22"/>
        </w:rPr>
        <w:t xml:space="preserve"> </w:t>
      </w:r>
    </w:p>
    <w:p w:rsidR="00316395" w:rsidRPr="004359CE" w:rsidP="0079265D" w14:paraId="5855BD7E" w14:textId="1006DB81">
      <w:pPr>
        <w:autoSpaceDE w:val="0"/>
        <w:autoSpaceDN w:val="0"/>
        <w:adjustRightInd w:val="0"/>
        <w:spacing w:after="120"/>
        <w:ind w:firstLine="720"/>
        <w:rPr>
          <w:rFonts w:ascii="TimesNewRoman" w:hAnsi="TimesNewRoman" w:cs="TimesNewRoman"/>
          <w:szCs w:val="22"/>
        </w:rPr>
      </w:pPr>
      <w:r>
        <w:rPr>
          <w:szCs w:val="22"/>
        </w:rPr>
        <w:t>APB</w:t>
      </w:r>
      <w:r w:rsidR="00460544">
        <w:rPr>
          <w:szCs w:val="22"/>
        </w:rPr>
        <w:t xml:space="preserve">, </w:t>
      </w:r>
      <w:r w:rsidR="0079265D">
        <w:rPr>
          <w:szCs w:val="22"/>
        </w:rPr>
        <w:t>a limited liability company organized under the laws of Delaware</w:t>
      </w:r>
      <w:r w:rsidR="00460544">
        <w:rPr>
          <w:szCs w:val="22"/>
        </w:rPr>
        <w:t>,</w:t>
      </w:r>
      <w:r w:rsidR="00E71440">
        <w:rPr>
          <w:szCs w:val="22"/>
        </w:rPr>
        <w:t xml:space="preserve"> is </w:t>
      </w:r>
      <w:r w:rsidR="0079265D">
        <w:rPr>
          <w:szCs w:val="22"/>
        </w:rPr>
        <w:t>a rural Internet service provider that serves approximately 25,000 end users in Virginia, Kentucky, Maryland, and West Virginia using a combination of fiber-to-the-home</w:t>
      </w:r>
      <w:r w:rsidR="00B166E3">
        <w:rPr>
          <w:szCs w:val="22"/>
        </w:rPr>
        <w:t xml:space="preserve"> (FTTH)</w:t>
      </w:r>
      <w:r w:rsidR="0079265D">
        <w:rPr>
          <w:szCs w:val="22"/>
        </w:rPr>
        <w:t xml:space="preserve"> and fixed wireless technologies.</w:t>
      </w:r>
      <w:r>
        <w:rPr>
          <w:rStyle w:val="FootnoteReference"/>
          <w:szCs w:val="22"/>
        </w:rPr>
        <w:footnoteReference w:id="5"/>
      </w:r>
      <w:r w:rsidR="0010521A">
        <w:rPr>
          <w:szCs w:val="22"/>
        </w:rPr>
        <w:t xml:space="preserve">  </w:t>
      </w:r>
      <w:r w:rsidR="0079265D">
        <w:rPr>
          <w:szCs w:val="22"/>
        </w:rPr>
        <w:t xml:space="preserve">All Points Northern Neck </w:t>
      </w:r>
      <w:r w:rsidR="00E71440">
        <w:rPr>
          <w:szCs w:val="22"/>
        </w:rPr>
        <w:t>is designated as an eligible telecommunications carrier (ETC)</w:t>
      </w:r>
      <w:r w:rsidRPr="00460544" w:rsidR="00460544">
        <w:rPr>
          <w:rStyle w:val="FootnoteReference"/>
          <w:szCs w:val="22"/>
        </w:rPr>
        <w:t xml:space="preserve"> </w:t>
      </w:r>
      <w:r>
        <w:rPr>
          <w:rStyle w:val="FootnoteReference"/>
          <w:szCs w:val="22"/>
        </w:rPr>
        <w:footnoteReference w:id="6"/>
      </w:r>
      <w:r w:rsidR="00460544">
        <w:rPr>
          <w:szCs w:val="22"/>
        </w:rPr>
        <w:t xml:space="preserve"> </w:t>
      </w:r>
      <w:r w:rsidR="00E71440">
        <w:rPr>
          <w:szCs w:val="22"/>
        </w:rPr>
        <w:t xml:space="preserve">and participated in and won the rights to provide service to </w:t>
      </w:r>
      <w:r w:rsidR="00460544">
        <w:rPr>
          <w:szCs w:val="22"/>
        </w:rPr>
        <w:t xml:space="preserve">7,670 locations in the Northern Neck area of Virginia through </w:t>
      </w:r>
      <w:r w:rsidR="0079265D">
        <w:rPr>
          <w:szCs w:val="22"/>
        </w:rPr>
        <w:t xml:space="preserve">Phase I of the Rural Digital Opportunity Fund (RDOF) </w:t>
      </w:r>
      <w:r w:rsidR="00E71440">
        <w:rPr>
          <w:szCs w:val="22"/>
        </w:rPr>
        <w:t>Auction</w:t>
      </w:r>
      <w:r w:rsidR="00460544">
        <w:rPr>
          <w:szCs w:val="22"/>
        </w:rPr>
        <w:t>.</w:t>
      </w:r>
      <w:r>
        <w:rPr>
          <w:rStyle w:val="FootnoteReference"/>
          <w:szCs w:val="22"/>
        </w:rPr>
        <w:footnoteReference w:id="7"/>
      </w:r>
      <w:r w:rsidR="0079265D">
        <w:rPr>
          <w:szCs w:val="22"/>
        </w:rPr>
        <w:t xml:space="preserve"> </w:t>
      </w:r>
    </w:p>
    <w:p w:rsidR="001264E8" w:rsidRPr="000F33A7" w:rsidP="004842E4" w14:paraId="41D16A7A" w14:textId="7036F41E">
      <w:pPr>
        <w:autoSpaceDE w:val="0"/>
        <w:autoSpaceDN w:val="0"/>
        <w:adjustRightInd w:val="0"/>
        <w:spacing w:after="120"/>
        <w:ind w:firstLine="720"/>
        <w:rPr>
          <w:szCs w:val="22"/>
        </w:rPr>
      </w:pPr>
      <w:r w:rsidRPr="000F33A7">
        <w:rPr>
          <w:szCs w:val="22"/>
        </w:rPr>
        <w:t>SCP Holdco is a limited liability company organized under the laws of Delaware.</w:t>
      </w:r>
      <w:r>
        <w:rPr>
          <w:rStyle w:val="FootnoteReference"/>
          <w:szCs w:val="22"/>
        </w:rPr>
        <w:footnoteReference w:id="8"/>
      </w:r>
      <w:r w:rsidRPr="000F33A7">
        <w:rPr>
          <w:szCs w:val="22"/>
        </w:rPr>
        <w:t xml:space="preserve">  </w:t>
      </w:r>
      <w:r w:rsidRPr="000F33A7" w:rsidR="007F7EE5">
        <w:rPr>
          <w:szCs w:val="22"/>
        </w:rPr>
        <w:t>SCP Holdco</w:t>
      </w:r>
      <w:r w:rsidRPr="000F33A7">
        <w:rPr>
          <w:szCs w:val="22"/>
        </w:rPr>
        <w:t xml:space="preserve"> will be predominantly owned and controlled </w:t>
      </w:r>
      <w:r w:rsidRPr="000F33A7" w:rsidR="000F33A7">
        <w:rPr>
          <w:szCs w:val="22"/>
        </w:rPr>
        <w:t xml:space="preserve">(equal to or </w:t>
      </w:r>
      <w:r w:rsidR="00361DF1">
        <w:rPr>
          <w:szCs w:val="22"/>
        </w:rPr>
        <w:t>more</w:t>
      </w:r>
      <w:r w:rsidRPr="000F33A7" w:rsidR="00361DF1">
        <w:rPr>
          <w:szCs w:val="22"/>
        </w:rPr>
        <w:t xml:space="preserve"> </w:t>
      </w:r>
      <w:r w:rsidRPr="000F33A7" w:rsidR="000F33A7">
        <w:rPr>
          <w:szCs w:val="22"/>
        </w:rPr>
        <w:t xml:space="preserve">than 85%) </w:t>
      </w:r>
      <w:r w:rsidRPr="000F33A7">
        <w:rPr>
          <w:szCs w:val="22"/>
        </w:rPr>
        <w:t xml:space="preserve">by entities affiliated with Searchlight Capital Partners, L.P., a </w:t>
      </w:r>
      <w:r w:rsidRPr="000F33A7" w:rsidR="000F33A7">
        <w:rPr>
          <w:szCs w:val="22"/>
        </w:rPr>
        <w:t xml:space="preserve">Delaware </w:t>
      </w:r>
      <w:r w:rsidRPr="000F33A7">
        <w:rPr>
          <w:szCs w:val="22"/>
        </w:rPr>
        <w:t>limited partnership (collectively, Searchlight).</w:t>
      </w:r>
      <w:r>
        <w:rPr>
          <w:rStyle w:val="FootnoteReference"/>
          <w:szCs w:val="22"/>
        </w:rPr>
        <w:footnoteReference w:id="9"/>
      </w:r>
      <w:r w:rsidRPr="000F33A7">
        <w:rPr>
          <w:szCs w:val="22"/>
        </w:rPr>
        <w:t xml:space="preserve">  Searchlight is ultimately controlled by Eric Zinterhofer (a U.S. citizen), Erol Uzumeri (a Canadian citizen), and Oliver Haarmann (a German citizen).</w:t>
      </w:r>
      <w:r>
        <w:rPr>
          <w:rStyle w:val="FootnoteReference"/>
          <w:szCs w:val="22"/>
        </w:rPr>
        <w:footnoteReference w:id="10"/>
      </w:r>
      <w:r w:rsidRPr="000F33A7">
        <w:rPr>
          <w:szCs w:val="22"/>
        </w:rPr>
        <w:t xml:space="preserve">  Simple Broadband, LLC</w:t>
      </w:r>
      <w:r w:rsidRPr="000F33A7" w:rsidR="000F33A7">
        <w:rPr>
          <w:szCs w:val="22"/>
        </w:rPr>
        <w:t xml:space="preserve"> (Simple Broadband), a Delaware limited liability company,</w:t>
      </w:r>
      <w:r w:rsidRPr="000F33A7">
        <w:rPr>
          <w:szCs w:val="22"/>
        </w:rPr>
        <w:t xml:space="preserve"> will be a minority investor in APB</w:t>
      </w:r>
      <w:r w:rsidRPr="000F33A7" w:rsidR="000F33A7">
        <w:rPr>
          <w:szCs w:val="22"/>
        </w:rPr>
        <w:t>, holding an equal to or less than 15% interest</w:t>
      </w:r>
      <w:r w:rsidR="000F33A7">
        <w:rPr>
          <w:szCs w:val="22"/>
        </w:rPr>
        <w:t xml:space="preserve"> </w:t>
      </w:r>
      <w:r w:rsidRPr="000F33A7" w:rsidR="000F33A7">
        <w:rPr>
          <w:szCs w:val="22"/>
        </w:rPr>
        <w:t>in SCP Holdco</w:t>
      </w:r>
      <w:r w:rsidRPr="000F33A7">
        <w:rPr>
          <w:szCs w:val="22"/>
        </w:rPr>
        <w:t>.</w:t>
      </w:r>
      <w:r>
        <w:rPr>
          <w:rStyle w:val="FootnoteReference"/>
          <w:szCs w:val="22"/>
        </w:rPr>
        <w:footnoteReference w:id="11"/>
      </w:r>
      <w:r w:rsidRPr="000F33A7" w:rsidR="007F7EE5">
        <w:rPr>
          <w:szCs w:val="22"/>
        </w:rPr>
        <w:t xml:space="preserve">  Simple Broadband is a platform established by Simple Networks LLC and Armavir Partners LLC to invest in broadband-related opportunities.</w:t>
      </w:r>
      <w:r>
        <w:rPr>
          <w:rStyle w:val="FootnoteReference"/>
          <w:szCs w:val="22"/>
        </w:rPr>
        <w:footnoteReference w:id="12"/>
      </w:r>
    </w:p>
    <w:p w:rsidR="002D5247" w:rsidRPr="000F33A7" w:rsidP="005C680F" w14:paraId="70D593C4" w14:textId="6E5D252B">
      <w:pPr>
        <w:autoSpaceDE w:val="0"/>
        <w:autoSpaceDN w:val="0"/>
        <w:adjustRightInd w:val="0"/>
        <w:spacing w:after="120"/>
        <w:ind w:firstLine="720"/>
        <w:rPr>
          <w:szCs w:val="22"/>
        </w:rPr>
      </w:pPr>
      <w:r>
        <w:rPr>
          <w:szCs w:val="22"/>
        </w:rPr>
        <w:t>Pursuant to the terms</w:t>
      </w:r>
      <w:r w:rsidR="005C680F">
        <w:rPr>
          <w:szCs w:val="22"/>
        </w:rPr>
        <w:t xml:space="preserve"> </w:t>
      </w:r>
      <w:r>
        <w:rPr>
          <w:szCs w:val="22"/>
        </w:rPr>
        <w:t>o</w:t>
      </w:r>
      <w:r w:rsidR="005C680F">
        <w:rPr>
          <w:szCs w:val="22"/>
        </w:rPr>
        <w:t>f</w:t>
      </w:r>
      <w:r>
        <w:rPr>
          <w:szCs w:val="22"/>
        </w:rPr>
        <w:t xml:space="preserve"> the proposed transaction, </w:t>
      </w:r>
      <w:r w:rsidRPr="000F33A7" w:rsidR="00E643ED">
        <w:rPr>
          <w:szCs w:val="22"/>
        </w:rPr>
        <w:t>APB, SCP Holdco, S</w:t>
      </w:r>
      <w:r w:rsidRPr="000F33A7" w:rsidR="004359CE">
        <w:rPr>
          <w:szCs w:val="22"/>
        </w:rPr>
        <w:t>earchlight TYP Merger Sub, LLC</w:t>
      </w:r>
      <w:r w:rsidR="00B166E3">
        <w:rPr>
          <w:szCs w:val="22"/>
        </w:rPr>
        <w:t>, a</w:t>
      </w:r>
      <w:r w:rsidRPr="000F33A7" w:rsidR="00E643ED">
        <w:rPr>
          <w:szCs w:val="22"/>
        </w:rPr>
        <w:t xml:space="preserve"> Delaware limited liability company and a direct wholly owned subsidiary</w:t>
      </w:r>
      <w:r w:rsidRPr="000F33A7" w:rsidR="004359CE">
        <w:rPr>
          <w:szCs w:val="22"/>
        </w:rPr>
        <w:t xml:space="preserve"> of SCP Holdco (SCP Merger Sub)</w:t>
      </w:r>
      <w:r w:rsidR="00B166E3">
        <w:rPr>
          <w:szCs w:val="22"/>
        </w:rPr>
        <w:t xml:space="preserve">, </w:t>
      </w:r>
      <w:r w:rsidRPr="000F33A7" w:rsidR="00E643ED">
        <w:rPr>
          <w:szCs w:val="22"/>
        </w:rPr>
        <w:t xml:space="preserve">and Shareholder Representative Services LLC (as the </w:t>
      </w:r>
      <w:r w:rsidRPr="000F33A7" w:rsidR="00E643ED">
        <w:rPr>
          <w:szCs w:val="22"/>
        </w:rPr>
        <w:t xml:space="preserve">securityholder representative) entered into an agreement pursuant to which SCP Merger Sub will merge with and into APB, with APB surviving the merger as </w:t>
      </w:r>
      <w:r w:rsidR="005C680F">
        <w:rPr>
          <w:szCs w:val="22"/>
        </w:rPr>
        <w:t xml:space="preserve">a </w:t>
      </w:r>
      <w:r w:rsidRPr="000F33A7" w:rsidR="00E643ED">
        <w:rPr>
          <w:szCs w:val="22"/>
        </w:rPr>
        <w:t>wholly owned subsidiary of SCP Holdco.</w:t>
      </w:r>
      <w:r>
        <w:rPr>
          <w:rStyle w:val="FootnoteReference"/>
          <w:szCs w:val="22"/>
        </w:rPr>
        <w:footnoteReference w:id="13"/>
      </w:r>
      <w:r w:rsidRPr="000F33A7" w:rsidR="00E643ED">
        <w:rPr>
          <w:szCs w:val="22"/>
        </w:rPr>
        <w:t xml:space="preserve"> </w:t>
      </w:r>
    </w:p>
    <w:p w:rsidR="00EF5177" w:rsidRPr="000F33A7" w:rsidP="0031559D" w14:paraId="463896F3" w14:textId="70637E1B">
      <w:pPr>
        <w:autoSpaceDE w:val="0"/>
        <w:autoSpaceDN w:val="0"/>
        <w:adjustRightInd w:val="0"/>
        <w:ind w:firstLine="720"/>
        <w:rPr>
          <w:szCs w:val="22"/>
        </w:rPr>
      </w:pPr>
      <w:r w:rsidRPr="000F33A7">
        <w:rPr>
          <w:szCs w:val="22"/>
        </w:rPr>
        <w:t>Applicants assert that a grant of the Application would serve the public interest, convenience, and necessity.</w:t>
      </w:r>
      <w:r>
        <w:rPr>
          <w:rStyle w:val="FootnoteReference"/>
          <w:szCs w:val="22"/>
        </w:rPr>
        <w:footnoteReference w:id="14"/>
      </w:r>
      <w:r w:rsidRPr="000F33A7">
        <w:rPr>
          <w:szCs w:val="22"/>
        </w:rPr>
        <w:t xml:space="preserve">  Applicants </w:t>
      </w:r>
      <w:r w:rsidRPr="000F33A7" w:rsidR="004359CE">
        <w:rPr>
          <w:szCs w:val="22"/>
        </w:rPr>
        <w:t>claim</w:t>
      </w:r>
      <w:r w:rsidRPr="000F33A7">
        <w:rPr>
          <w:szCs w:val="22"/>
        </w:rPr>
        <w:t xml:space="preserve"> that the proposed transaction will provide APB and its subsidiaries, including All Points Northern Neck, with access to capital from new funding sources by brin</w:t>
      </w:r>
      <w:r w:rsidRPr="000F33A7" w:rsidR="004359CE">
        <w:rPr>
          <w:szCs w:val="22"/>
        </w:rPr>
        <w:t>g</w:t>
      </w:r>
      <w:r w:rsidRPr="000F33A7">
        <w:rPr>
          <w:szCs w:val="22"/>
        </w:rPr>
        <w:t>ing in new equity investors.</w:t>
      </w:r>
      <w:r>
        <w:rPr>
          <w:rStyle w:val="FootnoteReference"/>
          <w:szCs w:val="22"/>
        </w:rPr>
        <w:footnoteReference w:id="15"/>
      </w:r>
      <w:r w:rsidRPr="000F33A7">
        <w:rPr>
          <w:szCs w:val="22"/>
        </w:rPr>
        <w:t xml:space="preserve">  The financial resources of these investors “will enable APB to continue to provide high-quality broadband services to its customers, who will suffer no loss or impairment of service as a result of the Proposed Transaction</w:t>
      </w:r>
      <w:r w:rsidR="00B166E3">
        <w:rPr>
          <w:szCs w:val="22"/>
        </w:rPr>
        <w:t>.</w:t>
      </w:r>
      <w:r w:rsidRPr="000F33A7">
        <w:rPr>
          <w:szCs w:val="22"/>
        </w:rPr>
        <w:t>”</w:t>
      </w:r>
      <w:r>
        <w:rPr>
          <w:rStyle w:val="FootnoteReference"/>
          <w:szCs w:val="22"/>
        </w:rPr>
        <w:footnoteReference w:id="16"/>
      </w:r>
      <w:r w:rsidRPr="000F33A7">
        <w:rPr>
          <w:szCs w:val="22"/>
        </w:rPr>
        <w:t xml:space="preserve">  Moreover, </w:t>
      </w:r>
      <w:r w:rsidRPr="000F33A7" w:rsidR="004359CE">
        <w:rPr>
          <w:szCs w:val="22"/>
        </w:rPr>
        <w:t xml:space="preserve">Applicants argue that </w:t>
      </w:r>
      <w:r w:rsidRPr="000F33A7">
        <w:rPr>
          <w:szCs w:val="22"/>
        </w:rPr>
        <w:t xml:space="preserve">the </w:t>
      </w:r>
      <w:r w:rsidRPr="000F33A7" w:rsidR="004359CE">
        <w:rPr>
          <w:szCs w:val="22"/>
        </w:rPr>
        <w:t>strong financial position of SCP</w:t>
      </w:r>
      <w:r w:rsidRPr="000F33A7">
        <w:rPr>
          <w:szCs w:val="22"/>
        </w:rPr>
        <w:t xml:space="preserve"> Holdco’s owners will strengthen APB’s ability to enhance and expand its infrastructure, geographical reach, and service offerings, in particular by positioning APB to </w:t>
      </w:r>
      <w:r w:rsidR="0031559D">
        <w:rPr>
          <w:szCs w:val="22"/>
        </w:rPr>
        <w:t>“</w:t>
      </w:r>
      <w:r w:rsidRPr="000F33A7">
        <w:rPr>
          <w:szCs w:val="22"/>
        </w:rPr>
        <w:t>accelerate the network construction and deployment of FTTH and VoIP services</w:t>
      </w:r>
      <w:r w:rsidR="00240B1E">
        <w:rPr>
          <w:szCs w:val="22"/>
        </w:rPr>
        <w:t xml:space="preserve"> that All Points Northern has described</w:t>
      </w:r>
      <w:r w:rsidR="0031559D">
        <w:rPr>
          <w:szCs w:val="22"/>
        </w:rPr>
        <w:t xml:space="preserve"> </w:t>
      </w:r>
      <w:r w:rsidR="00240B1E">
        <w:rPr>
          <w:szCs w:val="22"/>
        </w:rPr>
        <w:t xml:space="preserve">in its </w:t>
      </w:r>
      <w:r w:rsidR="0031559D">
        <w:rPr>
          <w:szCs w:val="22"/>
        </w:rPr>
        <w:t>long-form RDOF application</w:t>
      </w:r>
      <w:r w:rsidRPr="000F33A7">
        <w:rPr>
          <w:szCs w:val="22"/>
        </w:rPr>
        <w:t>.</w:t>
      </w:r>
      <w:r w:rsidR="0031559D">
        <w:rPr>
          <w:szCs w:val="22"/>
        </w:rPr>
        <w:t>”</w:t>
      </w:r>
      <w:r>
        <w:rPr>
          <w:rStyle w:val="FootnoteReference"/>
          <w:szCs w:val="22"/>
        </w:rPr>
        <w:footnoteReference w:id="17"/>
      </w:r>
      <w:r w:rsidRPr="000F33A7">
        <w:rPr>
          <w:szCs w:val="22"/>
        </w:rPr>
        <w:t xml:space="preserve">  In all other respects, Applicants pledge that APB’s deployment plans “will remain unchanged,” and </w:t>
      </w:r>
      <w:r w:rsidRPr="000F33A7" w:rsidR="004359CE">
        <w:rPr>
          <w:szCs w:val="22"/>
        </w:rPr>
        <w:t xml:space="preserve">that </w:t>
      </w:r>
      <w:r w:rsidRPr="000F33A7">
        <w:rPr>
          <w:szCs w:val="22"/>
        </w:rPr>
        <w:t>the proposed transaction will thus “not result in any harms to APB’s existing customers and will enhance the company’s ongoing efforts to bridge the digital divide.”</w:t>
      </w:r>
      <w:r>
        <w:rPr>
          <w:rStyle w:val="FootnoteReference"/>
          <w:szCs w:val="22"/>
        </w:rPr>
        <w:footnoteReference w:id="18"/>
      </w:r>
      <w:r w:rsidR="0031559D">
        <w:rPr>
          <w:szCs w:val="22"/>
        </w:rPr>
        <w:t xml:space="preserve">  </w:t>
      </w:r>
      <w:r w:rsidRPr="000F33A7">
        <w:rPr>
          <w:szCs w:val="22"/>
        </w:rPr>
        <w:t>Applicants further assert that APB’s existing management team will not change as a result of the proposed transaction</w:t>
      </w:r>
      <w:r w:rsidR="00B069AF">
        <w:rPr>
          <w:szCs w:val="22"/>
        </w:rPr>
        <w:t>,</w:t>
      </w:r>
      <w:r>
        <w:rPr>
          <w:rStyle w:val="FootnoteReference"/>
          <w:szCs w:val="22"/>
        </w:rPr>
        <w:footnoteReference w:id="19"/>
      </w:r>
      <w:r w:rsidR="00B069AF">
        <w:rPr>
          <w:szCs w:val="22"/>
        </w:rPr>
        <w:t xml:space="preserve"> and that APB will continue to satisfy all applicable requirements associated with its receipt of federal high-cost support.</w:t>
      </w:r>
      <w:r>
        <w:rPr>
          <w:rStyle w:val="FootnoteReference"/>
          <w:szCs w:val="22"/>
        </w:rPr>
        <w:footnoteReference w:id="20"/>
      </w:r>
    </w:p>
    <w:p w:rsidR="00EF5177" w:rsidRPr="000F33A7" w:rsidP="00EF5177" w14:paraId="69DCBDD9" w14:textId="77777777">
      <w:pPr>
        <w:autoSpaceDE w:val="0"/>
        <w:autoSpaceDN w:val="0"/>
        <w:adjustRightInd w:val="0"/>
        <w:rPr>
          <w:szCs w:val="22"/>
        </w:rPr>
      </w:pPr>
    </w:p>
    <w:p w:rsidR="005C680F" w:rsidP="005C680F" w14:paraId="59B79637" w14:textId="4199BF69">
      <w:pPr>
        <w:autoSpaceDE w:val="0"/>
        <w:autoSpaceDN w:val="0"/>
        <w:adjustRightInd w:val="0"/>
        <w:spacing w:after="120"/>
        <w:ind w:firstLine="720"/>
      </w:pPr>
      <w:r>
        <w:rPr>
          <w:color w:val="000000"/>
          <w:szCs w:val="22"/>
        </w:rPr>
        <w:t xml:space="preserve">Because the proposed transaction </w:t>
      </w:r>
      <w:r w:rsidR="0031559D">
        <w:rPr>
          <w:color w:val="000000"/>
          <w:szCs w:val="22"/>
        </w:rPr>
        <w:t xml:space="preserve">would </w:t>
      </w:r>
      <w:r>
        <w:rPr>
          <w:color w:val="000000"/>
          <w:szCs w:val="22"/>
        </w:rPr>
        <w:t>involve the exchange and assumption of Universal Service Fund high-cost mechanism obligations, in order to sufficiently analyze whether the proposed transaction would serve the public interest, we accept the Application for non-streamlined processing</w:t>
      </w:r>
      <w:r>
        <w:rPr>
          <w:bCs/>
          <w:szCs w:val="22"/>
        </w:rPr>
        <w:t>.</w:t>
      </w:r>
      <w:r>
        <w:rPr>
          <w:rStyle w:val="FootnoteReference"/>
          <w:bCs/>
          <w:szCs w:val="22"/>
        </w:rPr>
        <w:footnoteReference w:id="21"/>
      </w:r>
      <w:r>
        <w:rPr>
          <w:bCs/>
          <w:szCs w:val="22"/>
        </w:rPr>
        <w:t xml:space="preserve">  </w:t>
      </w:r>
    </w:p>
    <w:p w:rsidR="00332884" w:rsidP="00332884" w14:paraId="041D3F8A" w14:textId="77777777">
      <w:pPr>
        <w:autoSpaceDE w:val="0"/>
        <w:autoSpaceDN w:val="0"/>
        <w:adjustRightInd w:val="0"/>
        <w:rPr>
          <w:szCs w:val="22"/>
        </w:rPr>
      </w:pPr>
      <w:r w:rsidRPr="00B713DE">
        <w:rPr>
          <w:b/>
          <w:szCs w:val="22"/>
          <w:u w:val="single"/>
        </w:rPr>
        <w:t>GENERAL INFORMATION</w:t>
      </w:r>
    </w:p>
    <w:p w:rsidR="00332884" w:rsidP="00332884" w14:paraId="711B3E9D" w14:textId="77777777">
      <w:pPr>
        <w:autoSpaceDE w:val="0"/>
        <w:autoSpaceDN w:val="0"/>
        <w:adjustRightInd w:val="0"/>
        <w:rPr>
          <w:szCs w:val="22"/>
        </w:rPr>
      </w:pPr>
    </w:p>
    <w:p w:rsidR="00332884" w:rsidRPr="00EC66CA" w:rsidP="00332884" w14:paraId="3D3DF0B1" w14:textId="6FC1B5A0">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0C478042" w14:textId="79F0EECB">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0747F3">
        <w:rPr>
          <w:b/>
          <w:szCs w:val="22"/>
        </w:rPr>
        <w:t>September</w:t>
      </w:r>
      <w:r w:rsidR="006B3211">
        <w:rPr>
          <w:b/>
          <w:szCs w:val="22"/>
        </w:rPr>
        <w:t xml:space="preserve"> </w:t>
      </w:r>
      <w:r w:rsidR="005E1380">
        <w:rPr>
          <w:b/>
          <w:szCs w:val="22"/>
        </w:rPr>
        <w:t>16</w:t>
      </w:r>
      <w:r w:rsidRPr="006F586C">
        <w:rPr>
          <w:b/>
          <w:szCs w:val="22"/>
        </w:rPr>
        <w:t>, 2021</w:t>
      </w:r>
      <w:r w:rsidRPr="006F586C">
        <w:rPr>
          <w:szCs w:val="22"/>
        </w:rPr>
        <w:t xml:space="preserve">, and reply comments </w:t>
      </w:r>
      <w:r w:rsidRPr="006F586C">
        <w:rPr>
          <w:b/>
          <w:szCs w:val="22"/>
        </w:rPr>
        <w:t xml:space="preserve">on or before </w:t>
      </w:r>
      <w:r w:rsidR="006B3211">
        <w:rPr>
          <w:b/>
          <w:szCs w:val="22"/>
        </w:rPr>
        <w:t xml:space="preserve">September </w:t>
      </w:r>
      <w:r w:rsidR="005E1380">
        <w:rPr>
          <w:b/>
          <w:szCs w:val="22"/>
        </w:rPr>
        <w:t>23</w:t>
      </w:r>
      <w:r w:rsidRPr="006F586C">
        <w:rPr>
          <w:b/>
          <w:szCs w:val="22"/>
        </w:rPr>
        <w:t>, 2021</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2E10222B" w14:textId="673B5509">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3BFB9C52" w14:textId="77777777">
      <w:pPr>
        <w:autoSpaceDE w:val="0"/>
        <w:autoSpaceDN w:val="0"/>
        <w:adjustRightInd w:val="0"/>
        <w:ind w:left="720"/>
        <w:rPr>
          <w:szCs w:val="22"/>
        </w:rPr>
      </w:pPr>
    </w:p>
    <w:p w:rsidR="00332884" w:rsidP="00332884" w14:paraId="3EA8C15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B0D1DDC" w14:textId="77777777">
      <w:pPr>
        <w:autoSpaceDE w:val="0"/>
        <w:autoSpaceDN w:val="0"/>
        <w:adjustRightInd w:val="0"/>
        <w:ind w:left="720"/>
        <w:rPr>
          <w:szCs w:val="22"/>
        </w:rPr>
      </w:pPr>
    </w:p>
    <w:p w:rsidR="00332884" w:rsidRPr="004D7912" w:rsidP="00332884" w14:paraId="713F6E2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2"/>
      </w:r>
      <w:r w:rsidRPr="004D7912">
        <w:rPr>
          <w:szCs w:val="22"/>
        </w:rPr>
        <w:t xml:space="preserve">  All filings must be addressed to the Commission’s Secretary, Office of the Secretary, Federal Communications Commission.</w:t>
      </w:r>
    </w:p>
    <w:p w:rsidR="00332884" w:rsidRPr="0011311D" w14:paraId="1E54A87B" w14:textId="039C07F4">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5A113B18" w14:textId="77777777">
      <w:pPr>
        <w:autoSpaceDE w:val="0"/>
        <w:autoSpaceDN w:val="0"/>
        <w:adjustRightInd w:val="0"/>
        <w:rPr>
          <w:szCs w:val="22"/>
        </w:rPr>
      </w:pPr>
    </w:p>
    <w:p w:rsidR="00C86D25" w:rsidP="00C86D25" w14:paraId="2222950E"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3F37DF3E" w14:textId="77777777">
      <w:pPr>
        <w:autoSpaceDE w:val="0"/>
        <w:autoSpaceDN w:val="0"/>
        <w:adjustRightInd w:val="0"/>
        <w:ind w:firstLine="720"/>
        <w:rPr>
          <w:b/>
          <w:szCs w:val="22"/>
        </w:rPr>
      </w:pPr>
    </w:p>
    <w:p w:rsidR="00332884" w:rsidRPr="00EC66CA" w:rsidP="00332884" w14:paraId="5D7C1A79"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D1082B3" w14:textId="77777777">
      <w:pPr>
        <w:autoSpaceDE w:val="0"/>
        <w:autoSpaceDN w:val="0"/>
        <w:adjustRightInd w:val="0"/>
        <w:ind w:firstLine="720"/>
        <w:rPr>
          <w:b/>
          <w:szCs w:val="22"/>
        </w:rPr>
      </w:pPr>
    </w:p>
    <w:p w:rsidR="000A3BF0" w:rsidRPr="000A3BF0" w:rsidP="000A3BF0" w14:paraId="40E55BD3" w14:textId="6456C6C8">
      <w:pPr>
        <w:numPr>
          <w:ilvl w:val="0"/>
          <w:numId w:val="18"/>
        </w:numPr>
        <w:autoSpaceDE w:val="0"/>
        <w:autoSpaceDN w:val="0"/>
        <w:adjustRightInd w:val="0"/>
        <w:spacing w:after="220"/>
        <w:rPr>
          <w:szCs w:val="22"/>
        </w:rPr>
      </w:pPr>
      <w:r>
        <w:rPr>
          <w:szCs w:val="22"/>
        </w:rPr>
        <w:t>Tracey Wilson</w:t>
      </w:r>
      <w:r w:rsidRPr="000A3BF0" w:rsidR="00830743">
        <w:rPr>
          <w:szCs w:val="22"/>
        </w:rPr>
        <w:t xml:space="preserve">, Competition Policy Division, Wireline Competition Bureau, </w:t>
      </w:r>
      <w:hyperlink r:id="rId11" w:history="1">
        <w:r w:rsidRPr="00B7557F" w:rsidR="00766672">
          <w:rPr>
            <w:rStyle w:val="Hyperlink"/>
            <w:szCs w:val="22"/>
          </w:rPr>
          <w:t>tracey.wilson@fcc.gov</w:t>
        </w:r>
      </w:hyperlink>
      <w:r w:rsidRPr="000A3BF0" w:rsidR="00830743">
        <w:rPr>
          <w:szCs w:val="22"/>
        </w:rPr>
        <w:t>;</w:t>
      </w:r>
    </w:p>
    <w:p w:rsidR="000A3BF0" w:rsidP="000A3BF0" w14:paraId="3A008B04" w14:textId="6D33CF61">
      <w:pPr>
        <w:numPr>
          <w:ilvl w:val="0"/>
          <w:numId w:val="18"/>
        </w:numPr>
        <w:autoSpaceDE w:val="0"/>
        <w:autoSpaceDN w:val="0"/>
        <w:adjustRightInd w:val="0"/>
        <w:spacing w:after="220"/>
        <w:rPr>
          <w:szCs w:val="22"/>
        </w:rPr>
      </w:pPr>
      <w:r>
        <w:rPr>
          <w:szCs w:val="22"/>
        </w:rPr>
        <w:t>John Visclosky</w:t>
      </w:r>
      <w:r w:rsidRPr="000A3BF0" w:rsidR="00830743">
        <w:rPr>
          <w:szCs w:val="22"/>
        </w:rPr>
        <w:t>, Competition Policy Divisio</w:t>
      </w:r>
      <w:r>
        <w:rPr>
          <w:szCs w:val="22"/>
        </w:rPr>
        <w:t xml:space="preserve">n, Wireline Competition Bureau, </w:t>
      </w:r>
      <w:hyperlink r:id="rId12" w:history="1">
        <w:r w:rsidRPr="009A5A7F">
          <w:rPr>
            <w:rStyle w:val="Hyperlink"/>
            <w:szCs w:val="22"/>
          </w:rPr>
          <w:t>john.visclosky@fcc.gov</w:t>
        </w:r>
      </w:hyperlink>
      <w:r w:rsidRPr="000A3BF0" w:rsidR="00830743">
        <w:rPr>
          <w:szCs w:val="22"/>
        </w:rPr>
        <w:t>;</w:t>
      </w:r>
      <w:r w:rsidR="00BF291C">
        <w:rPr>
          <w:szCs w:val="22"/>
        </w:rPr>
        <w:t xml:space="preserve"> </w:t>
      </w:r>
    </w:p>
    <w:p w:rsidR="00332884" w:rsidP="000A3BF0" w14:paraId="042A13D6" w14:textId="7B40E5EC">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0A3BF0">
          <w:rPr>
            <w:rStyle w:val="Hyperlink"/>
            <w:szCs w:val="22"/>
          </w:rPr>
          <w:t>jim.bird@fcc.gov</w:t>
        </w:r>
      </w:hyperlink>
    </w:p>
    <w:p w:rsidR="00332884" w:rsidRPr="00EC66CA" w:rsidP="00332884" w14:paraId="5D47B31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22AF261F"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3"/>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4562AC9" w14:textId="30E110DA">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00B27D04">
        <w:rPr>
          <w:szCs w:val="22"/>
        </w:rPr>
        <w:t xml:space="preserve">John Visclosky </w:t>
      </w:r>
      <w:r w:rsidR="00541FF2">
        <w:rPr>
          <w:szCs w:val="22"/>
        </w:rPr>
        <w:t xml:space="preserve">at </w:t>
      </w:r>
      <w:r w:rsidR="005C5165">
        <w:rPr>
          <w:szCs w:val="22"/>
        </w:rPr>
        <w:t>(202) 418-</w:t>
      </w:r>
      <w:r w:rsidR="00B27D04">
        <w:rPr>
          <w:szCs w:val="22"/>
        </w:rPr>
        <w:t>0825</w:t>
      </w:r>
      <w:r w:rsidR="007C3551">
        <w:rPr>
          <w:szCs w:val="22"/>
        </w:rPr>
        <w:t>, Wireline Competition Bureau</w:t>
      </w:r>
      <w:r w:rsidR="00BF291C">
        <w:rPr>
          <w:szCs w:val="22"/>
        </w:rPr>
        <w:t>.</w:t>
      </w:r>
    </w:p>
    <w:p w:rsidR="00332884" w:rsidRPr="008C564D" w:rsidP="00332884" w14:paraId="62EFD65D" w14:textId="77777777">
      <w:pPr>
        <w:autoSpaceDE w:val="0"/>
        <w:autoSpaceDN w:val="0"/>
        <w:adjustRightInd w:val="0"/>
        <w:rPr>
          <w:szCs w:val="22"/>
        </w:rPr>
      </w:pPr>
    </w:p>
    <w:p w:rsidR="00CF704F" w:rsidP="00AD45FC" w14:paraId="6DF1A930" w14:textId="374D4BD0">
      <w:pPr>
        <w:autoSpaceDE w:val="0"/>
        <w:autoSpaceDN w:val="0"/>
        <w:adjustRightInd w:val="0"/>
        <w:jc w:val="center"/>
        <w:rPr>
          <w:b/>
          <w:szCs w:val="22"/>
        </w:rPr>
      </w:pPr>
      <w:r>
        <w:rPr>
          <w:b/>
          <w:szCs w:val="22"/>
        </w:rPr>
        <w:t>-FCC-</w:t>
      </w:r>
    </w:p>
    <w:tbl>
      <w:tblPr>
        <w:tblW w:w="9744" w:type="dxa"/>
        <w:tblLook w:val="01E0"/>
      </w:tblPr>
      <w:tblGrid>
        <w:gridCol w:w="2882"/>
        <w:gridCol w:w="3890"/>
        <w:gridCol w:w="2972"/>
      </w:tblGrid>
      <w:tr w14:paraId="2D7D29D0" w14:textId="77777777" w:rsidTr="00712888">
        <w:tblPrEx>
          <w:tblW w:w="9744" w:type="dxa"/>
          <w:tblLook w:val="01E0"/>
        </w:tblPrEx>
        <w:trPr>
          <w:trHeight w:val="297"/>
        </w:trPr>
        <w:tc>
          <w:tcPr>
            <w:tcW w:w="2882" w:type="dxa"/>
          </w:tcPr>
          <w:p w:rsidR="00CF704F" w:rsidRPr="0022664E" w:rsidP="00712888" w14:paraId="6F45BBB4" w14:textId="11AF93CE">
            <w:pPr>
              <w:rPr>
                <w:color w:val="000000"/>
                <w:szCs w:val="22"/>
              </w:rPr>
            </w:pPr>
            <w:r w:rsidRPr="00B62EDB">
              <w:rPr>
                <w:color w:val="000000"/>
                <w:szCs w:val="22"/>
              </w:rPr>
              <w:t xml:space="preserve"> </w:t>
            </w:r>
          </w:p>
        </w:tc>
        <w:tc>
          <w:tcPr>
            <w:tcW w:w="3890" w:type="dxa"/>
          </w:tcPr>
          <w:p w:rsidR="00CF704F" w:rsidRPr="0022664E" w:rsidP="00712888" w14:paraId="613EDDBA" w14:textId="77777777">
            <w:pPr>
              <w:rPr>
                <w:color w:val="000000"/>
                <w:szCs w:val="22"/>
              </w:rPr>
            </w:pPr>
          </w:p>
        </w:tc>
        <w:tc>
          <w:tcPr>
            <w:tcW w:w="2972" w:type="dxa"/>
          </w:tcPr>
          <w:p w:rsidR="00CF704F" w:rsidRPr="0022664E" w:rsidP="00712888" w14:paraId="43CD13CB" w14:textId="77777777">
            <w:pPr>
              <w:rPr>
                <w:color w:val="000000"/>
                <w:szCs w:val="22"/>
              </w:rPr>
            </w:pPr>
          </w:p>
        </w:tc>
      </w:tr>
    </w:tbl>
    <w:p w:rsidR="00CF704F" w:rsidRPr="0022664E" w:rsidP="005C680F" w14:paraId="35B9ECF3" w14:textId="77777777">
      <w:pPr>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5D26335D"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6F6484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1DF1" w14:paraId="166B0494" w14:textId="77777777">
      <w:r>
        <w:separator/>
      </w:r>
    </w:p>
  </w:footnote>
  <w:footnote w:type="continuationSeparator" w:id="1">
    <w:p w:rsidR="00361DF1" w14:paraId="3C55BADE" w14:textId="77777777">
      <w:r>
        <w:continuationSeparator/>
      </w:r>
    </w:p>
  </w:footnote>
  <w:footnote w:type="continuationNotice" w:id="2">
    <w:p w:rsidR="00361DF1" w14:paraId="4345F976" w14:textId="77777777"/>
  </w:footnote>
  <w:footnote w:id="3">
    <w:p w:rsidR="00361DF1" w:rsidRPr="00CB0C66" w14:paraId="0D974EFC" w14:textId="410EBAF5">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 xml:space="preserve">Joint Application of Virginia Everywhere, LLC, Transferor, and Searchlight TYP Holdco, LLC, Transferee, For Consent to Transfer of Control of All Points Northern Neck, LLC Pursuant to Section 214 of the Communications Act of 1934, as Amended, WC Docket No. 21-335 (filed Aug. 18, 2021), </w:t>
      </w:r>
      <w:hyperlink r:id="rId1" w:history="1">
        <w:r w:rsidRPr="00CB0C66">
          <w:rPr>
            <w:rStyle w:val="Hyperlink"/>
            <w:sz w:val="20"/>
          </w:rPr>
          <w:t>https://ecfsapi.fcc.gov/file/1081831726366/SCP-APB%20Sec%20214%20Application.pdf</w:t>
        </w:r>
      </w:hyperlink>
      <w:r w:rsidRPr="00CB0C66">
        <w:rPr>
          <w:sz w:val="20"/>
        </w:rPr>
        <w:t xml:space="preserve"> (Application).</w:t>
      </w:r>
    </w:p>
  </w:footnote>
  <w:footnote w:id="4">
    <w:p w:rsidR="00361DF1" w:rsidRPr="00CB0C66" w:rsidP="00275EE0" w14:paraId="5462B5B8" w14:textId="4279A30C">
      <w:pPr>
        <w:spacing w:after="120"/>
        <w:rPr>
          <w:sz w:val="20"/>
        </w:rPr>
      </w:pPr>
      <w:r w:rsidRPr="00CB0C66">
        <w:rPr>
          <w:rStyle w:val="FootnoteReference"/>
          <w:sz w:val="20"/>
        </w:rPr>
        <w:footnoteRef/>
      </w:r>
      <w:r w:rsidRPr="00CB0C66">
        <w:rPr>
          <w:sz w:val="20"/>
        </w:rPr>
        <w:t xml:space="preserve"> </w:t>
      </w:r>
      <w:r w:rsidRPr="00CB0C66">
        <w:rPr>
          <w:i/>
          <w:sz w:val="20"/>
        </w:rPr>
        <w:t>See</w:t>
      </w:r>
      <w:r w:rsidRPr="00CB0C66">
        <w:rPr>
          <w:sz w:val="20"/>
        </w:rPr>
        <w:t xml:space="preserve"> 47 U.S.C. § 214; 47 CFR §§ 63.03-04.  On September 1, 2021, Applicants filed a supplement to their domestic section 214 application.  </w:t>
      </w:r>
      <w:r w:rsidRPr="00CB0C66">
        <w:rPr>
          <w:i/>
          <w:sz w:val="20"/>
        </w:rPr>
        <w:t xml:space="preserve">See </w:t>
      </w:r>
      <w:r w:rsidRPr="00CB0C66">
        <w:rPr>
          <w:sz w:val="20"/>
        </w:rPr>
        <w:t>Letter from Matthew A. Brill, Counsel to SCP Holdco, to Marlene H. Dortch, Secretary, FCC, WC Docket No. 21-335 (filed Sept. 1, 2021) (Supplement).  Applicants are also filing applications for the transfer of authorizations associated with wireless services.</w:t>
      </w:r>
      <w:r w:rsidR="00CB0C66">
        <w:rPr>
          <w:sz w:val="20"/>
        </w:rPr>
        <w:t xml:space="preserve">  </w:t>
      </w:r>
      <w:r w:rsidR="00CB0C66">
        <w:rPr>
          <w:i/>
          <w:sz w:val="20"/>
        </w:rPr>
        <w:t>See</w:t>
      </w:r>
      <w:r w:rsidR="00CB0C66">
        <w:rPr>
          <w:sz w:val="20"/>
        </w:rPr>
        <w:t xml:space="preserve"> Application at 4-5.</w:t>
      </w:r>
      <w:r w:rsidRPr="00CB0C66">
        <w:rPr>
          <w:sz w:val="20"/>
        </w:rPr>
        <w:t xml:space="preserve">  Any action on this </w:t>
      </w:r>
      <w:r w:rsidR="00F56F5E">
        <w:rPr>
          <w:sz w:val="20"/>
        </w:rPr>
        <w:t xml:space="preserve">domestic </w:t>
      </w:r>
      <w:r w:rsidRPr="00CB0C66">
        <w:rPr>
          <w:sz w:val="20"/>
        </w:rPr>
        <w:t>section 214 application is without prejudice to Commission action on other related, pending applications.</w:t>
      </w:r>
    </w:p>
  </w:footnote>
  <w:footnote w:id="5">
    <w:p w:rsidR="00361DF1" w:rsidRPr="00CB0C66" w14:paraId="005AFC03" w14:textId="135A5376">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 xml:space="preserve">Application at 2.  Applicants state that the following U.S. citizen and U.S. entities hold a 10% or greater interest in APB:  James G. Carr (11.96%), Braddock Partners, LP (32.9%), and Plains Acquisition Group LLC (22.6%).  </w:t>
      </w:r>
      <w:r w:rsidRPr="00CB0C66">
        <w:rPr>
          <w:i/>
          <w:iCs/>
          <w:sz w:val="20"/>
        </w:rPr>
        <w:t xml:space="preserve">Id. </w:t>
      </w:r>
      <w:r w:rsidRPr="00CB0C66">
        <w:rPr>
          <w:sz w:val="20"/>
        </w:rPr>
        <w:t>at 8-9.</w:t>
      </w:r>
    </w:p>
  </w:footnote>
  <w:footnote w:id="6">
    <w:p w:rsidR="00361DF1" w:rsidRPr="00CB0C66" w:rsidP="00460544" w14:paraId="6F965211" w14:textId="0D7DC7B9">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 xml:space="preserve">Application at 2, 11; </w:t>
      </w:r>
      <w:r w:rsidRPr="00CB0C66">
        <w:rPr>
          <w:i/>
          <w:iCs/>
          <w:sz w:val="20"/>
        </w:rPr>
        <w:t>Telecommunications Carriers Eligible for Universal Service Support; Connect America Fund</w:t>
      </w:r>
      <w:r w:rsidRPr="00CB0C66">
        <w:rPr>
          <w:sz w:val="20"/>
        </w:rPr>
        <w:t>, WC Docket Nos. 09-197, 10-90, Order, DA 21-663 at 14 (WCB 2021) (</w:t>
      </w:r>
      <w:r w:rsidRPr="00CB0C66">
        <w:rPr>
          <w:i/>
          <w:iCs/>
          <w:sz w:val="20"/>
        </w:rPr>
        <w:t>RDOF ETC Order</w:t>
      </w:r>
      <w:r w:rsidRPr="00CB0C66">
        <w:rPr>
          <w:sz w:val="20"/>
        </w:rPr>
        <w:t xml:space="preserve">).  As the Bureau stated in the </w:t>
      </w:r>
      <w:r w:rsidRPr="00CB0C66">
        <w:rPr>
          <w:i/>
          <w:sz w:val="20"/>
        </w:rPr>
        <w:t>RDOF ETC Order</w:t>
      </w:r>
      <w:r w:rsidRPr="00CB0C66">
        <w:rPr>
          <w:sz w:val="20"/>
        </w:rPr>
        <w:t xml:space="preserve">,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w:t>
      </w:r>
      <w:r w:rsidRPr="00CB0C66">
        <w:rPr>
          <w:i/>
          <w:sz w:val="20"/>
        </w:rPr>
        <w:t>See RDOF ETC Order</w:t>
      </w:r>
      <w:r w:rsidRPr="00CB0C66">
        <w:rPr>
          <w:sz w:val="20"/>
        </w:rPr>
        <w:t>, DA 21-663 at 10-11, para. 30; 47 U.S.C. § 214; 47 CFR §§ 63.03-04.</w:t>
      </w:r>
    </w:p>
  </w:footnote>
  <w:footnote w:id="7">
    <w:p w:rsidR="00361DF1" w:rsidRPr="00CB0C66" w14:paraId="7BB01C58" w14:textId="4C4CE977">
      <w:pPr>
        <w:pStyle w:val="FootnoteText"/>
        <w:rPr>
          <w:sz w:val="20"/>
        </w:rPr>
      </w:pPr>
      <w:r w:rsidRPr="00CB0C66">
        <w:rPr>
          <w:rStyle w:val="FootnoteReference"/>
          <w:sz w:val="20"/>
        </w:rPr>
        <w:footnoteRef/>
      </w:r>
      <w:r w:rsidRPr="00CB0C66">
        <w:rPr>
          <w:sz w:val="20"/>
        </w:rPr>
        <w:t xml:space="preserve"> Application at 2-3.  </w:t>
      </w:r>
      <w:r w:rsidRPr="00CB0C66">
        <w:rPr>
          <w:i/>
          <w:iCs/>
          <w:sz w:val="20"/>
        </w:rPr>
        <w:t xml:space="preserve">See Rural Digital Opportunity Fund Phase I Auction (Auction 904) Closes; Winning Bidders Announced, </w:t>
      </w:r>
      <w:r w:rsidRPr="00CB0C66">
        <w:rPr>
          <w:sz w:val="20"/>
        </w:rPr>
        <w:t xml:space="preserve">AU Docket No. 20-34, WC Docket No. 19-126, WC Docket No. 10-90, Public Notice, 35 FCC Rcd 13888, 13921, Attach. A (Winning Bidder Summary) (2020). </w:t>
      </w:r>
    </w:p>
  </w:footnote>
  <w:footnote w:id="8">
    <w:p w:rsidR="00361DF1" w:rsidRPr="00CB0C66" w14:paraId="5D0C41B4" w14:textId="392DC1F4">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Application at 3.</w:t>
      </w:r>
    </w:p>
  </w:footnote>
  <w:footnote w:id="9">
    <w:p w:rsidR="00361DF1" w:rsidRPr="00CB0C66" w14:paraId="43A73477" w14:textId="22BA9F72">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00CB0C66">
        <w:rPr>
          <w:i/>
          <w:sz w:val="20"/>
        </w:rPr>
        <w:t>id</w:t>
      </w:r>
      <w:r w:rsidR="00CB0C66">
        <w:rPr>
          <w:sz w:val="20"/>
        </w:rPr>
        <w:t>.</w:t>
      </w:r>
      <w:r w:rsidRPr="00CB0C66">
        <w:rPr>
          <w:sz w:val="20"/>
        </w:rPr>
        <w:t xml:space="preserve"> at 3; Supplement at 2.  Applicants state that Searchlight has investment interests in other broadband providers operating in multiple states, including a 13.9% interest in Consolidated Communications Holdings, Inc., a 22.6% interest in Northwest Fiber, LLC d/b/a Ziply Fiber, and a 2.9% interest in Uniti Group Inc., all of which do or have received Universal Service Fund support.  </w:t>
      </w:r>
      <w:r w:rsidRPr="00CB0C66">
        <w:rPr>
          <w:i/>
          <w:sz w:val="20"/>
        </w:rPr>
        <w:t xml:space="preserve">See </w:t>
      </w:r>
      <w:r w:rsidRPr="00CB0C66">
        <w:rPr>
          <w:sz w:val="20"/>
        </w:rPr>
        <w:t xml:space="preserve">Application at 3-4 and n.6; Supplement at 2-3.  According to the Applicants, Searchlight also has investment interests in GCI Communications, Inc. and Electric Lightwave.  </w:t>
      </w:r>
      <w:r w:rsidRPr="00CB0C66">
        <w:rPr>
          <w:i/>
          <w:sz w:val="20"/>
        </w:rPr>
        <w:t xml:space="preserve">See </w:t>
      </w:r>
      <w:r w:rsidRPr="00CB0C66">
        <w:rPr>
          <w:iCs/>
          <w:sz w:val="20"/>
        </w:rPr>
        <w:t>Application</w:t>
      </w:r>
      <w:r w:rsidRPr="00CB0C66">
        <w:rPr>
          <w:sz w:val="20"/>
        </w:rPr>
        <w:t xml:space="preserve"> at 3-4 and n.6.  </w:t>
      </w:r>
    </w:p>
  </w:footnote>
  <w:footnote w:id="10">
    <w:p w:rsidR="00361DF1" w:rsidRPr="00CB0C66" w14:paraId="3091BE0F" w14:textId="428EFB76">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Application at 3-4.</w:t>
      </w:r>
    </w:p>
  </w:footnote>
  <w:footnote w:id="11">
    <w:p w:rsidR="00361DF1" w:rsidRPr="00CB0C66" w14:paraId="3434E5F2" w14:textId="7E4E7F2A">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00CB0C66">
        <w:rPr>
          <w:i/>
          <w:sz w:val="20"/>
        </w:rPr>
        <w:t>id</w:t>
      </w:r>
      <w:r w:rsidR="00CB0C66">
        <w:rPr>
          <w:sz w:val="20"/>
        </w:rPr>
        <w:t>.</w:t>
      </w:r>
      <w:r w:rsidRPr="00CB0C66">
        <w:rPr>
          <w:sz w:val="20"/>
        </w:rPr>
        <w:t xml:space="preserve"> at 4; Supplement at 4.  Searchlight and Simple Broadband have not yet determined the precise allocation of their respective equity interests in SCP Holdco, but Applicants assert that Simple Broadband’s interest will not exceed 15%.  Application at 4 n.7.  Although Applicants admit that “additional investors in SCP Holdco are being contemplated,” they also pledge that, “to the extent that any such additional investment represents 10% or greater direct or indirect equity or voting interest in SCP Holdco, Applicants will supplement this Joint Application.”  </w:t>
      </w:r>
      <w:r w:rsidRPr="00CB0C66">
        <w:rPr>
          <w:i/>
          <w:iCs/>
          <w:sz w:val="20"/>
        </w:rPr>
        <w:t>Id</w:t>
      </w:r>
      <w:r w:rsidRPr="00CB0C66">
        <w:rPr>
          <w:sz w:val="20"/>
        </w:rPr>
        <w:t>. at 9 n.9.  As it stands, “Applicants have disclosed any and all individuals and entities that they presently anticipate holding a direct or indirect equity interest in [SCP Holdco] of at least 10 percent at the closing of the Proposed Transaction.”  Supplement at 2.</w:t>
      </w:r>
    </w:p>
  </w:footnote>
  <w:footnote w:id="12">
    <w:p w:rsidR="00361DF1" w:rsidRPr="00CB0C66" w14:paraId="05DF5DCC" w14:textId="33F264E5">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 xml:space="preserve">Application at 4.  According to the Applicants, Simple Networks LLC, a New York limited liability company, and Armavir Partners LLC, a Delaware limited liability company, each hold a 50% interest in Simple Broadband.  </w:t>
      </w:r>
      <w:r w:rsidRPr="00CB0C66">
        <w:rPr>
          <w:i/>
          <w:sz w:val="20"/>
        </w:rPr>
        <w:t xml:space="preserve">See </w:t>
      </w:r>
      <w:r w:rsidRPr="00CB0C66">
        <w:rPr>
          <w:sz w:val="20"/>
        </w:rPr>
        <w:t xml:space="preserve">Supplement at 4.  In turn, Evan Grayer and Jason Markham, both U.S. citizens, each hold a 50% interest in Simple Networks.  </w:t>
      </w:r>
      <w:r w:rsidRPr="00CB0C66">
        <w:rPr>
          <w:i/>
          <w:sz w:val="20"/>
        </w:rPr>
        <w:t>See</w:t>
      </w:r>
      <w:r w:rsidRPr="00CB0C66">
        <w:rPr>
          <w:sz w:val="20"/>
        </w:rPr>
        <w:t xml:space="preserve"> Supplement at 4.  Jeff Libshutz, Lee Chaikin, and Chris Gioia, each a U.S. citizen, hold a 40% interest, a 40% interest, and a 20% interest in Armavir Partners, respectively.  </w:t>
      </w:r>
      <w:r w:rsidRPr="00CB0C66">
        <w:rPr>
          <w:i/>
          <w:sz w:val="20"/>
        </w:rPr>
        <w:t>See</w:t>
      </w:r>
      <w:r w:rsidRPr="00CB0C66">
        <w:rPr>
          <w:sz w:val="20"/>
        </w:rPr>
        <w:t xml:space="preserve"> </w:t>
      </w:r>
      <w:r w:rsidR="00CB0C66">
        <w:rPr>
          <w:i/>
          <w:sz w:val="20"/>
        </w:rPr>
        <w:t>id</w:t>
      </w:r>
      <w:r w:rsidR="00CB0C66">
        <w:rPr>
          <w:sz w:val="20"/>
        </w:rPr>
        <w:t>.</w:t>
      </w:r>
    </w:p>
  </w:footnote>
  <w:footnote w:id="13">
    <w:p w:rsidR="00361DF1" w:rsidRPr="00CB0C66" w14:paraId="59570D9E" w14:textId="57F0E425">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Application at 4.</w:t>
      </w:r>
    </w:p>
  </w:footnote>
  <w:footnote w:id="14">
    <w:p w:rsidR="00361DF1" w:rsidRPr="00CB0C66" w14:paraId="50EF7AFA" w14:textId="2CF076E0">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00CB0C66">
        <w:rPr>
          <w:i/>
          <w:sz w:val="20"/>
        </w:rPr>
        <w:t>id</w:t>
      </w:r>
      <w:r w:rsidR="00CB0C66">
        <w:rPr>
          <w:sz w:val="20"/>
        </w:rPr>
        <w:t>.</w:t>
      </w:r>
      <w:r w:rsidRPr="00CB0C66">
        <w:rPr>
          <w:sz w:val="20"/>
        </w:rPr>
        <w:t xml:space="preserve"> at 5; Supplement at 1.</w:t>
      </w:r>
    </w:p>
  </w:footnote>
  <w:footnote w:id="15">
    <w:p w:rsidR="00361DF1" w:rsidRPr="00CB0C66" w14:paraId="1B9ABEB4" w14:textId="707AA88C">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Application at 5.</w:t>
      </w:r>
    </w:p>
  </w:footnote>
  <w:footnote w:id="16">
    <w:p w:rsidR="00361DF1" w:rsidRPr="00CB0C66" w14:paraId="2641E44B" w14:textId="49DB8E07">
      <w:pPr>
        <w:pStyle w:val="FootnoteText"/>
        <w:rPr>
          <w:sz w:val="20"/>
        </w:rPr>
      </w:pPr>
      <w:r w:rsidRPr="00CB0C66">
        <w:rPr>
          <w:rStyle w:val="FootnoteReference"/>
          <w:sz w:val="20"/>
        </w:rPr>
        <w:footnoteRef/>
      </w:r>
      <w:r w:rsidRPr="00CB0C66">
        <w:rPr>
          <w:sz w:val="20"/>
        </w:rPr>
        <w:t xml:space="preserve"> </w:t>
      </w:r>
      <w:r w:rsidR="00CB0C66">
        <w:rPr>
          <w:i/>
          <w:sz w:val="20"/>
        </w:rPr>
        <w:t>Id</w:t>
      </w:r>
      <w:r w:rsidR="00CB0C66">
        <w:rPr>
          <w:sz w:val="20"/>
        </w:rPr>
        <w:t>.</w:t>
      </w:r>
      <w:r w:rsidRPr="00CB0C66">
        <w:rPr>
          <w:sz w:val="20"/>
        </w:rPr>
        <w:t xml:space="preserve"> at 5.</w:t>
      </w:r>
    </w:p>
  </w:footnote>
  <w:footnote w:id="17">
    <w:p w:rsidR="00361DF1" w:rsidRPr="00CB0C66" w14:paraId="15F1ACED" w14:textId="7A6324B3">
      <w:pPr>
        <w:pStyle w:val="FootnoteText"/>
        <w:rPr>
          <w:sz w:val="20"/>
        </w:rPr>
      </w:pPr>
      <w:r w:rsidRPr="00CB0C66">
        <w:rPr>
          <w:rStyle w:val="FootnoteReference"/>
          <w:sz w:val="20"/>
        </w:rPr>
        <w:footnoteRef/>
      </w:r>
      <w:r w:rsidRPr="00CB0C66">
        <w:rPr>
          <w:sz w:val="20"/>
        </w:rPr>
        <w:t xml:space="preserve"> </w:t>
      </w:r>
      <w:r w:rsidR="00CB0C66">
        <w:rPr>
          <w:i/>
          <w:sz w:val="20"/>
        </w:rPr>
        <w:t>Id</w:t>
      </w:r>
      <w:r w:rsidR="00CB0C66">
        <w:rPr>
          <w:sz w:val="20"/>
        </w:rPr>
        <w:t>.</w:t>
      </w:r>
      <w:r w:rsidRPr="00CB0C66">
        <w:rPr>
          <w:sz w:val="20"/>
        </w:rPr>
        <w:t xml:space="preserve"> at 5-6.</w:t>
      </w:r>
    </w:p>
  </w:footnote>
  <w:footnote w:id="18">
    <w:p w:rsidR="00361DF1" w:rsidRPr="00CB0C66" w14:paraId="11EDAF60" w14:textId="19E7E488">
      <w:pPr>
        <w:pStyle w:val="FootnoteText"/>
        <w:rPr>
          <w:sz w:val="20"/>
        </w:rPr>
      </w:pPr>
      <w:r w:rsidRPr="00CB0C66">
        <w:rPr>
          <w:rStyle w:val="FootnoteReference"/>
          <w:sz w:val="20"/>
        </w:rPr>
        <w:footnoteRef/>
      </w:r>
      <w:r w:rsidRPr="00CB0C66">
        <w:rPr>
          <w:sz w:val="20"/>
        </w:rPr>
        <w:t xml:space="preserve"> </w:t>
      </w:r>
      <w:r w:rsidR="00CB0C66">
        <w:rPr>
          <w:i/>
          <w:sz w:val="20"/>
        </w:rPr>
        <w:t>Id</w:t>
      </w:r>
      <w:r w:rsidR="00CB0C66">
        <w:rPr>
          <w:sz w:val="20"/>
        </w:rPr>
        <w:t xml:space="preserve">. </w:t>
      </w:r>
      <w:r w:rsidRPr="00CB0C66">
        <w:rPr>
          <w:sz w:val="20"/>
        </w:rPr>
        <w:t xml:space="preserve">at 6; </w:t>
      </w:r>
      <w:r w:rsidRPr="00CB0C66">
        <w:rPr>
          <w:i/>
          <w:sz w:val="20"/>
        </w:rPr>
        <w:t xml:space="preserve">see also </w:t>
      </w:r>
      <w:r w:rsidRPr="00CB0C66">
        <w:rPr>
          <w:sz w:val="20"/>
        </w:rPr>
        <w:t>Supplement at 2 (“Following the Proposed Transaction, there will be no immediate changes with respect to the obligations of [APB] to [its] customers.”).</w:t>
      </w:r>
    </w:p>
  </w:footnote>
  <w:footnote w:id="19">
    <w:p w:rsidR="00361DF1" w:rsidRPr="00CB0C66" w14:paraId="7EFC43AD" w14:textId="709B3115">
      <w:pPr>
        <w:pStyle w:val="FootnoteText"/>
        <w:rPr>
          <w:sz w:val="20"/>
        </w:rPr>
      </w:pPr>
      <w:r w:rsidRPr="00CB0C66">
        <w:rPr>
          <w:rStyle w:val="FootnoteReference"/>
          <w:sz w:val="20"/>
        </w:rPr>
        <w:footnoteRef/>
      </w:r>
      <w:r w:rsidRPr="00CB0C66">
        <w:rPr>
          <w:sz w:val="20"/>
        </w:rPr>
        <w:t xml:space="preserve"> </w:t>
      </w:r>
      <w:r w:rsidRPr="00CB0C66" w:rsidR="00DF48D4">
        <w:rPr>
          <w:i/>
          <w:sz w:val="20"/>
        </w:rPr>
        <w:t xml:space="preserve">See </w:t>
      </w:r>
      <w:r w:rsidRPr="00CB0C66" w:rsidR="00DF48D4">
        <w:rPr>
          <w:iCs/>
          <w:sz w:val="20"/>
        </w:rPr>
        <w:t>Application at 6.</w:t>
      </w:r>
    </w:p>
  </w:footnote>
  <w:footnote w:id="20">
    <w:p w:rsidR="00361DF1" w:rsidRPr="00CB0C66" w14:paraId="33E9D070" w14:textId="1AFEEDE2">
      <w:pPr>
        <w:pStyle w:val="FootnoteText"/>
        <w:rPr>
          <w:sz w:val="20"/>
        </w:rPr>
      </w:pPr>
      <w:r w:rsidRPr="00CB0C66">
        <w:rPr>
          <w:rStyle w:val="FootnoteReference"/>
          <w:sz w:val="20"/>
        </w:rPr>
        <w:footnoteRef/>
      </w:r>
      <w:r w:rsidRPr="00CB0C66">
        <w:rPr>
          <w:sz w:val="20"/>
        </w:rPr>
        <w:t xml:space="preserve"> </w:t>
      </w:r>
      <w:r w:rsidRPr="00CB0C66">
        <w:rPr>
          <w:i/>
          <w:sz w:val="20"/>
        </w:rPr>
        <w:t xml:space="preserve">See </w:t>
      </w:r>
      <w:r w:rsidRPr="00CB0C66">
        <w:rPr>
          <w:sz w:val="20"/>
        </w:rPr>
        <w:t>Supplement at 2.</w:t>
      </w:r>
    </w:p>
  </w:footnote>
  <w:footnote w:id="21">
    <w:p w:rsidR="00361DF1" w:rsidRPr="00CB0C66" w:rsidP="005C680F" w14:paraId="730AA806" w14:textId="77777777">
      <w:pPr>
        <w:pStyle w:val="FootnoteText"/>
        <w:rPr>
          <w:sz w:val="20"/>
        </w:rPr>
      </w:pPr>
      <w:r w:rsidRPr="00CB0C66">
        <w:rPr>
          <w:rStyle w:val="FootnoteReference"/>
          <w:sz w:val="20"/>
        </w:rPr>
        <w:footnoteRef/>
      </w:r>
      <w:r w:rsidRPr="00CB0C66">
        <w:rPr>
          <w:sz w:val="20"/>
        </w:rPr>
        <w:t xml:space="preserve"> 47 CFR § 63.03(c)(1)(v).</w:t>
      </w:r>
    </w:p>
  </w:footnote>
  <w:footnote w:id="22">
    <w:p w:rsidR="00361DF1" w:rsidRPr="00CB0C66" w:rsidP="00F13E8E" w14:paraId="3EA48307" w14:textId="51839FF0">
      <w:pPr>
        <w:pStyle w:val="FootnoteText"/>
        <w:spacing w:after="120"/>
        <w:rPr>
          <w:sz w:val="20"/>
        </w:rPr>
      </w:pPr>
      <w:r w:rsidRPr="00CB0C66">
        <w:rPr>
          <w:rStyle w:val="FootnoteReference"/>
          <w:sz w:val="20"/>
        </w:rPr>
        <w:footnoteRef/>
      </w:r>
      <w:r w:rsidRPr="00CB0C6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B0C66">
        <w:rPr>
          <w:i/>
          <w:iCs/>
          <w:sz w:val="20"/>
        </w:rPr>
        <w:t>See FCC Announces Closure of FCC Headquarters Open Window and Change in Hand-Delivery Policy</w:t>
      </w:r>
      <w:r w:rsidRPr="00CB0C66">
        <w:rPr>
          <w:sz w:val="20"/>
        </w:rPr>
        <w:t xml:space="preserve">, Public Notice, 35 FCC Rcd 2788 (Mar. 19, 2020), </w:t>
      </w:r>
      <w:hyperlink r:id="rId2" w:history="1">
        <w:r w:rsidRPr="00CB0C66">
          <w:rPr>
            <w:rStyle w:val="Hyperlink"/>
            <w:sz w:val="20"/>
          </w:rPr>
          <w:t>https://www.fcc.gov/document/fcc-closes-headquarters-open-window-and-changes-hand-delivery-policy</w:t>
        </w:r>
      </w:hyperlink>
      <w:r w:rsidRPr="00CB0C66">
        <w:rPr>
          <w:rStyle w:val="Hyperlink"/>
          <w:color w:val="auto"/>
          <w:sz w:val="20"/>
          <w:u w:val="none"/>
        </w:rPr>
        <w:t>.</w:t>
      </w:r>
    </w:p>
  </w:footnote>
  <w:footnote w:id="23">
    <w:p w:rsidR="00361DF1" w:rsidRPr="00CB0C66" w:rsidP="00F13E8E" w14:paraId="4843681A" w14:textId="77777777">
      <w:pPr>
        <w:pStyle w:val="FootnoteText"/>
        <w:tabs>
          <w:tab w:val="clear" w:pos="720"/>
        </w:tabs>
        <w:spacing w:after="120"/>
        <w:rPr>
          <w:sz w:val="20"/>
        </w:rPr>
      </w:pPr>
      <w:r w:rsidRPr="00CB0C66">
        <w:rPr>
          <w:rStyle w:val="FootnoteReference"/>
          <w:sz w:val="20"/>
        </w:rPr>
        <w:footnoteRef/>
      </w:r>
      <w:r w:rsidRPr="00CB0C66">
        <w:rPr>
          <w:sz w:val="20"/>
        </w:rPr>
        <w:t xml:space="preserve"> </w:t>
      </w:r>
      <w:r w:rsidRPr="00CB0C66">
        <w:rPr>
          <w:i/>
          <w:sz w:val="20"/>
        </w:rPr>
        <w:t>See</w:t>
      </w:r>
      <w:r w:rsidRPr="00CB0C6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3B012AAC" w14:textId="3864AD1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61DF1" w14:textId="77777777">
                          <w:pPr>
                            <w:rPr>
                              <w:rFonts w:ascii="Arial" w:hAnsi="Arial"/>
                              <w:b/>
                            </w:rPr>
                          </w:pPr>
                          <w:r>
                            <w:rPr>
                              <w:rFonts w:ascii="Arial" w:hAnsi="Arial"/>
                              <w:b/>
                            </w:rPr>
                            <w:t>Federal Communications Commission</w:t>
                          </w:r>
                        </w:p>
                        <w:p w:rsidR="00361DF1" w14:textId="77777777">
                          <w:pPr>
                            <w:rPr>
                              <w:rFonts w:ascii="Arial" w:hAnsi="Arial"/>
                              <w:b/>
                            </w:rPr>
                          </w:pPr>
                          <w:r>
                            <w:rPr>
                              <w:rFonts w:ascii="Arial" w:hAnsi="Arial"/>
                              <w:b/>
                            </w:rPr>
                            <w:t>45 L St., N.E.</w:t>
                          </w:r>
                        </w:p>
                        <w:p w:rsidR="00361DF1"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61DF1" w14:paraId="0663DFE0" w14:textId="77777777">
                    <w:pPr>
                      <w:rPr>
                        <w:rFonts w:ascii="Arial" w:hAnsi="Arial"/>
                        <w:b/>
                      </w:rPr>
                    </w:pPr>
                    <w:r>
                      <w:rPr>
                        <w:rFonts w:ascii="Arial" w:hAnsi="Arial"/>
                        <w:b/>
                      </w:rPr>
                      <w:t>Federal Communications Commission</w:t>
                    </w:r>
                  </w:p>
                  <w:p w:rsidR="00361DF1" w14:paraId="409044EE" w14:textId="77777777">
                    <w:pPr>
                      <w:rPr>
                        <w:rFonts w:ascii="Arial" w:hAnsi="Arial"/>
                        <w:b/>
                      </w:rPr>
                    </w:pPr>
                    <w:r>
                      <w:rPr>
                        <w:rFonts w:ascii="Arial" w:hAnsi="Arial"/>
                        <w:b/>
                      </w:rPr>
                      <w:t>45 L St., N.E.</w:t>
                    </w:r>
                  </w:p>
                  <w:p w:rsidR="00361DF1" w14:paraId="79B12CE8" w14:textId="77777777">
                    <w:pPr>
                      <w:rPr>
                        <w:rFonts w:ascii="Arial" w:hAnsi="Arial"/>
                        <w:sz w:val="24"/>
                      </w:rPr>
                    </w:pPr>
                    <w:r>
                      <w:rPr>
                        <w:rFonts w:ascii="Arial" w:hAnsi="Arial"/>
                        <w:b/>
                      </w:rPr>
                      <w:t>Washington, D.C. 20554</w:t>
                    </w:r>
                  </w:p>
                </w:txbxContent>
              </v:textbox>
            </v:shape>
          </w:pict>
        </mc:Fallback>
      </mc:AlternateContent>
    </w:r>
    <w:r w:rsidRPr="7B6157F7">
      <w:rPr>
        <w:rFonts w:ascii="News Gothic MT" w:hAnsi="News Gothic MT"/>
        <w:b/>
        <w:bCs/>
        <w:kern w:val="28"/>
        <w:sz w:val="96"/>
        <w:szCs w:val="96"/>
      </w:rPr>
      <w:t>PUBLIC NOTICE</w:t>
    </w:r>
  </w:p>
  <w:p w:rsidR="00361DF1" w14:paraId="36CEDA28" w14:textId="0E2274AF">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12700" t="12700" r="25400" b="2286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3810" r="4445" b="635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61DF1" w14:textId="77777777">
                          <w:pPr>
                            <w:spacing w:before="40"/>
                            <w:jc w:val="right"/>
                            <w:rPr>
                              <w:rFonts w:ascii="Arial" w:hAnsi="Arial"/>
                              <w:b/>
                              <w:sz w:val="16"/>
                            </w:rPr>
                          </w:pPr>
                          <w:r>
                            <w:rPr>
                              <w:rFonts w:ascii="Arial" w:hAnsi="Arial"/>
                              <w:b/>
                              <w:sz w:val="16"/>
                            </w:rPr>
                            <w:t>News Media Information 202 / 418-0500</w:t>
                          </w:r>
                        </w:p>
                        <w:p w:rsidR="00361DF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61DF1" w14:paraId="412EBB1A" w14:textId="77777777">
                    <w:pPr>
                      <w:spacing w:before="40"/>
                      <w:jc w:val="right"/>
                      <w:rPr>
                        <w:rFonts w:ascii="Arial" w:hAnsi="Arial"/>
                        <w:b/>
                        <w:sz w:val="16"/>
                      </w:rPr>
                    </w:pPr>
                    <w:r>
                      <w:rPr>
                        <w:rFonts w:ascii="Arial" w:hAnsi="Arial"/>
                        <w:b/>
                        <w:sz w:val="16"/>
                      </w:rPr>
                      <w:t>News Media Information 202 / 418-0500</w:t>
                    </w:r>
                  </w:p>
                  <w:p w:rsidR="00361DF1"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06FC86EC" w14:textId="77777777">
                    <w:pPr>
                      <w:jc w:val="right"/>
                    </w:pPr>
                  </w:p>
                </w:txbxContent>
              </v:textbox>
            </v:shape>
          </w:pict>
        </mc:Fallback>
      </mc:AlternateContent>
    </w:r>
  </w:p>
  <w:p w:rsidR="00361DF1"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70A"/>
    <w:rsid w:val="00031596"/>
    <w:rsid w:val="00031841"/>
    <w:rsid w:val="00035F32"/>
    <w:rsid w:val="00040610"/>
    <w:rsid w:val="00040BA0"/>
    <w:rsid w:val="00040DAF"/>
    <w:rsid w:val="00041C01"/>
    <w:rsid w:val="00042890"/>
    <w:rsid w:val="000439B6"/>
    <w:rsid w:val="00051E2C"/>
    <w:rsid w:val="000534AC"/>
    <w:rsid w:val="00055109"/>
    <w:rsid w:val="00057E12"/>
    <w:rsid w:val="000629CF"/>
    <w:rsid w:val="00062F7C"/>
    <w:rsid w:val="000656F9"/>
    <w:rsid w:val="00066D12"/>
    <w:rsid w:val="000735C8"/>
    <w:rsid w:val="000747F3"/>
    <w:rsid w:val="0007483B"/>
    <w:rsid w:val="000768B9"/>
    <w:rsid w:val="00080D7C"/>
    <w:rsid w:val="0008381D"/>
    <w:rsid w:val="00087205"/>
    <w:rsid w:val="00095E72"/>
    <w:rsid w:val="000A3BF0"/>
    <w:rsid w:val="000B069D"/>
    <w:rsid w:val="000B4EDD"/>
    <w:rsid w:val="000B7587"/>
    <w:rsid w:val="000B7644"/>
    <w:rsid w:val="000C28FC"/>
    <w:rsid w:val="000D04B7"/>
    <w:rsid w:val="000D0D16"/>
    <w:rsid w:val="000D6AA4"/>
    <w:rsid w:val="000E3E17"/>
    <w:rsid w:val="000E42F9"/>
    <w:rsid w:val="000E5147"/>
    <w:rsid w:val="000E74F9"/>
    <w:rsid w:val="000F02F7"/>
    <w:rsid w:val="000F034F"/>
    <w:rsid w:val="000F33A7"/>
    <w:rsid w:val="00100310"/>
    <w:rsid w:val="00101D0B"/>
    <w:rsid w:val="001032DD"/>
    <w:rsid w:val="0010521A"/>
    <w:rsid w:val="0011161C"/>
    <w:rsid w:val="0011192C"/>
    <w:rsid w:val="0011311D"/>
    <w:rsid w:val="001150BA"/>
    <w:rsid w:val="00123D1D"/>
    <w:rsid w:val="001264E8"/>
    <w:rsid w:val="00126638"/>
    <w:rsid w:val="0013405D"/>
    <w:rsid w:val="00140814"/>
    <w:rsid w:val="00141388"/>
    <w:rsid w:val="00143484"/>
    <w:rsid w:val="00145BBB"/>
    <w:rsid w:val="001470F0"/>
    <w:rsid w:val="001516AE"/>
    <w:rsid w:val="0015217F"/>
    <w:rsid w:val="00157DBA"/>
    <w:rsid w:val="00157E29"/>
    <w:rsid w:val="0016562C"/>
    <w:rsid w:val="00171000"/>
    <w:rsid w:val="00176A08"/>
    <w:rsid w:val="001827FB"/>
    <w:rsid w:val="00187617"/>
    <w:rsid w:val="001907CA"/>
    <w:rsid w:val="00194E1E"/>
    <w:rsid w:val="001A00A7"/>
    <w:rsid w:val="001A3813"/>
    <w:rsid w:val="001A4CCE"/>
    <w:rsid w:val="001A5568"/>
    <w:rsid w:val="001B15FB"/>
    <w:rsid w:val="001B4C2F"/>
    <w:rsid w:val="001B69F9"/>
    <w:rsid w:val="001C3C98"/>
    <w:rsid w:val="001D19A0"/>
    <w:rsid w:val="001E382D"/>
    <w:rsid w:val="001E659B"/>
    <w:rsid w:val="001F28BA"/>
    <w:rsid w:val="001F365F"/>
    <w:rsid w:val="001F4ED3"/>
    <w:rsid w:val="001F5138"/>
    <w:rsid w:val="001F6762"/>
    <w:rsid w:val="00201FB5"/>
    <w:rsid w:val="0021524B"/>
    <w:rsid w:val="0021680F"/>
    <w:rsid w:val="00216E9B"/>
    <w:rsid w:val="00220B67"/>
    <w:rsid w:val="002217F0"/>
    <w:rsid w:val="00221CCF"/>
    <w:rsid w:val="0022449B"/>
    <w:rsid w:val="00225F62"/>
    <w:rsid w:val="0022664E"/>
    <w:rsid w:val="00233EA3"/>
    <w:rsid w:val="002341CC"/>
    <w:rsid w:val="00234E4F"/>
    <w:rsid w:val="00240B1E"/>
    <w:rsid w:val="002448F4"/>
    <w:rsid w:val="0024606D"/>
    <w:rsid w:val="00247623"/>
    <w:rsid w:val="00252880"/>
    <w:rsid w:val="0025317E"/>
    <w:rsid w:val="00253247"/>
    <w:rsid w:val="0025743F"/>
    <w:rsid w:val="00262E65"/>
    <w:rsid w:val="002648C6"/>
    <w:rsid w:val="00275EE0"/>
    <w:rsid w:val="00280802"/>
    <w:rsid w:val="0028149F"/>
    <w:rsid w:val="002816BF"/>
    <w:rsid w:val="0028555C"/>
    <w:rsid w:val="002906ED"/>
    <w:rsid w:val="00291913"/>
    <w:rsid w:val="00292C84"/>
    <w:rsid w:val="002A1D13"/>
    <w:rsid w:val="002A5A6E"/>
    <w:rsid w:val="002B16FA"/>
    <w:rsid w:val="002B1A33"/>
    <w:rsid w:val="002B1AFB"/>
    <w:rsid w:val="002B3EB7"/>
    <w:rsid w:val="002B4971"/>
    <w:rsid w:val="002C1DC1"/>
    <w:rsid w:val="002C203E"/>
    <w:rsid w:val="002C22F3"/>
    <w:rsid w:val="002C27F4"/>
    <w:rsid w:val="002C3ADF"/>
    <w:rsid w:val="002D09E2"/>
    <w:rsid w:val="002D1B19"/>
    <w:rsid w:val="002D2251"/>
    <w:rsid w:val="002D430D"/>
    <w:rsid w:val="002D5247"/>
    <w:rsid w:val="002D61F8"/>
    <w:rsid w:val="002D65CC"/>
    <w:rsid w:val="002D6F61"/>
    <w:rsid w:val="002E053A"/>
    <w:rsid w:val="002E1E27"/>
    <w:rsid w:val="002F2F2D"/>
    <w:rsid w:val="00302C56"/>
    <w:rsid w:val="00303877"/>
    <w:rsid w:val="00306670"/>
    <w:rsid w:val="0031156F"/>
    <w:rsid w:val="00313546"/>
    <w:rsid w:val="00313924"/>
    <w:rsid w:val="00314891"/>
    <w:rsid w:val="0031554B"/>
    <w:rsid w:val="0031559D"/>
    <w:rsid w:val="00315D50"/>
    <w:rsid w:val="00315FCD"/>
    <w:rsid w:val="0031636F"/>
    <w:rsid w:val="00316395"/>
    <w:rsid w:val="00317A70"/>
    <w:rsid w:val="00321A17"/>
    <w:rsid w:val="00323153"/>
    <w:rsid w:val="0032625B"/>
    <w:rsid w:val="00332884"/>
    <w:rsid w:val="00335EC2"/>
    <w:rsid w:val="00340D4E"/>
    <w:rsid w:val="00341BC2"/>
    <w:rsid w:val="00350329"/>
    <w:rsid w:val="00353CB5"/>
    <w:rsid w:val="00361DF1"/>
    <w:rsid w:val="003632CF"/>
    <w:rsid w:val="00363960"/>
    <w:rsid w:val="00365194"/>
    <w:rsid w:val="00367E50"/>
    <w:rsid w:val="00372CA2"/>
    <w:rsid w:val="00376094"/>
    <w:rsid w:val="003855A0"/>
    <w:rsid w:val="003856EC"/>
    <w:rsid w:val="00385FF3"/>
    <w:rsid w:val="0038632F"/>
    <w:rsid w:val="003879D0"/>
    <w:rsid w:val="00387BBE"/>
    <w:rsid w:val="00395A7A"/>
    <w:rsid w:val="003A18A0"/>
    <w:rsid w:val="003A32D5"/>
    <w:rsid w:val="003A580D"/>
    <w:rsid w:val="003B1DA0"/>
    <w:rsid w:val="003B43C3"/>
    <w:rsid w:val="003B5CEE"/>
    <w:rsid w:val="003C6C90"/>
    <w:rsid w:val="003D0F8F"/>
    <w:rsid w:val="003D27C1"/>
    <w:rsid w:val="003D410C"/>
    <w:rsid w:val="003D43D6"/>
    <w:rsid w:val="003D732C"/>
    <w:rsid w:val="003E00F5"/>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5528"/>
    <w:rsid w:val="004174B5"/>
    <w:rsid w:val="00427277"/>
    <w:rsid w:val="00427654"/>
    <w:rsid w:val="004331D7"/>
    <w:rsid w:val="00433D8C"/>
    <w:rsid w:val="00434C96"/>
    <w:rsid w:val="004359CE"/>
    <w:rsid w:val="00445CF7"/>
    <w:rsid w:val="0044608C"/>
    <w:rsid w:val="00451193"/>
    <w:rsid w:val="004547DB"/>
    <w:rsid w:val="0046036F"/>
    <w:rsid w:val="00460544"/>
    <w:rsid w:val="00460914"/>
    <w:rsid w:val="004609A4"/>
    <w:rsid w:val="00460BDC"/>
    <w:rsid w:val="00461479"/>
    <w:rsid w:val="00464E8A"/>
    <w:rsid w:val="004670AE"/>
    <w:rsid w:val="00467976"/>
    <w:rsid w:val="00467CD6"/>
    <w:rsid w:val="00476B50"/>
    <w:rsid w:val="00477D20"/>
    <w:rsid w:val="004808FC"/>
    <w:rsid w:val="00480E51"/>
    <w:rsid w:val="00482EB0"/>
    <w:rsid w:val="004842E4"/>
    <w:rsid w:val="0048538B"/>
    <w:rsid w:val="00485D4A"/>
    <w:rsid w:val="00485DD1"/>
    <w:rsid w:val="00490F2D"/>
    <w:rsid w:val="004913A0"/>
    <w:rsid w:val="004913FF"/>
    <w:rsid w:val="004921C9"/>
    <w:rsid w:val="00492290"/>
    <w:rsid w:val="004951AE"/>
    <w:rsid w:val="004A2872"/>
    <w:rsid w:val="004A684C"/>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298D"/>
    <w:rsid w:val="004F336F"/>
    <w:rsid w:val="004F3603"/>
    <w:rsid w:val="004F3CEC"/>
    <w:rsid w:val="004F4639"/>
    <w:rsid w:val="004F6F64"/>
    <w:rsid w:val="00501D17"/>
    <w:rsid w:val="0051471D"/>
    <w:rsid w:val="00515979"/>
    <w:rsid w:val="0052588A"/>
    <w:rsid w:val="00525F17"/>
    <w:rsid w:val="0052638E"/>
    <w:rsid w:val="005273AB"/>
    <w:rsid w:val="0053007F"/>
    <w:rsid w:val="005320B5"/>
    <w:rsid w:val="00533E67"/>
    <w:rsid w:val="0053439A"/>
    <w:rsid w:val="00536ED2"/>
    <w:rsid w:val="00537D6B"/>
    <w:rsid w:val="00541FF2"/>
    <w:rsid w:val="005524B5"/>
    <w:rsid w:val="0056058F"/>
    <w:rsid w:val="00560D99"/>
    <w:rsid w:val="00560E2D"/>
    <w:rsid w:val="00562E0E"/>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6D5C"/>
    <w:rsid w:val="005A13D0"/>
    <w:rsid w:val="005A64A7"/>
    <w:rsid w:val="005B2105"/>
    <w:rsid w:val="005B4E08"/>
    <w:rsid w:val="005B57F1"/>
    <w:rsid w:val="005B6764"/>
    <w:rsid w:val="005B758D"/>
    <w:rsid w:val="005C027E"/>
    <w:rsid w:val="005C403A"/>
    <w:rsid w:val="005C5165"/>
    <w:rsid w:val="005C680F"/>
    <w:rsid w:val="005C740F"/>
    <w:rsid w:val="005D1134"/>
    <w:rsid w:val="005D6D5C"/>
    <w:rsid w:val="005E1380"/>
    <w:rsid w:val="005E370E"/>
    <w:rsid w:val="005E5E11"/>
    <w:rsid w:val="005F73CF"/>
    <w:rsid w:val="0060105E"/>
    <w:rsid w:val="0060106A"/>
    <w:rsid w:val="00601C1E"/>
    <w:rsid w:val="00603E2B"/>
    <w:rsid w:val="00604A3C"/>
    <w:rsid w:val="00604CFF"/>
    <w:rsid w:val="00607672"/>
    <w:rsid w:val="006079F6"/>
    <w:rsid w:val="0061137C"/>
    <w:rsid w:val="00613D42"/>
    <w:rsid w:val="006144A3"/>
    <w:rsid w:val="00616221"/>
    <w:rsid w:val="00616638"/>
    <w:rsid w:val="00617185"/>
    <w:rsid w:val="00623FAB"/>
    <w:rsid w:val="006342D4"/>
    <w:rsid w:val="00641B06"/>
    <w:rsid w:val="00641B1C"/>
    <w:rsid w:val="0064419D"/>
    <w:rsid w:val="00650AA4"/>
    <w:rsid w:val="00652163"/>
    <w:rsid w:val="00652A5F"/>
    <w:rsid w:val="00653610"/>
    <w:rsid w:val="00654447"/>
    <w:rsid w:val="00656777"/>
    <w:rsid w:val="0065693D"/>
    <w:rsid w:val="00663975"/>
    <w:rsid w:val="00670CC1"/>
    <w:rsid w:val="006768CC"/>
    <w:rsid w:val="00680D6E"/>
    <w:rsid w:val="0068188D"/>
    <w:rsid w:val="006823D9"/>
    <w:rsid w:val="00683A96"/>
    <w:rsid w:val="00687959"/>
    <w:rsid w:val="00690EA9"/>
    <w:rsid w:val="00691832"/>
    <w:rsid w:val="00697359"/>
    <w:rsid w:val="006A201E"/>
    <w:rsid w:val="006A7126"/>
    <w:rsid w:val="006B3211"/>
    <w:rsid w:val="006B36F1"/>
    <w:rsid w:val="006B470C"/>
    <w:rsid w:val="006B5C06"/>
    <w:rsid w:val="006B6AC8"/>
    <w:rsid w:val="006B7F06"/>
    <w:rsid w:val="006C32C8"/>
    <w:rsid w:val="006C591C"/>
    <w:rsid w:val="006C6494"/>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20864"/>
    <w:rsid w:val="00721AA9"/>
    <w:rsid w:val="007220E7"/>
    <w:rsid w:val="00724176"/>
    <w:rsid w:val="00724722"/>
    <w:rsid w:val="00732C3A"/>
    <w:rsid w:val="00732F41"/>
    <w:rsid w:val="00733B9B"/>
    <w:rsid w:val="007361D6"/>
    <w:rsid w:val="00740AD9"/>
    <w:rsid w:val="00744C57"/>
    <w:rsid w:val="00746759"/>
    <w:rsid w:val="00747FB8"/>
    <w:rsid w:val="00750B9D"/>
    <w:rsid w:val="0075291B"/>
    <w:rsid w:val="00753F3C"/>
    <w:rsid w:val="00754895"/>
    <w:rsid w:val="007569C5"/>
    <w:rsid w:val="007572E5"/>
    <w:rsid w:val="0075743F"/>
    <w:rsid w:val="00760269"/>
    <w:rsid w:val="00760571"/>
    <w:rsid w:val="00762D92"/>
    <w:rsid w:val="007631B9"/>
    <w:rsid w:val="00766672"/>
    <w:rsid w:val="007679F3"/>
    <w:rsid w:val="00771214"/>
    <w:rsid w:val="00772125"/>
    <w:rsid w:val="007744AF"/>
    <w:rsid w:val="00775CD4"/>
    <w:rsid w:val="0078057D"/>
    <w:rsid w:val="00780F55"/>
    <w:rsid w:val="0079265D"/>
    <w:rsid w:val="00795DF8"/>
    <w:rsid w:val="00796E19"/>
    <w:rsid w:val="007A426E"/>
    <w:rsid w:val="007A5130"/>
    <w:rsid w:val="007B0DBD"/>
    <w:rsid w:val="007B0FA7"/>
    <w:rsid w:val="007B1EAE"/>
    <w:rsid w:val="007B2EA3"/>
    <w:rsid w:val="007B3126"/>
    <w:rsid w:val="007B4D1E"/>
    <w:rsid w:val="007B7204"/>
    <w:rsid w:val="007C263F"/>
    <w:rsid w:val="007C2F86"/>
    <w:rsid w:val="007C3551"/>
    <w:rsid w:val="007C3B1B"/>
    <w:rsid w:val="007C4108"/>
    <w:rsid w:val="007C7F64"/>
    <w:rsid w:val="007D5FA2"/>
    <w:rsid w:val="007D6881"/>
    <w:rsid w:val="007E03E5"/>
    <w:rsid w:val="007E5DAA"/>
    <w:rsid w:val="007F327F"/>
    <w:rsid w:val="007F3C7A"/>
    <w:rsid w:val="007F63BD"/>
    <w:rsid w:val="007F7EE5"/>
    <w:rsid w:val="007F7FCD"/>
    <w:rsid w:val="008036BB"/>
    <w:rsid w:val="0080674A"/>
    <w:rsid w:val="00811A2F"/>
    <w:rsid w:val="00812369"/>
    <w:rsid w:val="00813C6D"/>
    <w:rsid w:val="00816285"/>
    <w:rsid w:val="00821491"/>
    <w:rsid w:val="00823044"/>
    <w:rsid w:val="008239CE"/>
    <w:rsid w:val="00824E65"/>
    <w:rsid w:val="008272A8"/>
    <w:rsid w:val="00830743"/>
    <w:rsid w:val="008325EE"/>
    <w:rsid w:val="008344FD"/>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6514"/>
    <w:rsid w:val="0087685F"/>
    <w:rsid w:val="00876E9B"/>
    <w:rsid w:val="00877D35"/>
    <w:rsid w:val="00890541"/>
    <w:rsid w:val="00896EDF"/>
    <w:rsid w:val="00897F74"/>
    <w:rsid w:val="008A2EA4"/>
    <w:rsid w:val="008A3786"/>
    <w:rsid w:val="008A5E3E"/>
    <w:rsid w:val="008B02C0"/>
    <w:rsid w:val="008B241F"/>
    <w:rsid w:val="008B4FC7"/>
    <w:rsid w:val="008C0A81"/>
    <w:rsid w:val="008C294A"/>
    <w:rsid w:val="008C564D"/>
    <w:rsid w:val="008C6F8E"/>
    <w:rsid w:val="008D0BE6"/>
    <w:rsid w:val="008D0E14"/>
    <w:rsid w:val="008D0F9C"/>
    <w:rsid w:val="008D2804"/>
    <w:rsid w:val="008D5A69"/>
    <w:rsid w:val="008D6492"/>
    <w:rsid w:val="008D79D6"/>
    <w:rsid w:val="008E11C1"/>
    <w:rsid w:val="008E1CB4"/>
    <w:rsid w:val="008E27B4"/>
    <w:rsid w:val="008E282A"/>
    <w:rsid w:val="008E416A"/>
    <w:rsid w:val="008F6981"/>
    <w:rsid w:val="00902B5D"/>
    <w:rsid w:val="00903154"/>
    <w:rsid w:val="00903DE0"/>
    <w:rsid w:val="00904B70"/>
    <w:rsid w:val="0090751E"/>
    <w:rsid w:val="009075DA"/>
    <w:rsid w:val="00910140"/>
    <w:rsid w:val="009101A4"/>
    <w:rsid w:val="00910B40"/>
    <w:rsid w:val="009129F7"/>
    <w:rsid w:val="00913852"/>
    <w:rsid w:val="00913DB8"/>
    <w:rsid w:val="00916D50"/>
    <w:rsid w:val="009211C4"/>
    <w:rsid w:val="009236BF"/>
    <w:rsid w:val="00925F38"/>
    <w:rsid w:val="00931D26"/>
    <w:rsid w:val="00935846"/>
    <w:rsid w:val="009362B8"/>
    <w:rsid w:val="009375A4"/>
    <w:rsid w:val="00937CB0"/>
    <w:rsid w:val="00950639"/>
    <w:rsid w:val="00954C80"/>
    <w:rsid w:val="009558A7"/>
    <w:rsid w:val="00962DA3"/>
    <w:rsid w:val="00962EED"/>
    <w:rsid w:val="00963954"/>
    <w:rsid w:val="0096776A"/>
    <w:rsid w:val="009703C9"/>
    <w:rsid w:val="009753C0"/>
    <w:rsid w:val="009757F3"/>
    <w:rsid w:val="00976F0F"/>
    <w:rsid w:val="0098015F"/>
    <w:rsid w:val="00986A53"/>
    <w:rsid w:val="009926EB"/>
    <w:rsid w:val="009979D8"/>
    <w:rsid w:val="009A0D7F"/>
    <w:rsid w:val="009A124E"/>
    <w:rsid w:val="009A5A7F"/>
    <w:rsid w:val="009B0128"/>
    <w:rsid w:val="009B0BDA"/>
    <w:rsid w:val="009B18C4"/>
    <w:rsid w:val="009B1CCF"/>
    <w:rsid w:val="009B6797"/>
    <w:rsid w:val="009B6AEB"/>
    <w:rsid w:val="009C3242"/>
    <w:rsid w:val="009C3EC2"/>
    <w:rsid w:val="009C4A1C"/>
    <w:rsid w:val="009C66BD"/>
    <w:rsid w:val="009D0731"/>
    <w:rsid w:val="009D1AB7"/>
    <w:rsid w:val="009D21DD"/>
    <w:rsid w:val="009D3236"/>
    <w:rsid w:val="009D34D7"/>
    <w:rsid w:val="009E1C83"/>
    <w:rsid w:val="009E2CB1"/>
    <w:rsid w:val="009F09EF"/>
    <w:rsid w:val="009F5FC4"/>
    <w:rsid w:val="009F7BAB"/>
    <w:rsid w:val="00A00CAA"/>
    <w:rsid w:val="00A05E78"/>
    <w:rsid w:val="00A06C0A"/>
    <w:rsid w:val="00A077DA"/>
    <w:rsid w:val="00A11865"/>
    <w:rsid w:val="00A15248"/>
    <w:rsid w:val="00A1544A"/>
    <w:rsid w:val="00A1692B"/>
    <w:rsid w:val="00A17F96"/>
    <w:rsid w:val="00A214C6"/>
    <w:rsid w:val="00A229F0"/>
    <w:rsid w:val="00A25AB6"/>
    <w:rsid w:val="00A25C41"/>
    <w:rsid w:val="00A267BC"/>
    <w:rsid w:val="00A3545A"/>
    <w:rsid w:val="00A36DEA"/>
    <w:rsid w:val="00A44AD0"/>
    <w:rsid w:val="00A464DC"/>
    <w:rsid w:val="00A47815"/>
    <w:rsid w:val="00A54711"/>
    <w:rsid w:val="00A547AE"/>
    <w:rsid w:val="00A54E38"/>
    <w:rsid w:val="00A55468"/>
    <w:rsid w:val="00A55F2F"/>
    <w:rsid w:val="00A569E4"/>
    <w:rsid w:val="00A7396F"/>
    <w:rsid w:val="00A75CD7"/>
    <w:rsid w:val="00A77A3C"/>
    <w:rsid w:val="00A809DF"/>
    <w:rsid w:val="00A824AF"/>
    <w:rsid w:val="00A8273F"/>
    <w:rsid w:val="00A8336A"/>
    <w:rsid w:val="00A86A03"/>
    <w:rsid w:val="00A922FD"/>
    <w:rsid w:val="00A92C9E"/>
    <w:rsid w:val="00A9377C"/>
    <w:rsid w:val="00AA252A"/>
    <w:rsid w:val="00AA265D"/>
    <w:rsid w:val="00AA3683"/>
    <w:rsid w:val="00AA45EC"/>
    <w:rsid w:val="00AA5B82"/>
    <w:rsid w:val="00AA6AD5"/>
    <w:rsid w:val="00AA79C4"/>
    <w:rsid w:val="00AB35BE"/>
    <w:rsid w:val="00AB369C"/>
    <w:rsid w:val="00AB620D"/>
    <w:rsid w:val="00AC4CEF"/>
    <w:rsid w:val="00AC73C8"/>
    <w:rsid w:val="00AD0185"/>
    <w:rsid w:val="00AD0360"/>
    <w:rsid w:val="00AD45FC"/>
    <w:rsid w:val="00AE16BD"/>
    <w:rsid w:val="00AE4EB4"/>
    <w:rsid w:val="00AE522A"/>
    <w:rsid w:val="00AF04F4"/>
    <w:rsid w:val="00AF1A8C"/>
    <w:rsid w:val="00AF2955"/>
    <w:rsid w:val="00AF35EB"/>
    <w:rsid w:val="00AF6AD7"/>
    <w:rsid w:val="00B00CBF"/>
    <w:rsid w:val="00B02CE4"/>
    <w:rsid w:val="00B0316F"/>
    <w:rsid w:val="00B069AF"/>
    <w:rsid w:val="00B06CA1"/>
    <w:rsid w:val="00B07323"/>
    <w:rsid w:val="00B12C5F"/>
    <w:rsid w:val="00B166E3"/>
    <w:rsid w:val="00B23981"/>
    <w:rsid w:val="00B24F56"/>
    <w:rsid w:val="00B25D2D"/>
    <w:rsid w:val="00B26F81"/>
    <w:rsid w:val="00B27794"/>
    <w:rsid w:val="00B27D04"/>
    <w:rsid w:val="00B30941"/>
    <w:rsid w:val="00B335D6"/>
    <w:rsid w:val="00B44E2C"/>
    <w:rsid w:val="00B5055F"/>
    <w:rsid w:val="00B52358"/>
    <w:rsid w:val="00B55A93"/>
    <w:rsid w:val="00B56E1B"/>
    <w:rsid w:val="00B62EDB"/>
    <w:rsid w:val="00B6340B"/>
    <w:rsid w:val="00B63699"/>
    <w:rsid w:val="00B65FFD"/>
    <w:rsid w:val="00B713DE"/>
    <w:rsid w:val="00B72F45"/>
    <w:rsid w:val="00B73AED"/>
    <w:rsid w:val="00B7557F"/>
    <w:rsid w:val="00B80934"/>
    <w:rsid w:val="00B8520F"/>
    <w:rsid w:val="00B908C9"/>
    <w:rsid w:val="00B9333E"/>
    <w:rsid w:val="00B93BD0"/>
    <w:rsid w:val="00B949AD"/>
    <w:rsid w:val="00B958E7"/>
    <w:rsid w:val="00BA240A"/>
    <w:rsid w:val="00BA3568"/>
    <w:rsid w:val="00BA45FE"/>
    <w:rsid w:val="00BA52B0"/>
    <w:rsid w:val="00BA56E2"/>
    <w:rsid w:val="00BA7CBD"/>
    <w:rsid w:val="00BB03BE"/>
    <w:rsid w:val="00BC0F23"/>
    <w:rsid w:val="00BC7555"/>
    <w:rsid w:val="00BD0A4B"/>
    <w:rsid w:val="00BD2520"/>
    <w:rsid w:val="00BD3278"/>
    <w:rsid w:val="00BD4CC6"/>
    <w:rsid w:val="00BD5F83"/>
    <w:rsid w:val="00BD6631"/>
    <w:rsid w:val="00BE02A5"/>
    <w:rsid w:val="00BE1FC9"/>
    <w:rsid w:val="00BE2803"/>
    <w:rsid w:val="00BE6021"/>
    <w:rsid w:val="00BF0265"/>
    <w:rsid w:val="00BF07F1"/>
    <w:rsid w:val="00BF0B00"/>
    <w:rsid w:val="00BF291C"/>
    <w:rsid w:val="00BF49E0"/>
    <w:rsid w:val="00C03EC3"/>
    <w:rsid w:val="00C100C9"/>
    <w:rsid w:val="00C117C2"/>
    <w:rsid w:val="00C11C1B"/>
    <w:rsid w:val="00C16F28"/>
    <w:rsid w:val="00C20B0B"/>
    <w:rsid w:val="00C219A5"/>
    <w:rsid w:val="00C229D8"/>
    <w:rsid w:val="00C2428C"/>
    <w:rsid w:val="00C2502C"/>
    <w:rsid w:val="00C25666"/>
    <w:rsid w:val="00C25D26"/>
    <w:rsid w:val="00C321CC"/>
    <w:rsid w:val="00C4152D"/>
    <w:rsid w:val="00C430CD"/>
    <w:rsid w:val="00C4446E"/>
    <w:rsid w:val="00C47720"/>
    <w:rsid w:val="00C55CF3"/>
    <w:rsid w:val="00C612FD"/>
    <w:rsid w:val="00C62132"/>
    <w:rsid w:val="00C64B14"/>
    <w:rsid w:val="00C657ED"/>
    <w:rsid w:val="00C72163"/>
    <w:rsid w:val="00C749BC"/>
    <w:rsid w:val="00C75DF3"/>
    <w:rsid w:val="00C7753F"/>
    <w:rsid w:val="00C80742"/>
    <w:rsid w:val="00C82D34"/>
    <w:rsid w:val="00C869E8"/>
    <w:rsid w:val="00C86D25"/>
    <w:rsid w:val="00C9095A"/>
    <w:rsid w:val="00C9414E"/>
    <w:rsid w:val="00C950B4"/>
    <w:rsid w:val="00CB08EA"/>
    <w:rsid w:val="00CB0C66"/>
    <w:rsid w:val="00CB2908"/>
    <w:rsid w:val="00CC1A9A"/>
    <w:rsid w:val="00CC236D"/>
    <w:rsid w:val="00CC31C4"/>
    <w:rsid w:val="00CC70CB"/>
    <w:rsid w:val="00CC7E05"/>
    <w:rsid w:val="00CD3CBE"/>
    <w:rsid w:val="00CD615B"/>
    <w:rsid w:val="00CD685D"/>
    <w:rsid w:val="00CE0363"/>
    <w:rsid w:val="00CE03DE"/>
    <w:rsid w:val="00CE49B4"/>
    <w:rsid w:val="00CF101F"/>
    <w:rsid w:val="00CF1452"/>
    <w:rsid w:val="00CF2BE4"/>
    <w:rsid w:val="00CF3254"/>
    <w:rsid w:val="00CF3F2C"/>
    <w:rsid w:val="00CF41C2"/>
    <w:rsid w:val="00CF4A66"/>
    <w:rsid w:val="00CF704F"/>
    <w:rsid w:val="00CF7885"/>
    <w:rsid w:val="00D03C70"/>
    <w:rsid w:val="00D04DB0"/>
    <w:rsid w:val="00D111DF"/>
    <w:rsid w:val="00D15048"/>
    <w:rsid w:val="00D1618E"/>
    <w:rsid w:val="00D16259"/>
    <w:rsid w:val="00D17873"/>
    <w:rsid w:val="00D20874"/>
    <w:rsid w:val="00D22738"/>
    <w:rsid w:val="00D24A27"/>
    <w:rsid w:val="00D252B2"/>
    <w:rsid w:val="00D30DAA"/>
    <w:rsid w:val="00D34BF8"/>
    <w:rsid w:val="00D42D5A"/>
    <w:rsid w:val="00D47918"/>
    <w:rsid w:val="00D51FA5"/>
    <w:rsid w:val="00D553EC"/>
    <w:rsid w:val="00D61B62"/>
    <w:rsid w:val="00D64788"/>
    <w:rsid w:val="00D668AD"/>
    <w:rsid w:val="00D700F0"/>
    <w:rsid w:val="00D71B3A"/>
    <w:rsid w:val="00D727A9"/>
    <w:rsid w:val="00D737DA"/>
    <w:rsid w:val="00D8288E"/>
    <w:rsid w:val="00D94FDC"/>
    <w:rsid w:val="00D96301"/>
    <w:rsid w:val="00DA1392"/>
    <w:rsid w:val="00DA19A0"/>
    <w:rsid w:val="00DA1A77"/>
    <w:rsid w:val="00DA4E06"/>
    <w:rsid w:val="00DB59FD"/>
    <w:rsid w:val="00DB6754"/>
    <w:rsid w:val="00DC4291"/>
    <w:rsid w:val="00DC5BDD"/>
    <w:rsid w:val="00DD0968"/>
    <w:rsid w:val="00DD6F2E"/>
    <w:rsid w:val="00DF0192"/>
    <w:rsid w:val="00DF02C0"/>
    <w:rsid w:val="00DF1AD9"/>
    <w:rsid w:val="00DF4031"/>
    <w:rsid w:val="00DF48D4"/>
    <w:rsid w:val="00DF4EB1"/>
    <w:rsid w:val="00DF6B3C"/>
    <w:rsid w:val="00DF72FD"/>
    <w:rsid w:val="00E06A60"/>
    <w:rsid w:val="00E0730C"/>
    <w:rsid w:val="00E11A1D"/>
    <w:rsid w:val="00E201EE"/>
    <w:rsid w:val="00E2075B"/>
    <w:rsid w:val="00E20DF3"/>
    <w:rsid w:val="00E21D8E"/>
    <w:rsid w:val="00E25CC7"/>
    <w:rsid w:val="00E30610"/>
    <w:rsid w:val="00E30A5D"/>
    <w:rsid w:val="00E31538"/>
    <w:rsid w:val="00E32AED"/>
    <w:rsid w:val="00E36A37"/>
    <w:rsid w:val="00E40C67"/>
    <w:rsid w:val="00E417E3"/>
    <w:rsid w:val="00E42717"/>
    <w:rsid w:val="00E53F87"/>
    <w:rsid w:val="00E54722"/>
    <w:rsid w:val="00E554BA"/>
    <w:rsid w:val="00E55A96"/>
    <w:rsid w:val="00E56D1E"/>
    <w:rsid w:val="00E643ED"/>
    <w:rsid w:val="00E6660F"/>
    <w:rsid w:val="00E7033D"/>
    <w:rsid w:val="00E71440"/>
    <w:rsid w:val="00E73EF8"/>
    <w:rsid w:val="00E77729"/>
    <w:rsid w:val="00E82CF0"/>
    <w:rsid w:val="00E84DF2"/>
    <w:rsid w:val="00E87A1A"/>
    <w:rsid w:val="00E90A56"/>
    <w:rsid w:val="00E913FE"/>
    <w:rsid w:val="00E9381B"/>
    <w:rsid w:val="00EA2C38"/>
    <w:rsid w:val="00EA5056"/>
    <w:rsid w:val="00EA5DC9"/>
    <w:rsid w:val="00EA6114"/>
    <w:rsid w:val="00EB2E3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1EA9"/>
    <w:rsid w:val="00EF5177"/>
    <w:rsid w:val="00F04E22"/>
    <w:rsid w:val="00F05755"/>
    <w:rsid w:val="00F111A2"/>
    <w:rsid w:val="00F13432"/>
    <w:rsid w:val="00F13E8E"/>
    <w:rsid w:val="00F21285"/>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56F5E"/>
    <w:rsid w:val="00F63C45"/>
    <w:rsid w:val="00F65523"/>
    <w:rsid w:val="00F6664A"/>
    <w:rsid w:val="00F67744"/>
    <w:rsid w:val="00F70158"/>
    <w:rsid w:val="00F71D80"/>
    <w:rsid w:val="00F71E6A"/>
    <w:rsid w:val="00F735B0"/>
    <w:rsid w:val="00F814E9"/>
    <w:rsid w:val="00F81C0B"/>
    <w:rsid w:val="00F871E9"/>
    <w:rsid w:val="00F91EBF"/>
    <w:rsid w:val="00F91F71"/>
    <w:rsid w:val="00F95BCF"/>
    <w:rsid w:val="00FA4A52"/>
    <w:rsid w:val="00FA546C"/>
    <w:rsid w:val="00FA7282"/>
    <w:rsid w:val="00FB729A"/>
    <w:rsid w:val="00FB7881"/>
    <w:rsid w:val="00FC3E30"/>
    <w:rsid w:val="00FC55AB"/>
    <w:rsid w:val="00FC74B1"/>
    <w:rsid w:val="00FD12A3"/>
    <w:rsid w:val="00FD2B53"/>
    <w:rsid w:val="00FD3D14"/>
    <w:rsid w:val="00FD40F2"/>
    <w:rsid w:val="00FD690A"/>
    <w:rsid w:val="00FE1E64"/>
    <w:rsid w:val="00FE6F2D"/>
    <w:rsid w:val="00FF451A"/>
    <w:rsid w:val="00FF51E5"/>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3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basedOn w:val="DefaultParagraphFont"/>
    <w:rsid w:val="006B3211"/>
    <w:rPr>
      <w:color w:val="605E5C"/>
      <w:shd w:val="clear" w:color="auto" w:fill="E1DFDD"/>
    </w:rPr>
  </w:style>
  <w:style w:type="character" w:customStyle="1" w:styleId="UnresolvedMention">
    <w:name w:val="Unresolved Mention"/>
    <w:basedOn w:val="DefaultParagraphFont"/>
    <w:uiPriority w:val="99"/>
    <w:semiHidden/>
    <w:unhideWhenUsed/>
    <w:rsid w:val="00AB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wilson@fcc.gov" TargetMode="External" /><Relationship Id="rId12" Type="http://schemas.openxmlformats.org/officeDocument/2006/relationships/hyperlink" Target="mailto:john.visclosky@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81831726366/SCP-APB%20Sec%20214%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