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833EC9" w14:paraId="4E077789" w14:textId="77777777">
      <w:pPr>
        <w:jc w:val="center"/>
        <w:rPr>
          <w:b/>
          <w:szCs w:val="22"/>
        </w:rPr>
      </w:pPr>
      <w:r w:rsidRPr="00833EC9">
        <w:rPr>
          <w:b/>
          <w:kern w:val="0"/>
          <w:szCs w:val="22"/>
        </w:rPr>
        <w:t>Before</w:t>
      </w:r>
      <w:r w:rsidRPr="00833EC9">
        <w:rPr>
          <w:b/>
          <w:szCs w:val="22"/>
        </w:rPr>
        <w:t xml:space="preserve"> the</w:t>
      </w:r>
    </w:p>
    <w:p w:rsidR="00921803" w:rsidRPr="00833EC9" w:rsidP="00921803" w14:paraId="0F81AFDE" w14:textId="77777777">
      <w:pPr>
        <w:pStyle w:val="StyleBoldCentered"/>
        <w:rPr>
          <w:rFonts w:ascii="Times New Roman" w:hAnsi="Times New Roman"/>
        </w:rPr>
      </w:pPr>
      <w:r w:rsidRPr="00833EC9">
        <w:rPr>
          <w:rFonts w:ascii="Times New Roman" w:hAnsi="Times New Roman"/>
        </w:rPr>
        <w:t>F</w:t>
      </w:r>
      <w:r w:rsidRPr="00833EC9">
        <w:rPr>
          <w:rFonts w:ascii="Times New Roman" w:hAnsi="Times New Roman"/>
          <w:caps w:val="0"/>
        </w:rPr>
        <w:t>ederal Communications Commission</w:t>
      </w:r>
    </w:p>
    <w:p w:rsidR="004C2EE3" w:rsidRPr="00833EC9" w:rsidP="00096D8C" w14:paraId="7D449D1B" w14:textId="77777777">
      <w:pPr>
        <w:pStyle w:val="StyleBoldCentered"/>
        <w:rPr>
          <w:rFonts w:ascii="Times New Roman" w:hAnsi="Times New Roman"/>
        </w:rPr>
      </w:pPr>
      <w:r w:rsidRPr="00833EC9">
        <w:rPr>
          <w:rFonts w:ascii="Times New Roman" w:hAnsi="Times New Roman"/>
          <w:caps w:val="0"/>
        </w:rPr>
        <w:t>Washington, D.C. 20554</w:t>
      </w:r>
    </w:p>
    <w:p w:rsidR="004C2EE3" w:rsidRPr="00833EC9" w:rsidP="0070224F" w14:paraId="4C4BFD42" w14:textId="77777777">
      <w:pPr>
        <w:rPr>
          <w:szCs w:val="22"/>
        </w:rPr>
      </w:pPr>
    </w:p>
    <w:p w:rsidR="004C2EE3" w:rsidRPr="00833EC9" w:rsidP="0070224F" w14:paraId="1A3FAEE9" w14:textId="77777777">
      <w:pPr>
        <w:rPr>
          <w:szCs w:val="22"/>
        </w:rPr>
      </w:pPr>
    </w:p>
    <w:tbl>
      <w:tblPr>
        <w:tblW w:w="0" w:type="auto"/>
        <w:tblLayout w:type="fixed"/>
        <w:tblLook w:val="0000"/>
      </w:tblPr>
      <w:tblGrid>
        <w:gridCol w:w="4698"/>
        <w:gridCol w:w="630"/>
        <w:gridCol w:w="4248"/>
      </w:tblGrid>
      <w:tr w14:paraId="24E727D9" w14:textId="77777777">
        <w:tblPrEx>
          <w:tblW w:w="0" w:type="auto"/>
          <w:tblLayout w:type="fixed"/>
          <w:tblLook w:val="0000"/>
        </w:tblPrEx>
        <w:tc>
          <w:tcPr>
            <w:tcW w:w="4698" w:type="dxa"/>
          </w:tcPr>
          <w:p w:rsidR="004C2EE3" w:rsidRPr="00833EC9" w14:paraId="1825E3A2" w14:textId="77777777">
            <w:pPr>
              <w:tabs>
                <w:tab w:val="center" w:pos="4680"/>
              </w:tabs>
              <w:suppressAutoHyphens/>
              <w:rPr>
                <w:spacing w:val="-2"/>
                <w:szCs w:val="22"/>
              </w:rPr>
            </w:pPr>
            <w:r w:rsidRPr="00833EC9">
              <w:rPr>
                <w:spacing w:val="-2"/>
                <w:szCs w:val="22"/>
              </w:rPr>
              <w:t>In the Matter of</w:t>
            </w:r>
          </w:p>
          <w:p w:rsidR="004C2EE3" w:rsidRPr="00833EC9" w14:paraId="009A802B" w14:textId="77777777">
            <w:pPr>
              <w:tabs>
                <w:tab w:val="center" w:pos="4680"/>
              </w:tabs>
              <w:suppressAutoHyphens/>
              <w:rPr>
                <w:spacing w:val="-2"/>
                <w:szCs w:val="22"/>
              </w:rPr>
            </w:pPr>
          </w:p>
          <w:p w:rsidR="00DB4BCD" w:rsidRPr="00833EC9" w:rsidP="00384E8A" w14:paraId="2B758878" w14:textId="43A68CFA">
            <w:pPr>
              <w:tabs>
                <w:tab w:val="center" w:pos="4680"/>
              </w:tabs>
              <w:suppressAutoHyphens/>
              <w:rPr>
                <w:spacing w:val="-2"/>
                <w:szCs w:val="22"/>
              </w:rPr>
            </w:pPr>
            <w:r w:rsidRPr="00833EC9">
              <w:rPr>
                <w:spacing w:val="-2"/>
                <w:szCs w:val="22"/>
              </w:rPr>
              <w:t>Accelerating Wireline Broadband Deployment by</w:t>
            </w:r>
          </w:p>
          <w:p w:rsidR="008E75B0" w:rsidRPr="00833EC9" w:rsidP="00384E8A" w14:paraId="66FD25DA" w14:textId="24B97FAD">
            <w:pPr>
              <w:tabs>
                <w:tab w:val="center" w:pos="4680"/>
              </w:tabs>
              <w:suppressAutoHyphens/>
              <w:rPr>
                <w:spacing w:val="-2"/>
                <w:szCs w:val="22"/>
              </w:rPr>
            </w:pPr>
            <w:r w:rsidRPr="00833EC9">
              <w:rPr>
                <w:spacing w:val="-2"/>
                <w:szCs w:val="22"/>
              </w:rPr>
              <w:t>Removing Barriers to Infrastructure Investment</w:t>
            </w:r>
          </w:p>
        </w:tc>
        <w:tc>
          <w:tcPr>
            <w:tcW w:w="630" w:type="dxa"/>
          </w:tcPr>
          <w:p w:rsidR="004C2EE3" w:rsidRPr="00833EC9" w14:paraId="18A1FF8E" w14:textId="77777777">
            <w:pPr>
              <w:tabs>
                <w:tab w:val="center" w:pos="4680"/>
              </w:tabs>
              <w:suppressAutoHyphens/>
              <w:rPr>
                <w:b/>
                <w:spacing w:val="-2"/>
                <w:szCs w:val="22"/>
              </w:rPr>
            </w:pPr>
            <w:r w:rsidRPr="00833EC9">
              <w:rPr>
                <w:b/>
                <w:spacing w:val="-2"/>
                <w:szCs w:val="22"/>
              </w:rPr>
              <w:t>)</w:t>
            </w:r>
          </w:p>
          <w:p w:rsidR="004C2EE3" w:rsidRPr="00833EC9" w14:paraId="19D59885" w14:textId="77777777">
            <w:pPr>
              <w:tabs>
                <w:tab w:val="center" w:pos="4680"/>
              </w:tabs>
              <w:suppressAutoHyphens/>
              <w:rPr>
                <w:b/>
                <w:spacing w:val="-2"/>
                <w:szCs w:val="22"/>
              </w:rPr>
            </w:pPr>
            <w:r w:rsidRPr="00833EC9">
              <w:rPr>
                <w:b/>
                <w:spacing w:val="-2"/>
                <w:szCs w:val="22"/>
              </w:rPr>
              <w:t>)</w:t>
            </w:r>
          </w:p>
          <w:p w:rsidR="004C2EE3" w:rsidRPr="00833EC9" w14:paraId="3248E70E" w14:textId="77777777">
            <w:pPr>
              <w:tabs>
                <w:tab w:val="center" w:pos="4680"/>
              </w:tabs>
              <w:suppressAutoHyphens/>
              <w:rPr>
                <w:b/>
                <w:spacing w:val="-2"/>
                <w:szCs w:val="22"/>
              </w:rPr>
            </w:pPr>
            <w:r w:rsidRPr="00833EC9">
              <w:rPr>
                <w:b/>
                <w:spacing w:val="-2"/>
                <w:szCs w:val="22"/>
              </w:rPr>
              <w:t>)</w:t>
            </w:r>
          </w:p>
          <w:p w:rsidR="004C2EE3" w:rsidRPr="00833EC9" w14:paraId="09D48875" w14:textId="561122D7">
            <w:pPr>
              <w:tabs>
                <w:tab w:val="center" w:pos="4680"/>
              </w:tabs>
              <w:suppressAutoHyphens/>
              <w:rPr>
                <w:b/>
                <w:spacing w:val="-2"/>
                <w:szCs w:val="22"/>
              </w:rPr>
            </w:pPr>
            <w:r w:rsidRPr="00833EC9">
              <w:rPr>
                <w:b/>
                <w:spacing w:val="-2"/>
                <w:szCs w:val="22"/>
              </w:rPr>
              <w:t>)</w:t>
            </w:r>
          </w:p>
          <w:p w:rsidR="004C2EE3" w:rsidRPr="00833EC9" w:rsidP="00DB4BCD" w14:paraId="3983B2BE" w14:textId="77777777">
            <w:pPr>
              <w:tabs>
                <w:tab w:val="center" w:pos="4680"/>
              </w:tabs>
              <w:suppressAutoHyphens/>
              <w:rPr>
                <w:spacing w:val="-2"/>
                <w:szCs w:val="22"/>
              </w:rPr>
            </w:pPr>
          </w:p>
        </w:tc>
        <w:tc>
          <w:tcPr>
            <w:tcW w:w="4248" w:type="dxa"/>
          </w:tcPr>
          <w:p w:rsidR="004C2EE3" w:rsidRPr="00833EC9" w14:paraId="0C6CEC62" w14:textId="77777777">
            <w:pPr>
              <w:tabs>
                <w:tab w:val="center" w:pos="4680"/>
              </w:tabs>
              <w:suppressAutoHyphens/>
              <w:rPr>
                <w:spacing w:val="-2"/>
                <w:szCs w:val="22"/>
              </w:rPr>
            </w:pPr>
          </w:p>
          <w:p w:rsidR="004C2EE3" w:rsidRPr="00833EC9" w14:paraId="49B51869" w14:textId="77777777">
            <w:pPr>
              <w:pStyle w:val="TOAHeading"/>
              <w:tabs>
                <w:tab w:val="center" w:pos="4680"/>
                <w:tab w:val="clear" w:pos="9360"/>
              </w:tabs>
              <w:rPr>
                <w:spacing w:val="-2"/>
                <w:szCs w:val="22"/>
              </w:rPr>
            </w:pPr>
          </w:p>
          <w:p w:rsidR="00DB4BCD" w:rsidRPr="00833EC9" w:rsidP="00384E8A" w14:paraId="2B48DA30" w14:textId="619797CA">
            <w:pPr>
              <w:tabs>
                <w:tab w:val="center" w:pos="4680"/>
              </w:tabs>
              <w:suppressAutoHyphens/>
              <w:rPr>
                <w:spacing w:val="-2"/>
                <w:szCs w:val="22"/>
              </w:rPr>
            </w:pPr>
            <w:r w:rsidRPr="00833EC9">
              <w:rPr>
                <w:spacing w:val="-2"/>
                <w:szCs w:val="22"/>
              </w:rPr>
              <w:t>WC Docket No. 1</w:t>
            </w:r>
            <w:r w:rsidRPr="00833EC9" w:rsidR="00384E8A">
              <w:rPr>
                <w:spacing w:val="-2"/>
                <w:szCs w:val="22"/>
              </w:rPr>
              <w:t>7</w:t>
            </w:r>
            <w:r w:rsidRPr="00833EC9">
              <w:rPr>
                <w:spacing w:val="-2"/>
                <w:szCs w:val="22"/>
              </w:rPr>
              <w:t>-</w:t>
            </w:r>
            <w:r w:rsidRPr="00833EC9" w:rsidR="00384E8A">
              <w:rPr>
                <w:spacing w:val="-2"/>
                <w:szCs w:val="22"/>
              </w:rPr>
              <w:t>84</w:t>
            </w:r>
          </w:p>
        </w:tc>
      </w:tr>
    </w:tbl>
    <w:p w:rsidR="004C2EE3" w:rsidRPr="00833EC9" w:rsidP="0070224F" w14:paraId="52F08374" w14:textId="77777777">
      <w:pPr>
        <w:rPr>
          <w:szCs w:val="22"/>
        </w:rPr>
      </w:pPr>
    </w:p>
    <w:p w:rsidR="008F39AD" w:rsidRPr="00833EC9" w:rsidP="00384E8A" w14:paraId="57744B47" w14:textId="4B9A1DA5">
      <w:pPr>
        <w:pStyle w:val="StyleBoldCentered"/>
        <w:rPr>
          <w:rFonts w:ascii="Times New Roman" w:hAnsi="Times New Roman"/>
          <w:spacing w:val="-2"/>
        </w:rPr>
      </w:pPr>
      <w:r w:rsidRPr="00833EC9">
        <w:rPr>
          <w:rFonts w:ascii="Times New Roman" w:hAnsi="Times New Roman"/>
        </w:rPr>
        <w:t>ORDER</w:t>
      </w:r>
      <w:r w:rsidRPr="00833EC9" w:rsidR="005D2D4A">
        <w:rPr>
          <w:rFonts w:ascii="Times New Roman" w:hAnsi="Times New Roman"/>
        </w:rPr>
        <w:t xml:space="preserve"> Granting </w:t>
      </w:r>
      <w:r w:rsidRPr="00833EC9" w:rsidR="0088221B">
        <w:rPr>
          <w:rFonts w:ascii="Times New Roman" w:hAnsi="Times New Roman"/>
        </w:rPr>
        <w:t>extension of time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5"/>
        <w:gridCol w:w="5845"/>
      </w:tblGrid>
      <w:tr w14:paraId="6A668DA0" w14:textId="77777777" w:rsidTr="1D4652CE">
        <w:tblPrEx>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505" w:type="dxa"/>
          </w:tcPr>
          <w:p w:rsidR="00D748E0" w:rsidRPr="00833EC9" w:rsidP="00133F79" w14:paraId="2378D43D" w14:textId="4D3CB1F2">
            <w:pPr>
              <w:tabs>
                <w:tab w:val="left" w:pos="720"/>
                <w:tab w:val="right" w:pos="9360"/>
              </w:tabs>
              <w:suppressAutoHyphens/>
              <w:spacing w:line="227" w:lineRule="auto"/>
              <w:rPr>
                <w:b/>
                <w:spacing w:val="-2"/>
                <w:szCs w:val="22"/>
              </w:rPr>
            </w:pPr>
          </w:p>
        </w:tc>
        <w:tc>
          <w:tcPr>
            <w:tcW w:w="5845" w:type="dxa"/>
          </w:tcPr>
          <w:p w:rsidR="00D748E0" w:rsidRPr="00833EC9" w:rsidP="00133F79" w14:paraId="6D72DBC9" w14:textId="42302D0A">
            <w:pPr>
              <w:tabs>
                <w:tab w:val="left" w:pos="720"/>
                <w:tab w:val="right" w:pos="9360"/>
              </w:tabs>
              <w:suppressAutoHyphens/>
              <w:spacing w:line="227" w:lineRule="auto"/>
              <w:rPr>
                <w:b/>
                <w:spacing w:val="-2"/>
                <w:szCs w:val="22"/>
              </w:rPr>
            </w:pPr>
          </w:p>
        </w:tc>
      </w:tr>
    </w:tbl>
    <w:p w:rsidR="004C2EE3" w:rsidRPr="00833EC9" w:rsidP="00133F79" w14:paraId="4F5B7907" w14:textId="7CE60CC6">
      <w:pPr>
        <w:tabs>
          <w:tab w:val="left" w:pos="720"/>
          <w:tab w:val="right" w:pos="9360"/>
        </w:tabs>
        <w:suppressAutoHyphens/>
        <w:spacing w:line="227" w:lineRule="auto"/>
        <w:rPr>
          <w:spacing w:val="-2"/>
          <w:szCs w:val="22"/>
        </w:rPr>
      </w:pPr>
      <w:r w:rsidRPr="00833EC9">
        <w:rPr>
          <w:b/>
          <w:spacing w:val="-2"/>
          <w:szCs w:val="22"/>
        </w:rPr>
        <w:t xml:space="preserve">Adopted:  </w:t>
      </w:r>
      <w:r w:rsidRPr="00833EC9" w:rsidR="00384E8A">
        <w:rPr>
          <w:b/>
          <w:spacing w:val="-2"/>
          <w:szCs w:val="22"/>
        </w:rPr>
        <w:t xml:space="preserve">September </w:t>
      </w:r>
      <w:r w:rsidR="00947970">
        <w:rPr>
          <w:b/>
          <w:spacing w:val="-2"/>
          <w:szCs w:val="22"/>
        </w:rPr>
        <w:t>2</w:t>
      </w:r>
      <w:r w:rsidRPr="00833EC9" w:rsidR="007311D7">
        <w:rPr>
          <w:b/>
          <w:spacing w:val="-2"/>
          <w:szCs w:val="22"/>
        </w:rPr>
        <w:t>, 2021</w:t>
      </w:r>
      <w:r w:rsidRPr="00833EC9">
        <w:rPr>
          <w:b/>
          <w:spacing w:val="-2"/>
          <w:szCs w:val="22"/>
        </w:rPr>
        <w:tab/>
      </w:r>
      <w:r w:rsidRPr="00833EC9" w:rsidR="00822CE0">
        <w:rPr>
          <w:b/>
          <w:spacing w:val="-2"/>
          <w:szCs w:val="22"/>
        </w:rPr>
        <w:t>Released</w:t>
      </w:r>
      <w:r w:rsidRPr="00833EC9">
        <w:rPr>
          <w:b/>
          <w:spacing w:val="-2"/>
          <w:szCs w:val="22"/>
        </w:rPr>
        <w:t>:</w:t>
      </w:r>
      <w:r w:rsidRPr="00833EC9" w:rsidR="00822CE0">
        <w:rPr>
          <w:b/>
          <w:spacing w:val="-2"/>
          <w:szCs w:val="22"/>
        </w:rPr>
        <w:t xml:space="preserve"> </w:t>
      </w:r>
      <w:r w:rsidRPr="00833EC9">
        <w:rPr>
          <w:b/>
          <w:spacing w:val="-2"/>
          <w:szCs w:val="22"/>
        </w:rPr>
        <w:t xml:space="preserve"> </w:t>
      </w:r>
      <w:r w:rsidRPr="00833EC9" w:rsidR="00384E8A">
        <w:rPr>
          <w:b/>
          <w:spacing w:val="-2"/>
          <w:szCs w:val="22"/>
        </w:rPr>
        <w:t xml:space="preserve">September </w:t>
      </w:r>
      <w:r w:rsidR="00947970">
        <w:rPr>
          <w:b/>
          <w:spacing w:val="-2"/>
          <w:szCs w:val="22"/>
        </w:rPr>
        <w:t>2</w:t>
      </w:r>
      <w:r w:rsidRPr="00833EC9" w:rsidR="007311D7">
        <w:rPr>
          <w:b/>
          <w:spacing w:val="-2"/>
          <w:szCs w:val="22"/>
        </w:rPr>
        <w:t>, 2021</w:t>
      </w:r>
    </w:p>
    <w:p w:rsidR="00822CE0" w14:paraId="033EE846" w14:textId="381D5E94">
      <w:pPr>
        <w:rPr>
          <w:szCs w:val="22"/>
        </w:rPr>
      </w:pPr>
    </w:p>
    <w:p w:rsidR="007E334D" w14:paraId="40F10978" w14:textId="494CBF79">
      <w:pPr>
        <w:rPr>
          <w:b/>
          <w:spacing w:val="-2"/>
          <w:szCs w:val="22"/>
        </w:rPr>
      </w:pPr>
      <w:r w:rsidRPr="00833EC9">
        <w:rPr>
          <w:b/>
          <w:spacing w:val="-2"/>
          <w:szCs w:val="22"/>
        </w:rPr>
        <w:t>Reply Comment Date:</w:t>
      </w:r>
      <w:r>
        <w:rPr>
          <w:b/>
          <w:spacing w:val="-2"/>
          <w:szCs w:val="22"/>
        </w:rPr>
        <w:t xml:space="preserve"> </w:t>
      </w:r>
      <w:r w:rsidR="00C43497">
        <w:rPr>
          <w:b/>
          <w:spacing w:val="-2"/>
          <w:szCs w:val="22"/>
        </w:rPr>
        <w:t xml:space="preserve"> </w:t>
      </w:r>
      <w:r>
        <w:rPr>
          <w:b/>
          <w:spacing w:val="-2"/>
          <w:szCs w:val="22"/>
        </w:rPr>
        <w:t>September 10, 2021</w:t>
      </w:r>
    </w:p>
    <w:p w:rsidR="00D1657C" w:rsidRPr="00833EC9" w14:paraId="0045E8C5" w14:textId="77777777">
      <w:pPr>
        <w:rPr>
          <w:szCs w:val="22"/>
        </w:rPr>
      </w:pPr>
    </w:p>
    <w:p w:rsidR="004C2EE3" w:rsidRPr="00833EC9" w14:paraId="1F61857F" w14:textId="0FC87DC3">
      <w:pPr>
        <w:rPr>
          <w:szCs w:val="22"/>
        </w:rPr>
      </w:pPr>
      <w:r w:rsidRPr="00833EC9">
        <w:rPr>
          <w:szCs w:val="22"/>
        </w:rPr>
        <w:t xml:space="preserve">By </w:t>
      </w:r>
      <w:r w:rsidRPr="00833EC9" w:rsidR="6E14E265">
        <w:rPr>
          <w:szCs w:val="22"/>
        </w:rPr>
        <w:t>the</w:t>
      </w:r>
      <w:r w:rsidRPr="00833EC9" w:rsidR="0676AFBE">
        <w:rPr>
          <w:szCs w:val="22"/>
        </w:rPr>
        <w:t xml:space="preserve"> </w:t>
      </w:r>
      <w:r w:rsidRPr="00833EC9" w:rsidR="220A1219">
        <w:rPr>
          <w:szCs w:val="22"/>
        </w:rPr>
        <w:t>Ch</w:t>
      </w:r>
      <w:r w:rsidRPr="00833EC9" w:rsidR="00384E8A">
        <w:rPr>
          <w:szCs w:val="22"/>
        </w:rPr>
        <w:t>ief</w:t>
      </w:r>
      <w:r w:rsidRPr="00833EC9" w:rsidR="11A9686D">
        <w:rPr>
          <w:szCs w:val="22"/>
        </w:rPr>
        <w:t xml:space="preserve">, </w:t>
      </w:r>
      <w:r w:rsidRPr="00833EC9" w:rsidR="00384E8A">
        <w:rPr>
          <w:szCs w:val="22"/>
        </w:rPr>
        <w:t>Wireline Competition Bureau</w:t>
      </w:r>
    </w:p>
    <w:p w:rsidR="00822CE0" w:rsidRPr="00833EC9" w14:paraId="7B4B183A" w14:textId="77777777">
      <w:pPr>
        <w:rPr>
          <w:spacing w:val="-2"/>
          <w:szCs w:val="22"/>
        </w:rPr>
      </w:pPr>
    </w:p>
    <w:p w:rsidR="792F4D9D" w:rsidRPr="00833EC9" w:rsidP="1D4652CE" w14:paraId="0AED57AB" w14:textId="6A9B16C1">
      <w:pPr>
        <w:pStyle w:val="ListParagraph"/>
        <w:numPr>
          <w:ilvl w:val="0"/>
          <w:numId w:val="8"/>
        </w:numPr>
        <w:spacing w:after="240"/>
        <w:ind w:left="0" w:firstLine="720"/>
        <w:rPr>
          <w:szCs w:val="22"/>
        </w:rPr>
      </w:pPr>
      <w:r w:rsidRPr="00833EC9">
        <w:rPr>
          <w:szCs w:val="22"/>
        </w:rPr>
        <w:t xml:space="preserve">By </w:t>
      </w:r>
      <w:r w:rsidRPr="00833EC9" w:rsidR="004F41A5">
        <w:rPr>
          <w:szCs w:val="22"/>
        </w:rPr>
        <w:t xml:space="preserve">this Order, the </w:t>
      </w:r>
      <w:r w:rsidRPr="00833EC9">
        <w:rPr>
          <w:szCs w:val="22"/>
        </w:rPr>
        <w:t xml:space="preserve">Wireline Competition </w:t>
      </w:r>
      <w:r w:rsidR="007E334D">
        <w:rPr>
          <w:szCs w:val="22"/>
        </w:rPr>
        <w:t xml:space="preserve">Bureau </w:t>
      </w:r>
      <w:r w:rsidR="007D7D0D">
        <w:rPr>
          <w:szCs w:val="22"/>
        </w:rPr>
        <w:t xml:space="preserve">(WCB) </w:t>
      </w:r>
      <w:r w:rsidRPr="00833EC9" w:rsidR="004F41A5">
        <w:rPr>
          <w:szCs w:val="22"/>
        </w:rPr>
        <w:t>grant</w:t>
      </w:r>
      <w:r w:rsidRPr="00833EC9">
        <w:rPr>
          <w:szCs w:val="22"/>
        </w:rPr>
        <w:t>s</w:t>
      </w:r>
      <w:r w:rsidRPr="00833EC9" w:rsidR="004F41A5">
        <w:rPr>
          <w:szCs w:val="22"/>
        </w:rPr>
        <w:t xml:space="preserve"> a </w:t>
      </w:r>
      <w:r w:rsidR="007D7D0D">
        <w:rPr>
          <w:szCs w:val="22"/>
        </w:rPr>
        <w:t>M</w:t>
      </w:r>
      <w:r w:rsidRPr="00833EC9" w:rsidR="004F41A5">
        <w:rPr>
          <w:szCs w:val="22"/>
        </w:rPr>
        <w:t xml:space="preserve">otion filed by the </w:t>
      </w:r>
      <w:r w:rsidRPr="00833EC9">
        <w:rPr>
          <w:szCs w:val="22"/>
        </w:rPr>
        <w:t xml:space="preserve">Edison Electric Institute (EEI) </w:t>
      </w:r>
      <w:r w:rsidRPr="00833EC9" w:rsidR="4AFA50DD">
        <w:rPr>
          <w:szCs w:val="22"/>
        </w:rPr>
        <w:t>seeking an extension of time to file reply comments in the above-captioned proceeding.</w:t>
      </w:r>
      <w:r>
        <w:rPr>
          <w:rStyle w:val="FootnoteReference"/>
          <w:sz w:val="22"/>
          <w:szCs w:val="22"/>
        </w:rPr>
        <w:footnoteReference w:id="3"/>
      </w:r>
      <w:r w:rsidRPr="00833EC9" w:rsidR="6A301D5A">
        <w:rPr>
          <w:szCs w:val="22"/>
        </w:rPr>
        <w:t xml:space="preserve">  For the reasons stated below, </w:t>
      </w:r>
      <w:r w:rsidR="007D7D0D">
        <w:rPr>
          <w:szCs w:val="22"/>
        </w:rPr>
        <w:t xml:space="preserve">WCB </w:t>
      </w:r>
      <w:r w:rsidRPr="00833EC9" w:rsidR="6A301D5A">
        <w:rPr>
          <w:szCs w:val="22"/>
        </w:rPr>
        <w:t>find</w:t>
      </w:r>
      <w:r w:rsidR="007D7D0D">
        <w:rPr>
          <w:szCs w:val="22"/>
        </w:rPr>
        <w:t>s</w:t>
      </w:r>
      <w:r w:rsidRPr="00833EC9" w:rsidR="6A301D5A">
        <w:rPr>
          <w:szCs w:val="22"/>
        </w:rPr>
        <w:t xml:space="preserve"> that a</w:t>
      </w:r>
      <w:r w:rsidRPr="00833EC9" w:rsidR="007D5E93">
        <w:rPr>
          <w:szCs w:val="22"/>
        </w:rPr>
        <w:t xml:space="preserve"> limited </w:t>
      </w:r>
      <w:r w:rsidRPr="00833EC9" w:rsidR="6A301D5A">
        <w:rPr>
          <w:szCs w:val="22"/>
        </w:rPr>
        <w:t>extension of time is war</w:t>
      </w:r>
      <w:r w:rsidRPr="00833EC9" w:rsidR="7F18E23D">
        <w:rPr>
          <w:szCs w:val="22"/>
        </w:rPr>
        <w:t>ranted and extend</w:t>
      </w:r>
      <w:r w:rsidR="009F4DDD">
        <w:rPr>
          <w:szCs w:val="22"/>
        </w:rPr>
        <w:t>s</w:t>
      </w:r>
      <w:r w:rsidRPr="00833EC9" w:rsidR="7F18E23D">
        <w:rPr>
          <w:szCs w:val="22"/>
        </w:rPr>
        <w:t xml:space="preserve"> the </w:t>
      </w:r>
      <w:r w:rsidRPr="00833EC9" w:rsidR="00FE1969">
        <w:rPr>
          <w:szCs w:val="22"/>
        </w:rPr>
        <w:t xml:space="preserve">reply comment </w:t>
      </w:r>
      <w:r w:rsidRPr="00833EC9" w:rsidR="00C3284C">
        <w:rPr>
          <w:szCs w:val="22"/>
        </w:rPr>
        <w:t>date</w:t>
      </w:r>
      <w:r w:rsidRPr="00833EC9" w:rsidR="004F41A5">
        <w:rPr>
          <w:szCs w:val="22"/>
        </w:rPr>
        <w:t xml:space="preserve"> to September 10, 2021</w:t>
      </w:r>
      <w:r w:rsidRPr="00833EC9" w:rsidR="7F18E23D">
        <w:rPr>
          <w:szCs w:val="22"/>
        </w:rPr>
        <w:t>.</w:t>
      </w:r>
    </w:p>
    <w:p w:rsidR="00080627" w:rsidRPr="00833EC9" w:rsidP="00080627" w14:paraId="4E48F27E" w14:textId="77777777">
      <w:pPr>
        <w:pStyle w:val="ListParagraph"/>
        <w:spacing w:after="240"/>
        <w:rPr>
          <w:szCs w:val="22"/>
        </w:rPr>
      </w:pPr>
    </w:p>
    <w:p w:rsidR="00967868" w:rsidP="00967868" w14:paraId="5F8BAE87" w14:textId="457C84C8">
      <w:pPr>
        <w:pStyle w:val="ListParagraph"/>
        <w:numPr>
          <w:ilvl w:val="0"/>
          <w:numId w:val="8"/>
        </w:numPr>
        <w:spacing w:after="240"/>
        <w:ind w:left="0" w:firstLine="720"/>
        <w:contextualSpacing w:val="0"/>
        <w:rPr>
          <w:szCs w:val="22"/>
        </w:rPr>
      </w:pPr>
      <w:r w:rsidRPr="00833EC9">
        <w:rPr>
          <w:szCs w:val="22"/>
        </w:rPr>
        <w:t xml:space="preserve">On July </w:t>
      </w:r>
      <w:r w:rsidRPr="00833EC9" w:rsidR="009B794B">
        <w:rPr>
          <w:szCs w:val="22"/>
        </w:rPr>
        <w:t>23</w:t>
      </w:r>
      <w:r w:rsidRPr="00833EC9">
        <w:rPr>
          <w:szCs w:val="22"/>
        </w:rPr>
        <w:t xml:space="preserve">, 2021, </w:t>
      </w:r>
      <w:r w:rsidR="007D7D0D">
        <w:rPr>
          <w:szCs w:val="22"/>
        </w:rPr>
        <w:t xml:space="preserve">WCB </w:t>
      </w:r>
      <w:r w:rsidRPr="00833EC9">
        <w:rPr>
          <w:szCs w:val="22"/>
        </w:rPr>
        <w:t>released a</w:t>
      </w:r>
      <w:r w:rsidRPr="00833EC9" w:rsidR="00F1154A">
        <w:rPr>
          <w:szCs w:val="22"/>
        </w:rPr>
        <w:t xml:space="preserve"> </w:t>
      </w:r>
      <w:r w:rsidRPr="00833EC9" w:rsidR="00F1154A">
        <w:rPr>
          <w:i/>
          <w:iCs/>
          <w:szCs w:val="22"/>
        </w:rPr>
        <w:t>Public Notice</w:t>
      </w:r>
      <w:r w:rsidRPr="00833EC9">
        <w:rPr>
          <w:szCs w:val="22"/>
        </w:rPr>
        <w:t xml:space="preserve"> </w:t>
      </w:r>
      <w:r w:rsidRPr="00833EC9" w:rsidR="009B794B">
        <w:rPr>
          <w:szCs w:val="22"/>
        </w:rPr>
        <w:t xml:space="preserve">seeking </w:t>
      </w:r>
      <w:r w:rsidRPr="00833EC9">
        <w:rPr>
          <w:szCs w:val="22"/>
        </w:rPr>
        <w:t xml:space="preserve">comment on </w:t>
      </w:r>
      <w:r w:rsidRPr="00833EC9" w:rsidR="009B794B">
        <w:rPr>
          <w:szCs w:val="22"/>
        </w:rPr>
        <w:t>a petition for declaratory ruling filed by EEI asking the Commission to declare that: (1) when the Commission determines that a pole attachment rate, term, or condition is unjust and unreasonable and orders a refund pursuant to section 1.1407(a)(3) of the Commission’s rules, the “applicable statute of limitations” is the same as the two-year period prescribed by section 415(b) of the Act; and (2) refunds in pole attachment complaint proceedings are not “appropriate” for any period preceding good-faith notice of a dispute.</w:t>
      </w:r>
      <w:r>
        <w:rPr>
          <w:rStyle w:val="FootnoteReference"/>
          <w:sz w:val="22"/>
          <w:szCs w:val="22"/>
        </w:rPr>
        <w:footnoteReference w:id="4"/>
      </w:r>
      <w:r w:rsidRPr="00833EC9" w:rsidR="00CF1FE5">
        <w:rPr>
          <w:szCs w:val="22"/>
        </w:rPr>
        <w:t xml:space="preserve">  The </w:t>
      </w:r>
      <w:r w:rsidRPr="00833EC9" w:rsidR="00CF1FE5">
        <w:rPr>
          <w:i/>
          <w:iCs/>
          <w:szCs w:val="22"/>
        </w:rPr>
        <w:t>Public Notice</w:t>
      </w:r>
      <w:r w:rsidRPr="00833EC9" w:rsidR="00CF1FE5">
        <w:rPr>
          <w:szCs w:val="22"/>
        </w:rPr>
        <w:t xml:space="preserve"> set</w:t>
      </w:r>
      <w:r w:rsidRPr="00833EC9" w:rsidR="009A5B3E">
        <w:rPr>
          <w:szCs w:val="22"/>
        </w:rPr>
        <w:t xml:space="preserve"> deadlines for filing comments and reply comments</w:t>
      </w:r>
      <w:r w:rsidRPr="00833EC9" w:rsidR="00CF1FE5">
        <w:rPr>
          <w:szCs w:val="22"/>
        </w:rPr>
        <w:t xml:space="preserve"> of August 2</w:t>
      </w:r>
      <w:r w:rsidRPr="00833EC9" w:rsidR="009B794B">
        <w:rPr>
          <w:szCs w:val="22"/>
        </w:rPr>
        <w:t>3</w:t>
      </w:r>
      <w:r w:rsidRPr="00833EC9" w:rsidR="00CF1FE5">
        <w:rPr>
          <w:szCs w:val="22"/>
        </w:rPr>
        <w:t>, 2021</w:t>
      </w:r>
      <w:r w:rsidRPr="00833EC9" w:rsidR="008C0C31">
        <w:rPr>
          <w:szCs w:val="22"/>
        </w:rPr>
        <w:t>,</w:t>
      </w:r>
      <w:r w:rsidRPr="00833EC9" w:rsidR="00CF1FE5">
        <w:rPr>
          <w:szCs w:val="22"/>
        </w:rPr>
        <w:t xml:space="preserve"> and September </w:t>
      </w:r>
      <w:r w:rsidRPr="00833EC9" w:rsidR="009B794B">
        <w:rPr>
          <w:szCs w:val="22"/>
        </w:rPr>
        <w:t>7</w:t>
      </w:r>
      <w:r w:rsidRPr="00833EC9" w:rsidR="00CF1FE5">
        <w:rPr>
          <w:szCs w:val="22"/>
        </w:rPr>
        <w:t>, 2021</w:t>
      </w:r>
      <w:r w:rsidRPr="00833EC9" w:rsidR="009A5B3E">
        <w:rPr>
          <w:szCs w:val="22"/>
        </w:rPr>
        <w:t>, respectively</w:t>
      </w:r>
      <w:r w:rsidRPr="00833EC9" w:rsidR="00CF1FE5">
        <w:rPr>
          <w:szCs w:val="22"/>
        </w:rPr>
        <w:t>.</w:t>
      </w:r>
      <w:r w:rsidRPr="00833EC9" w:rsidR="00951114">
        <w:rPr>
          <w:szCs w:val="22"/>
        </w:rPr>
        <w:t xml:space="preserve"> </w:t>
      </w:r>
    </w:p>
    <w:p w:rsidR="00967868" w:rsidRPr="007E334D" w:rsidP="007E334D" w14:paraId="0CB35A52" w14:textId="26DDE7B8">
      <w:pPr>
        <w:pStyle w:val="ListParagraph"/>
        <w:numPr>
          <w:ilvl w:val="0"/>
          <w:numId w:val="8"/>
        </w:numPr>
        <w:spacing w:after="240"/>
        <w:ind w:left="0" w:firstLine="720"/>
        <w:contextualSpacing w:val="0"/>
        <w:rPr>
          <w:szCs w:val="22"/>
        </w:rPr>
      </w:pPr>
      <w:r w:rsidRPr="007E334D">
        <w:rPr>
          <w:szCs w:val="22"/>
        </w:rPr>
        <w:t xml:space="preserve">On August </w:t>
      </w:r>
      <w:r w:rsidRPr="007E334D" w:rsidR="000B542A">
        <w:rPr>
          <w:szCs w:val="22"/>
        </w:rPr>
        <w:t>26</w:t>
      </w:r>
      <w:r w:rsidRPr="007E334D">
        <w:rPr>
          <w:szCs w:val="22"/>
        </w:rPr>
        <w:t xml:space="preserve">, 2021, </w:t>
      </w:r>
      <w:r w:rsidRPr="007E334D" w:rsidR="000B542A">
        <w:rPr>
          <w:szCs w:val="22"/>
        </w:rPr>
        <w:t xml:space="preserve">EEI </w:t>
      </w:r>
      <w:r w:rsidRPr="007E334D">
        <w:rPr>
          <w:szCs w:val="22"/>
        </w:rPr>
        <w:t xml:space="preserve">filed </w:t>
      </w:r>
      <w:r w:rsidRPr="007E334D" w:rsidR="00012FD5">
        <w:rPr>
          <w:szCs w:val="22"/>
        </w:rPr>
        <w:t>a</w:t>
      </w:r>
      <w:r w:rsidRPr="007E334D" w:rsidR="000B542A">
        <w:rPr>
          <w:szCs w:val="22"/>
        </w:rPr>
        <w:t xml:space="preserve"> </w:t>
      </w:r>
      <w:r w:rsidR="007D7D0D">
        <w:rPr>
          <w:szCs w:val="22"/>
        </w:rPr>
        <w:t>M</w:t>
      </w:r>
      <w:r w:rsidRPr="007E334D">
        <w:rPr>
          <w:szCs w:val="22"/>
        </w:rPr>
        <w:t>otion for a</w:t>
      </w:r>
      <w:r w:rsidRPr="007E334D" w:rsidR="007D5E93">
        <w:rPr>
          <w:szCs w:val="22"/>
        </w:rPr>
        <w:t xml:space="preserve"> </w:t>
      </w:r>
      <w:r w:rsidRPr="007E334D" w:rsidR="00463E41">
        <w:rPr>
          <w:szCs w:val="22"/>
        </w:rPr>
        <w:t xml:space="preserve">limited </w:t>
      </w:r>
      <w:r w:rsidRPr="007E334D" w:rsidR="007D5E93">
        <w:rPr>
          <w:szCs w:val="22"/>
        </w:rPr>
        <w:t xml:space="preserve">three-day </w:t>
      </w:r>
      <w:r w:rsidRPr="007E334D" w:rsidR="005654E2">
        <w:rPr>
          <w:szCs w:val="22"/>
        </w:rPr>
        <w:t xml:space="preserve">extension of the </w:t>
      </w:r>
      <w:r w:rsidRPr="007E334D" w:rsidR="00012FD5">
        <w:rPr>
          <w:szCs w:val="22"/>
        </w:rPr>
        <w:t xml:space="preserve">reply </w:t>
      </w:r>
      <w:r w:rsidRPr="007E334D" w:rsidR="005654E2">
        <w:rPr>
          <w:szCs w:val="22"/>
        </w:rPr>
        <w:t>comment filing deadline</w:t>
      </w:r>
      <w:r w:rsidRPr="007E334D" w:rsidR="003A1FA0">
        <w:rPr>
          <w:szCs w:val="22"/>
        </w:rPr>
        <w:t xml:space="preserve"> </w:t>
      </w:r>
      <w:r w:rsidRPr="007E334D" w:rsidR="00012FD5">
        <w:rPr>
          <w:szCs w:val="22"/>
        </w:rPr>
        <w:t>until September 10,</w:t>
      </w:r>
      <w:r w:rsidRPr="007E334D">
        <w:rPr>
          <w:szCs w:val="22"/>
        </w:rPr>
        <w:t xml:space="preserve"> 2021.</w:t>
      </w:r>
      <w:r>
        <w:rPr>
          <w:rStyle w:val="FootnoteReference"/>
          <w:sz w:val="22"/>
          <w:szCs w:val="22"/>
        </w:rPr>
        <w:footnoteReference w:id="5"/>
      </w:r>
      <w:r w:rsidRPr="007E334D" w:rsidR="00832AFA">
        <w:rPr>
          <w:szCs w:val="22"/>
        </w:rPr>
        <w:t xml:space="preserve">  </w:t>
      </w:r>
      <w:r w:rsidRPr="007E334D" w:rsidR="007D5E93">
        <w:rPr>
          <w:szCs w:val="22"/>
        </w:rPr>
        <w:t>EEI</w:t>
      </w:r>
      <w:r w:rsidRPr="007E334D" w:rsidR="00463E41">
        <w:rPr>
          <w:szCs w:val="22"/>
        </w:rPr>
        <w:t xml:space="preserve"> states that the reply comment deadline should be extended to ensure “there is sufficient time to conduct consultations with respective member companies and to prepare reasoned reply comments that meaningfully address the broad range of complex issues presented by comments submitted in this docket.”</w:t>
      </w:r>
      <w:r>
        <w:rPr>
          <w:rStyle w:val="FootnoteReference"/>
          <w:sz w:val="22"/>
          <w:szCs w:val="22"/>
        </w:rPr>
        <w:footnoteReference w:id="6"/>
      </w:r>
      <w:r w:rsidRPr="007E334D" w:rsidR="008C0250">
        <w:rPr>
          <w:szCs w:val="22"/>
        </w:rPr>
        <w:t xml:space="preserve"> </w:t>
      </w:r>
      <w:r w:rsidRPr="007E334D" w:rsidR="000909FF">
        <w:rPr>
          <w:szCs w:val="22"/>
        </w:rPr>
        <w:t xml:space="preserve"> </w:t>
      </w:r>
      <w:r w:rsidRPr="007E334D" w:rsidR="00463E41">
        <w:rPr>
          <w:szCs w:val="22"/>
        </w:rPr>
        <w:t xml:space="preserve">EEI </w:t>
      </w:r>
      <w:r w:rsidR="009F4DDD">
        <w:rPr>
          <w:szCs w:val="22"/>
        </w:rPr>
        <w:t xml:space="preserve">also </w:t>
      </w:r>
      <w:r w:rsidRPr="007E334D" w:rsidR="00463E41">
        <w:rPr>
          <w:szCs w:val="22"/>
        </w:rPr>
        <w:t>notes that Monday, September 6</w:t>
      </w:r>
      <w:r w:rsidRPr="007E334D" w:rsidR="00463E41">
        <w:rPr>
          <w:szCs w:val="22"/>
          <w:vertAlign w:val="superscript"/>
        </w:rPr>
        <w:t>th</w:t>
      </w:r>
      <w:r w:rsidRPr="007E334D" w:rsidR="00463E41">
        <w:rPr>
          <w:szCs w:val="22"/>
        </w:rPr>
        <w:t xml:space="preserve"> is the Labor Day holiday, while </w:t>
      </w:r>
      <w:r w:rsidRPr="007E334D" w:rsidR="00432919">
        <w:rPr>
          <w:szCs w:val="22"/>
        </w:rPr>
        <w:t xml:space="preserve">Rosh Hashanah </w:t>
      </w:r>
      <w:r w:rsidR="00432919">
        <w:rPr>
          <w:szCs w:val="22"/>
        </w:rPr>
        <w:t xml:space="preserve">falls on </w:t>
      </w:r>
      <w:r w:rsidRPr="007E334D" w:rsidR="00463E41">
        <w:rPr>
          <w:szCs w:val="22"/>
        </w:rPr>
        <w:t>September 7</w:t>
      </w:r>
      <w:r w:rsidRPr="007E334D" w:rsidR="00463E41">
        <w:rPr>
          <w:szCs w:val="22"/>
          <w:vertAlign w:val="superscript"/>
        </w:rPr>
        <w:t>th</w:t>
      </w:r>
      <w:r w:rsidRPr="007E334D" w:rsidR="00463E41">
        <w:rPr>
          <w:szCs w:val="22"/>
        </w:rPr>
        <w:t xml:space="preserve"> and 8</w:t>
      </w:r>
      <w:r w:rsidRPr="007E334D" w:rsidR="00463E41">
        <w:rPr>
          <w:szCs w:val="22"/>
          <w:vertAlign w:val="superscript"/>
        </w:rPr>
        <w:t>th</w:t>
      </w:r>
      <w:r w:rsidRPr="007E334D" w:rsidR="00463E41">
        <w:rPr>
          <w:szCs w:val="22"/>
        </w:rPr>
        <w:t>, leaving “very little time for a fulsome reply to comments submitted in this proceeding, especially given the need for EEI to build industry consensus before submitting comments</w:t>
      </w:r>
      <w:r w:rsidRPr="007E334D" w:rsidR="000909FF">
        <w:rPr>
          <w:szCs w:val="22"/>
        </w:rPr>
        <w:t>.</w:t>
      </w:r>
      <w:r w:rsidRPr="007E334D" w:rsidR="00463E41">
        <w:rPr>
          <w:szCs w:val="22"/>
        </w:rPr>
        <w:t>”</w:t>
      </w:r>
      <w:r>
        <w:rPr>
          <w:rStyle w:val="FootnoteReference"/>
          <w:sz w:val="22"/>
          <w:szCs w:val="22"/>
        </w:rPr>
        <w:footnoteReference w:id="7"/>
      </w:r>
      <w:r w:rsidRPr="007E334D" w:rsidR="006D6672">
        <w:rPr>
          <w:szCs w:val="22"/>
        </w:rPr>
        <w:t xml:space="preserve">  Finally, </w:t>
      </w:r>
      <w:r w:rsidRPr="007E334D" w:rsidR="00463E41">
        <w:rPr>
          <w:szCs w:val="22"/>
        </w:rPr>
        <w:t xml:space="preserve">EEI </w:t>
      </w:r>
      <w:r w:rsidRPr="007E334D" w:rsidR="006D6672">
        <w:rPr>
          <w:szCs w:val="22"/>
        </w:rPr>
        <w:t xml:space="preserve">notes </w:t>
      </w:r>
      <w:r w:rsidRPr="007E334D" w:rsidR="00A34694">
        <w:rPr>
          <w:szCs w:val="22"/>
        </w:rPr>
        <w:t xml:space="preserve">that </w:t>
      </w:r>
      <w:r w:rsidRPr="007E334D" w:rsidR="003A1A8C">
        <w:rPr>
          <w:szCs w:val="22"/>
        </w:rPr>
        <w:t xml:space="preserve">the </w:t>
      </w:r>
      <w:r w:rsidRPr="007E334D" w:rsidR="00833EC9">
        <w:rPr>
          <w:szCs w:val="22"/>
        </w:rPr>
        <w:t>limited extension request of three days will not result in prejudice to other parties in the proceeding.</w:t>
      </w:r>
      <w:r>
        <w:rPr>
          <w:rStyle w:val="FootnoteReference"/>
          <w:sz w:val="22"/>
          <w:szCs w:val="22"/>
        </w:rPr>
        <w:footnoteReference w:id="8"/>
      </w:r>
      <w:r w:rsidRPr="007E334D" w:rsidR="00833EC9">
        <w:rPr>
          <w:szCs w:val="22"/>
        </w:rPr>
        <w:t xml:space="preserve">  In support of EEI’s Motion, </w:t>
      </w:r>
      <w:r w:rsidRPr="007E334D" w:rsidR="00833EC9">
        <w:rPr>
          <w:szCs w:val="22"/>
        </w:rPr>
        <w:t>Dominion Energy and Xcel Energy note that some of EEI’s members have been impacted by Hurricane Ida and its associated disaster recovery efforts.</w:t>
      </w:r>
      <w:r>
        <w:rPr>
          <w:rStyle w:val="FootnoteReference"/>
          <w:szCs w:val="22"/>
        </w:rPr>
        <w:footnoteReference w:id="9"/>
      </w:r>
      <w:r w:rsidRPr="007E334D" w:rsidR="00833EC9">
        <w:rPr>
          <w:szCs w:val="22"/>
        </w:rPr>
        <w:t xml:space="preserve">  </w:t>
      </w:r>
      <w:r w:rsidR="007D7D0D">
        <w:rPr>
          <w:szCs w:val="22"/>
        </w:rPr>
        <w:t xml:space="preserve">According to Dominion Energy and Xcel Energy, </w:t>
      </w:r>
      <w:r w:rsidR="009F4DDD">
        <w:rPr>
          <w:szCs w:val="22"/>
        </w:rPr>
        <w:t xml:space="preserve">even </w:t>
      </w:r>
      <w:r w:rsidRPr="007E334D" w:rsidR="00833EC9">
        <w:rPr>
          <w:szCs w:val="22"/>
        </w:rPr>
        <w:t>EEI members beyond Louisiana and Mississippi have deployed crews to the storm zone to assist their counterparts with power restoration activities.</w:t>
      </w:r>
      <w:r>
        <w:rPr>
          <w:rStyle w:val="FootnoteReference"/>
          <w:szCs w:val="22"/>
        </w:rPr>
        <w:footnoteReference w:id="10"/>
      </w:r>
      <w:r w:rsidRPr="007E334D" w:rsidR="00833EC9">
        <w:rPr>
          <w:szCs w:val="22"/>
        </w:rPr>
        <w:t xml:space="preserve">  </w:t>
      </w:r>
      <w:r w:rsidRPr="007E334D" w:rsidR="004F4DFA">
        <w:rPr>
          <w:szCs w:val="22"/>
        </w:rPr>
        <w:t>No opposition</w:t>
      </w:r>
      <w:r w:rsidRPr="007E334D" w:rsidR="00055FCA">
        <w:rPr>
          <w:szCs w:val="22"/>
        </w:rPr>
        <w:t xml:space="preserve"> to the </w:t>
      </w:r>
      <w:r w:rsidRPr="007E334D" w:rsidR="00463E41">
        <w:rPr>
          <w:szCs w:val="22"/>
        </w:rPr>
        <w:t xml:space="preserve">EEI </w:t>
      </w:r>
      <w:r w:rsidRPr="007E334D" w:rsidR="00055FCA">
        <w:rPr>
          <w:szCs w:val="22"/>
        </w:rPr>
        <w:t>Motion</w:t>
      </w:r>
      <w:r w:rsidRPr="007E334D" w:rsidR="004F4DFA">
        <w:rPr>
          <w:szCs w:val="22"/>
        </w:rPr>
        <w:t xml:space="preserve"> has been filed.</w:t>
      </w:r>
    </w:p>
    <w:p w:rsidR="00417635" w:rsidRPr="00833EC9" w:rsidP="00252C97" w14:paraId="579CB722" w14:textId="28C2392B">
      <w:pPr>
        <w:pStyle w:val="ListParagraph"/>
        <w:numPr>
          <w:ilvl w:val="0"/>
          <w:numId w:val="8"/>
        </w:numPr>
        <w:spacing w:after="240"/>
        <w:ind w:left="0" w:firstLine="720"/>
        <w:contextualSpacing w:val="0"/>
        <w:rPr>
          <w:szCs w:val="22"/>
        </w:rPr>
      </w:pPr>
      <w:r w:rsidRPr="00833EC9">
        <w:rPr>
          <w:szCs w:val="22"/>
        </w:rPr>
        <w:t xml:space="preserve">We grant a </w:t>
      </w:r>
      <w:r w:rsidRPr="00833EC9" w:rsidR="00B84A4E">
        <w:rPr>
          <w:szCs w:val="22"/>
        </w:rPr>
        <w:t xml:space="preserve">limited </w:t>
      </w:r>
      <w:r w:rsidRPr="00833EC9" w:rsidR="007D5E93">
        <w:rPr>
          <w:szCs w:val="22"/>
        </w:rPr>
        <w:t>three</w:t>
      </w:r>
      <w:r w:rsidRPr="00833EC9" w:rsidR="00114E0D">
        <w:rPr>
          <w:szCs w:val="22"/>
        </w:rPr>
        <w:t>-day</w:t>
      </w:r>
      <w:r w:rsidRPr="00833EC9">
        <w:rPr>
          <w:szCs w:val="22"/>
        </w:rPr>
        <w:t xml:space="preserve"> extension of </w:t>
      </w:r>
      <w:r w:rsidRPr="00833EC9" w:rsidR="003E2E2B">
        <w:rPr>
          <w:szCs w:val="22"/>
        </w:rPr>
        <w:t>time</w:t>
      </w:r>
      <w:r w:rsidRPr="00833EC9" w:rsidR="00606919">
        <w:rPr>
          <w:szCs w:val="22"/>
        </w:rPr>
        <w:t xml:space="preserve"> to file reply comments in th</w:t>
      </w:r>
      <w:r w:rsidRPr="00833EC9" w:rsidR="007D5E93">
        <w:rPr>
          <w:szCs w:val="22"/>
        </w:rPr>
        <w:t>is</w:t>
      </w:r>
      <w:r w:rsidRPr="00833EC9" w:rsidR="00606919">
        <w:rPr>
          <w:szCs w:val="22"/>
        </w:rPr>
        <w:t xml:space="preserve"> proceeding</w:t>
      </w:r>
      <w:r w:rsidRPr="00833EC9" w:rsidR="00927CAB">
        <w:rPr>
          <w:szCs w:val="22"/>
        </w:rPr>
        <w:t>.</w:t>
      </w:r>
      <w:r w:rsidRPr="00833EC9">
        <w:rPr>
          <w:szCs w:val="22"/>
        </w:rPr>
        <w:t xml:space="preserve">  </w:t>
      </w:r>
      <w:r w:rsidRPr="00833EC9" w:rsidR="00A03B4D">
        <w:rPr>
          <w:szCs w:val="22"/>
        </w:rPr>
        <w:t xml:space="preserve">As set forth in </w:t>
      </w:r>
      <w:r w:rsidR="00E24AE5">
        <w:rPr>
          <w:szCs w:val="22"/>
        </w:rPr>
        <w:t>s</w:t>
      </w:r>
      <w:r w:rsidRPr="00833EC9" w:rsidR="00A03B4D">
        <w:rPr>
          <w:szCs w:val="22"/>
        </w:rPr>
        <w:t>ection 1.46 of the Commission’s rules,</w:t>
      </w:r>
      <w:r>
        <w:rPr>
          <w:rStyle w:val="FootnoteReference"/>
          <w:sz w:val="22"/>
          <w:szCs w:val="22"/>
        </w:rPr>
        <w:footnoteReference w:id="11"/>
      </w:r>
      <w:r w:rsidRPr="00833EC9" w:rsidR="00A03B4D">
        <w:rPr>
          <w:szCs w:val="22"/>
        </w:rPr>
        <w:t xml:space="preserve"> the Commission does not routinely grant extensions of time for filing comments.</w:t>
      </w:r>
      <w:r w:rsidRPr="00833EC9" w:rsidR="001973B7">
        <w:rPr>
          <w:szCs w:val="22"/>
        </w:rPr>
        <w:t xml:space="preserve">  </w:t>
      </w:r>
      <w:r w:rsidRPr="00833EC9" w:rsidR="00777282">
        <w:rPr>
          <w:szCs w:val="22"/>
        </w:rPr>
        <w:t xml:space="preserve">In this case, however, </w:t>
      </w:r>
      <w:r w:rsidR="00833EC9">
        <w:rPr>
          <w:szCs w:val="22"/>
        </w:rPr>
        <w:t xml:space="preserve">the </w:t>
      </w:r>
      <w:r w:rsidR="007E334D">
        <w:rPr>
          <w:szCs w:val="22"/>
        </w:rPr>
        <w:t xml:space="preserve">unopposed </w:t>
      </w:r>
      <w:r w:rsidR="00833EC9">
        <w:rPr>
          <w:szCs w:val="22"/>
        </w:rPr>
        <w:t xml:space="preserve">extension is limited to only three days and will allow </w:t>
      </w:r>
      <w:r w:rsidR="007E334D">
        <w:rPr>
          <w:szCs w:val="22"/>
        </w:rPr>
        <w:t>commenters sufficient time to file meaningful reply comments given the intervening holidays and the impact of Hurricane Ida</w:t>
      </w:r>
      <w:r w:rsidR="007D7D0D">
        <w:rPr>
          <w:szCs w:val="22"/>
        </w:rPr>
        <w:t xml:space="preserve"> on certain electric utilities</w:t>
      </w:r>
      <w:r w:rsidRPr="00833EC9" w:rsidR="00911EF5">
        <w:rPr>
          <w:szCs w:val="22"/>
        </w:rPr>
        <w:t xml:space="preserve">.  </w:t>
      </w:r>
      <w:r w:rsidRPr="00833EC9" w:rsidR="0050064E">
        <w:rPr>
          <w:szCs w:val="22"/>
        </w:rPr>
        <w:t xml:space="preserve">We therefore grant </w:t>
      </w:r>
      <w:r w:rsidRPr="00833EC9" w:rsidR="007D5E93">
        <w:rPr>
          <w:szCs w:val="22"/>
        </w:rPr>
        <w:t xml:space="preserve">EEI’s </w:t>
      </w:r>
      <w:r w:rsidR="007E334D">
        <w:rPr>
          <w:szCs w:val="22"/>
        </w:rPr>
        <w:t xml:space="preserve">unopposed </w:t>
      </w:r>
      <w:r w:rsidRPr="00833EC9" w:rsidR="007D5E93">
        <w:rPr>
          <w:szCs w:val="22"/>
        </w:rPr>
        <w:t xml:space="preserve">Motion </w:t>
      </w:r>
      <w:r w:rsidRPr="00833EC9" w:rsidR="0050064E">
        <w:rPr>
          <w:szCs w:val="22"/>
        </w:rPr>
        <w:t xml:space="preserve">and extend the reply comment </w:t>
      </w:r>
      <w:r w:rsidRPr="00833EC9" w:rsidR="00A21BEE">
        <w:rPr>
          <w:szCs w:val="22"/>
        </w:rPr>
        <w:t>d</w:t>
      </w:r>
      <w:r w:rsidRPr="00833EC9" w:rsidR="007D5E93">
        <w:rPr>
          <w:szCs w:val="22"/>
        </w:rPr>
        <w:t xml:space="preserve">eadline </w:t>
      </w:r>
      <w:r w:rsidRPr="00833EC9" w:rsidR="0050064E">
        <w:rPr>
          <w:szCs w:val="22"/>
        </w:rPr>
        <w:t>to</w:t>
      </w:r>
      <w:r w:rsidRPr="00833EC9" w:rsidR="00253161">
        <w:rPr>
          <w:szCs w:val="22"/>
        </w:rPr>
        <w:t xml:space="preserve"> </w:t>
      </w:r>
      <w:r w:rsidRPr="00833EC9" w:rsidR="00FF4D7E">
        <w:rPr>
          <w:szCs w:val="22"/>
        </w:rPr>
        <w:t>September 10, 2021.</w:t>
      </w:r>
    </w:p>
    <w:p w:rsidR="00354E9D" w:rsidRPr="00833EC9" w:rsidP="00354E9D" w14:paraId="322A67CC" w14:textId="4B78F79A">
      <w:pPr>
        <w:pStyle w:val="ListParagraph"/>
        <w:numPr>
          <w:ilvl w:val="0"/>
          <w:numId w:val="8"/>
        </w:numPr>
        <w:spacing w:after="240"/>
        <w:ind w:left="0" w:firstLine="720"/>
        <w:contextualSpacing w:val="0"/>
        <w:rPr>
          <w:szCs w:val="22"/>
        </w:rPr>
      </w:pPr>
      <w:r w:rsidRPr="00833EC9">
        <w:rPr>
          <w:szCs w:val="22"/>
        </w:rPr>
        <w:t xml:space="preserve">Accordingly, </w:t>
      </w:r>
      <w:r w:rsidRPr="00833EC9">
        <w:rPr>
          <w:b/>
          <w:bCs/>
          <w:szCs w:val="22"/>
        </w:rPr>
        <w:t>IT IS ORDERED</w:t>
      </w:r>
      <w:r w:rsidRPr="00833EC9">
        <w:rPr>
          <w:szCs w:val="22"/>
        </w:rPr>
        <w:t xml:space="preserve"> that, pursuant to </w:t>
      </w:r>
      <w:r w:rsidR="00E24AE5">
        <w:rPr>
          <w:szCs w:val="22"/>
        </w:rPr>
        <w:t>s</w:t>
      </w:r>
      <w:r w:rsidRPr="00833EC9" w:rsidR="002B4031">
        <w:rPr>
          <w:szCs w:val="22"/>
        </w:rPr>
        <w:t>ection 4(i) of the Communications Act of 1934, as amended, 47 U.S.C. § 154(</w:t>
      </w:r>
      <w:r w:rsidRPr="00833EC9" w:rsidR="002B4031">
        <w:rPr>
          <w:szCs w:val="22"/>
        </w:rPr>
        <w:t>i</w:t>
      </w:r>
      <w:r w:rsidRPr="00833EC9" w:rsidR="002B4031">
        <w:rPr>
          <w:szCs w:val="22"/>
        </w:rPr>
        <w:t xml:space="preserve">), and </w:t>
      </w:r>
      <w:r w:rsidR="00E24AE5">
        <w:rPr>
          <w:szCs w:val="22"/>
        </w:rPr>
        <w:t>s</w:t>
      </w:r>
      <w:r w:rsidRPr="00833EC9" w:rsidR="002B4031">
        <w:rPr>
          <w:szCs w:val="22"/>
        </w:rPr>
        <w:t xml:space="preserve">ections </w:t>
      </w:r>
      <w:r w:rsidRPr="00736B16" w:rsidR="007E334D">
        <w:t>0.204, 0.291, and 1.46 of the Commission’s rules, 47 CFR §§ 0.204, 0.291, 1.46,</w:t>
      </w:r>
      <w:r w:rsidRPr="00833EC9" w:rsidR="002B4031">
        <w:rPr>
          <w:szCs w:val="22"/>
        </w:rPr>
        <w:t xml:space="preserve"> the Motion for Extension of Time filed by </w:t>
      </w:r>
      <w:r w:rsidRPr="00833EC9" w:rsidR="007D5E93">
        <w:rPr>
          <w:szCs w:val="22"/>
        </w:rPr>
        <w:t xml:space="preserve">EEI </w:t>
      </w:r>
      <w:r w:rsidRPr="00833EC9" w:rsidR="002B4031">
        <w:rPr>
          <w:szCs w:val="22"/>
        </w:rPr>
        <w:t xml:space="preserve">is </w:t>
      </w:r>
      <w:r w:rsidRPr="00833EC9" w:rsidR="002B4031">
        <w:rPr>
          <w:b/>
          <w:bCs/>
          <w:szCs w:val="22"/>
        </w:rPr>
        <w:t>GRANTED</w:t>
      </w:r>
      <w:r w:rsidRPr="00833EC9" w:rsidR="007D5E93">
        <w:rPr>
          <w:b/>
          <w:bCs/>
          <w:szCs w:val="22"/>
        </w:rPr>
        <w:t>.</w:t>
      </w:r>
    </w:p>
    <w:p w:rsidR="00320042" w:rsidRPr="00833EC9" w:rsidP="00354E9D" w14:paraId="1FDCCBC9" w14:textId="12F91AC3">
      <w:pPr>
        <w:pStyle w:val="ListParagraph"/>
        <w:numPr>
          <w:ilvl w:val="0"/>
          <w:numId w:val="8"/>
        </w:numPr>
        <w:spacing w:after="240"/>
        <w:ind w:left="0" w:firstLine="720"/>
        <w:contextualSpacing w:val="0"/>
        <w:rPr>
          <w:szCs w:val="22"/>
        </w:rPr>
      </w:pPr>
      <w:r w:rsidRPr="00833EC9">
        <w:rPr>
          <w:b/>
          <w:bCs/>
          <w:szCs w:val="22"/>
        </w:rPr>
        <w:t>IT IS FURTHER ORDERED</w:t>
      </w:r>
      <w:r w:rsidRPr="00833EC9">
        <w:rPr>
          <w:szCs w:val="22"/>
        </w:rPr>
        <w:t xml:space="preserve"> that </w:t>
      </w:r>
      <w:r w:rsidRPr="00833EC9" w:rsidR="3DD12C09">
        <w:rPr>
          <w:szCs w:val="22"/>
        </w:rPr>
        <w:t xml:space="preserve">the </w:t>
      </w:r>
      <w:r w:rsidRPr="00833EC9" w:rsidR="117798B1">
        <w:rPr>
          <w:szCs w:val="22"/>
        </w:rPr>
        <w:t>date</w:t>
      </w:r>
      <w:r w:rsidRPr="00833EC9" w:rsidR="3DD12C09">
        <w:rPr>
          <w:szCs w:val="22"/>
        </w:rPr>
        <w:t xml:space="preserve"> to file reply comments in </w:t>
      </w:r>
      <w:r w:rsidR="007E334D">
        <w:rPr>
          <w:szCs w:val="22"/>
        </w:rPr>
        <w:t xml:space="preserve">response to the </w:t>
      </w:r>
      <w:r w:rsidR="007E334D">
        <w:rPr>
          <w:i/>
          <w:iCs/>
          <w:szCs w:val="22"/>
        </w:rPr>
        <w:t xml:space="preserve">Public Notice </w:t>
      </w:r>
      <w:r w:rsidRPr="00833EC9" w:rsidR="3DD12C09">
        <w:rPr>
          <w:b/>
          <w:bCs/>
          <w:szCs w:val="22"/>
        </w:rPr>
        <w:t>ARE EXTENDED</w:t>
      </w:r>
      <w:r w:rsidRPr="00833EC9" w:rsidR="3DD12C09">
        <w:rPr>
          <w:szCs w:val="22"/>
        </w:rPr>
        <w:t xml:space="preserve"> to September 10, 2021.</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5040"/>
      </w:tblGrid>
      <w:tr w14:paraId="12A54F98" w14:textId="77777777" w:rsidTr="0062065B">
        <w:tblPrEx>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90" w:type="dxa"/>
          </w:tcPr>
          <w:p w:rsidR="00320042" w:rsidRPr="00833EC9" w:rsidP="00320042" w14:paraId="7482AD37" w14:textId="77777777">
            <w:pPr>
              <w:rPr>
                <w:szCs w:val="22"/>
              </w:rPr>
            </w:pPr>
          </w:p>
        </w:tc>
        <w:tc>
          <w:tcPr>
            <w:tcW w:w="5040" w:type="dxa"/>
          </w:tcPr>
          <w:p w:rsidR="00320042" w:rsidRPr="00833EC9" w:rsidP="00320042" w14:paraId="543C16F5" w14:textId="77777777">
            <w:pPr>
              <w:rPr>
                <w:szCs w:val="22"/>
              </w:rPr>
            </w:pPr>
            <w:r w:rsidRPr="00833EC9">
              <w:rPr>
                <w:szCs w:val="22"/>
              </w:rPr>
              <w:t>FEDERAL COMMUNICATIONS COMMISSION</w:t>
            </w:r>
          </w:p>
          <w:p w:rsidR="00320042" w:rsidRPr="00833EC9" w:rsidP="00320042" w14:paraId="20499823" w14:textId="77777777">
            <w:pPr>
              <w:rPr>
                <w:szCs w:val="22"/>
              </w:rPr>
            </w:pPr>
          </w:p>
          <w:p w:rsidR="00320042" w:rsidRPr="00833EC9" w:rsidP="00320042" w14:paraId="425E361B" w14:textId="77777777">
            <w:pPr>
              <w:rPr>
                <w:szCs w:val="22"/>
              </w:rPr>
            </w:pPr>
          </w:p>
          <w:p w:rsidR="00320042" w:rsidRPr="00833EC9" w:rsidP="00320042" w14:paraId="334E76E9" w14:textId="77777777">
            <w:pPr>
              <w:rPr>
                <w:szCs w:val="22"/>
              </w:rPr>
            </w:pPr>
          </w:p>
          <w:p w:rsidR="00215D1A" w:rsidRPr="00833EC9" w:rsidP="00320042" w14:paraId="64349EF6" w14:textId="77777777">
            <w:pPr>
              <w:rPr>
                <w:szCs w:val="22"/>
              </w:rPr>
            </w:pPr>
          </w:p>
          <w:p w:rsidR="003D59C2" w:rsidRPr="00833EC9" w:rsidP="00320042" w14:paraId="51C326CC" w14:textId="43F31C7C">
            <w:pPr>
              <w:rPr>
                <w:szCs w:val="22"/>
              </w:rPr>
            </w:pPr>
            <w:r w:rsidRPr="00833EC9">
              <w:rPr>
                <w:szCs w:val="22"/>
              </w:rPr>
              <w:t>Kris A</w:t>
            </w:r>
            <w:r w:rsidR="007E334D">
              <w:rPr>
                <w:szCs w:val="22"/>
              </w:rPr>
              <w:t>nne</w:t>
            </w:r>
            <w:r w:rsidRPr="00833EC9">
              <w:rPr>
                <w:szCs w:val="22"/>
              </w:rPr>
              <w:t xml:space="preserve"> Monte</w:t>
            </w:r>
            <w:r w:rsidR="007E334D">
              <w:rPr>
                <w:szCs w:val="22"/>
              </w:rPr>
              <w:t>i</w:t>
            </w:r>
            <w:r w:rsidRPr="00833EC9">
              <w:rPr>
                <w:szCs w:val="22"/>
              </w:rPr>
              <w:t>th</w:t>
            </w:r>
          </w:p>
          <w:p w:rsidR="007E334D" w:rsidP="007D5E93" w14:paraId="34913CE1" w14:textId="77777777">
            <w:pPr>
              <w:rPr>
                <w:szCs w:val="22"/>
              </w:rPr>
            </w:pPr>
            <w:r w:rsidRPr="00833EC9">
              <w:rPr>
                <w:szCs w:val="22"/>
              </w:rPr>
              <w:t>Ch</w:t>
            </w:r>
            <w:r w:rsidRPr="00833EC9" w:rsidR="007D5E93">
              <w:rPr>
                <w:szCs w:val="22"/>
              </w:rPr>
              <w:t>ief</w:t>
            </w:r>
          </w:p>
          <w:p w:rsidR="00B737E3" w:rsidRPr="00833EC9" w:rsidP="007D5E93" w14:paraId="0B568E7F" w14:textId="42D95629">
            <w:pPr>
              <w:rPr>
                <w:szCs w:val="22"/>
              </w:rPr>
            </w:pPr>
            <w:r w:rsidRPr="00833EC9">
              <w:rPr>
                <w:szCs w:val="22"/>
              </w:rPr>
              <w:t>Wirel</w:t>
            </w:r>
            <w:r w:rsidRPr="00833EC9" w:rsidR="007D5E93">
              <w:rPr>
                <w:szCs w:val="22"/>
              </w:rPr>
              <w:t>ine</w:t>
            </w:r>
            <w:r w:rsidRPr="00833EC9">
              <w:rPr>
                <w:szCs w:val="22"/>
              </w:rPr>
              <w:t xml:space="preserve"> </w:t>
            </w:r>
            <w:r w:rsidRPr="00833EC9" w:rsidR="007D5E93">
              <w:rPr>
                <w:szCs w:val="22"/>
              </w:rPr>
              <w:t>Competition</w:t>
            </w:r>
            <w:r w:rsidRPr="00833EC9">
              <w:rPr>
                <w:szCs w:val="22"/>
              </w:rPr>
              <w:t xml:space="preserve"> Bureau</w:t>
            </w:r>
          </w:p>
        </w:tc>
      </w:tr>
    </w:tbl>
    <w:p w:rsidR="00320042" w:rsidRPr="00833EC9" w:rsidP="00320042" w14:paraId="6AEB2932" w14:textId="77777777">
      <w:pPr>
        <w:spacing w:after="240"/>
        <w:rPr>
          <w:szCs w:val="22"/>
        </w:rPr>
      </w:pPr>
    </w:p>
    <w:p w:rsidR="00320042" w:rsidRPr="00833EC9" w:rsidP="00320042" w14:paraId="5A985F18" w14:textId="77777777">
      <w:pPr>
        <w:spacing w:after="240"/>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25F031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206DB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3C520E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C8B428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568761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5CCA" w14:paraId="6FF9E75B" w14:textId="77777777">
      <w:r>
        <w:separator/>
      </w:r>
    </w:p>
  </w:footnote>
  <w:footnote w:type="continuationSeparator" w:id="1">
    <w:p w:rsidR="007E5CCA" w:rsidP="00C721AC" w14:paraId="2C5E2A96" w14:textId="77777777">
      <w:pPr>
        <w:spacing w:before="120"/>
        <w:rPr>
          <w:sz w:val="20"/>
        </w:rPr>
      </w:pPr>
      <w:r>
        <w:rPr>
          <w:sz w:val="20"/>
        </w:rPr>
        <w:t xml:space="preserve">(Continued from previous page)  </w:t>
      </w:r>
      <w:r>
        <w:rPr>
          <w:sz w:val="20"/>
        </w:rPr>
        <w:separator/>
      </w:r>
    </w:p>
  </w:footnote>
  <w:footnote w:type="continuationNotice" w:id="2">
    <w:p w:rsidR="007E5CCA" w:rsidP="00C721AC" w14:paraId="65FEF08F" w14:textId="77777777">
      <w:pPr>
        <w:jc w:val="right"/>
        <w:rPr>
          <w:sz w:val="20"/>
        </w:rPr>
      </w:pPr>
      <w:r>
        <w:rPr>
          <w:sz w:val="20"/>
        </w:rPr>
        <w:t>(continued….)</w:t>
      </w:r>
    </w:p>
  </w:footnote>
  <w:footnote w:id="3">
    <w:p w:rsidR="1D4652CE" w:rsidRPr="00833EC9" w:rsidP="1D4652CE" w14:paraId="0A7034D0" w14:textId="6B8661D0">
      <w:pPr>
        <w:pStyle w:val="FootnoteText"/>
      </w:pPr>
      <w:r w:rsidRPr="00833EC9">
        <w:rPr>
          <w:rStyle w:val="FootnoteReference"/>
        </w:rPr>
        <w:footnoteRef/>
      </w:r>
      <w:r w:rsidRPr="00833EC9">
        <w:t xml:space="preserve"> </w:t>
      </w:r>
      <w:r w:rsidRPr="00833EC9">
        <w:rPr>
          <w:i/>
          <w:iCs/>
        </w:rPr>
        <w:t>See</w:t>
      </w:r>
      <w:r w:rsidRPr="00833EC9">
        <w:t xml:space="preserve"> </w:t>
      </w:r>
      <w:r w:rsidRPr="00833EC9" w:rsidR="00BE4EC3">
        <w:t xml:space="preserve">Edison Electric Institute, </w:t>
      </w:r>
      <w:r w:rsidRPr="00833EC9">
        <w:t xml:space="preserve">Motion </w:t>
      </w:r>
      <w:r w:rsidRPr="00833EC9" w:rsidR="00BE4EC3">
        <w:t xml:space="preserve">for </w:t>
      </w:r>
      <w:r w:rsidRPr="00833EC9">
        <w:t>Extension of Time</w:t>
      </w:r>
      <w:r w:rsidRPr="00833EC9" w:rsidR="00BE4EC3">
        <w:t>, WC Docket</w:t>
      </w:r>
      <w:r w:rsidRPr="00833EC9">
        <w:t xml:space="preserve"> No. 1</w:t>
      </w:r>
      <w:r w:rsidRPr="00833EC9" w:rsidR="00BE4EC3">
        <w:t>7</w:t>
      </w:r>
      <w:r w:rsidRPr="00833EC9">
        <w:t>-</w:t>
      </w:r>
      <w:r w:rsidRPr="00833EC9" w:rsidR="00BE4EC3">
        <w:t>84</w:t>
      </w:r>
      <w:r w:rsidRPr="00833EC9" w:rsidR="003D75EB">
        <w:t xml:space="preserve"> </w:t>
      </w:r>
      <w:r w:rsidRPr="00833EC9">
        <w:t xml:space="preserve">(filed Aug. </w:t>
      </w:r>
      <w:r w:rsidRPr="00833EC9" w:rsidR="00BE4EC3">
        <w:t>26</w:t>
      </w:r>
      <w:r w:rsidRPr="00833EC9">
        <w:t>, 2021)</w:t>
      </w:r>
      <w:r w:rsidRPr="00833EC9" w:rsidR="009B794B">
        <w:t xml:space="preserve"> (Motion)</w:t>
      </w:r>
      <w:r w:rsidRPr="00833EC9">
        <w:t xml:space="preserve">, </w:t>
      </w:r>
      <w:hyperlink r:id="rId1" w:history="1">
        <w:r w:rsidRPr="00833EC9" w:rsidR="00BE4EC3">
          <w:rPr>
            <w:snapToGrid w:val="0"/>
            <w:color w:val="0000FF"/>
            <w:kern w:val="28"/>
            <w:u w:val="single"/>
          </w:rPr>
          <w:t>EEI Motion for Extension of Time Docket 17-84.pdf (fcc.gov)</w:t>
        </w:r>
      </w:hyperlink>
      <w:r w:rsidRPr="00833EC9">
        <w:t xml:space="preserve">. </w:t>
      </w:r>
    </w:p>
  </w:footnote>
  <w:footnote w:id="4">
    <w:p w:rsidR="001643A0" w:rsidRPr="00833EC9" w14:paraId="0DA6C72A" w14:textId="66F88D31">
      <w:pPr>
        <w:pStyle w:val="FootnoteText"/>
      </w:pPr>
      <w:r w:rsidRPr="00833EC9">
        <w:rPr>
          <w:rStyle w:val="FootnoteReference"/>
        </w:rPr>
        <w:footnoteRef/>
      </w:r>
      <w:r w:rsidRPr="00833EC9">
        <w:t xml:space="preserve"> </w:t>
      </w:r>
      <w:r w:rsidRPr="00833EC9" w:rsidR="00FB0D7C">
        <w:rPr>
          <w:i/>
          <w:iCs/>
        </w:rPr>
        <w:t>See</w:t>
      </w:r>
      <w:r w:rsidRPr="00833EC9" w:rsidR="009B794B">
        <w:rPr>
          <w:i/>
          <w:iCs/>
        </w:rPr>
        <w:t xml:space="preserve"> </w:t>
      </w:r>
      <w:r w:rsidRPr="00833EC9" w:rsidR="00463E41">
        <w:rPr>
          <w:i/>
          <w:iCs/>
        </w:rPr>
        <w:t>Wireline Competition Bureau Seeks Comment On A Petition For Declaratory Ruling Filed By The Edison Electric Institute</w:t>
      </w:r>
      <w:r w:rsidRPr="00833EC9" w:rsidR="001115D7">
        <w:t xml:space="preserve">, Public Notice, WC Docket No. </w:t>
      </w:r>
      <w:r w:rsidRPr="00833EC9" w:rsidR="009B794B">
        <w:t>17-84</w:t>
      </w:r>
      <w:r w:rsidRPr="00833EC9" w:rsidR="001115D7">
        <w:t xml:space="preserve"> (W</w:t>
      </w:r>
      <w:r w:rsidRPr="00833EC9" w:rsidR="009B794B">
        <w:t>CB</w:t>
      </w:r>
      <w:r w:rsidRPr="00833EC9" w:rsidR="001115D7">
        <w:t xml:space="preserve"> July </w:t>
      </w:r>
      <w:r w:rsidRPr="00833EC9" w:rsidR="009B794B">
        <w:t>23,</w:t>
      </w:r>
      <w:r w:rsidRPr="00833EC9" w:rsidR="001115D7">
        <w:t xml:space="preserve"> 2021</w:t>
      </w:r>
      <w:r w:rsidRPr="00833EC9" w:rsidR="009B794B">
        <w:t>)</w:t>
      </w:r>
      <w:r w:rsidR="009F4DDD">
        <w:t xml:space="preserve"> (</w:t>
      </w:r>
      <w:r w:rsidR="009F4DDD">
        <w:rPr>
          <w:i/>
          <w:iCs/>
        </w:rPr>
        <w:t>Public Notice</w:t>
      </w:r>
      <w:r w:rsidR="009F4DDD">
        <w:t>)</w:t>
      </w:r>
      <w:r w:rsidRPr="00833EC9" w:rsidR="00100339">
        <w:t>.</w:t>
      </w:r>
    </w:p>
  </w:footnote>
  <w:footnote w:id="5">
    <w:p w:rsidR="00AF3491" w:rsidRPr="00833EC9" w14:paraId="52334131" w14:textId="4C613942">
      <w:pPr>
        <w:pStyle w:val="FootnoteText"/>
      </w:pPr>
      <w:r w:rsidRPr="00833EC9">
        <w:rPr>
          <w:rStyle w:val="FootnoteReference"/>
        </w:rPr>
        <w:footnoteRef/>
      </w:r>
      <w:r w:rsidRPr="00833EC9">
        <w:t xml:space="preserve"> </w:t>
      </w:r>
      <w:r w:rsidRPr="00833EC9" w:rsidR="00FB0D7C">
        <w:rPr>
          <w:i/>
          <w:iCs/>
        </w:rPr>
        <w:t>See</w:t>
      </w:r>
      <w:r w:rsidRPr="00833EC9" w:rsidR="00FB0D7C">
        <w:t xml:space="preserve"> Motion at 1. </w:t>
      </w:r>
    </w:p>
  </w:footnote>
  <w:footnote w:id="6">
    <w:p w:rsidR="00C47E45" w:rsidRPr="00833EC9" w14:paraId="1358D1B7" w14:textId="02248529">
      <w:pPr>
        <w:pStyle w:val="FootnoteText"/>
      </w:pPr>
      <w:r w:rsidRPr="00833EC9">
        <w:rPr>
          <w:rStyle w:val="FootnoteReference"/>
        </w:rPr>
        <w:footnoteRef/>
      </w:r>
      <w:r w:rsidRPr="00833EC9">
        <w:t xml:space="preserve"> </w:t>
      </w:r>
      <w:r w:rsidRPr="00833EC9" w:rsidR="007665FB">
        <w:rPr>
          <w:i/>
          <w:iCs/>
        </w:rPr>
        <w:t xml:space="preserve">Id. </w:t>
      </w:r>
      <w:r w:rsidRPr="00833EC9">
        <w:t>at 2.</w:t>
      </w:r>
    </w:p>
  </w:footnote>
  <w:footnote w:id="7">
    <w:p w:rsidR="000909FF" w:rsidRPr="00833EC9" w14:paraId="517215F2" w14:textId="2A0F4999">
      <w:pPr>
        <w:pStyle w:val="FootnoteText"/>
      </w:pPr>
      <w:r w:rsidRPr="00833EC9">
        <w:rPr>
          <w:rStyle w:val="FootnoteReference"/>
        </w:rPr>
        <w:footnoteRef/>
      </w:r>
      <w:r w:rsidRPr="00833EC9">
        <w:t xml:space="preserve"> </w:t>
      </w:r>
      <w:r w:rsidRPr="00833EC9" w:rsidR="007665FB">
        <w:rPr>
          <w:i/>
          <w:iCs/>
        </w:rPr>
        <w:t>Id.</w:t>
      </w:r>
      <w:r w:rsidRPr="00833EC9" w:rsidR="00833EC9">
        <w:t xml:space="preserve"> at 3.</w:t>
      </w:r>
    </w:p>
  </w:footnote>
  <w:footnote w:id="8">
    <w:p w:rsidR="00833EC9" w:rsidRPr="00833EC9" w14:paraId="1CB8253B" w14:textId="67A0E9C2">
      <w:pPr>
        <w:pStyle w:val="FootnoteText"/>
      </w:pPr>
      <w:r w:rsidRPr="00833EC9">
        <w:rPr>
          <w:rStyle w:val="FootnoteReference"/>
        </w:rPr>
        <w:footnoteRef/>
      </w:r>
      <w:r w:rsidRPr="00833EC9">
        <w:t xml:space="preserve"> </w:t>
      </w:r>
      <w:r w:rsidRPr="00833EC9">
        <w:rPr>
          <w:i/>
          <w:iCs/>
        </w:rPr>
        <w:t>Id</w:t>
      </w:r>
      <w:r w:rsidRPr="00833EC9">
        <w:t>.</w:t>
      </w:r>
    </w:p>
  </w:footnote>
  <w:footnote w:id="9">
    <w:p w:rsidR="007D7D0D" w:rsidRPr="00833EC9" w:rsidP="007D7D0D" w14:paraId="0D9EEB06" w14:textId="77777777">
      <w:pPr>
        <w:pStyle w:val="Default"/>
        <w:spacing w:after="120"/>
        <w:rPr>
          <w:sz w:val="20"/>
          <w:szCs w:val="20"/>
        </w:rPr>
      </w:pPr>
      <w:r w:rsidRPr="00833EC9">
        <w:rPr>
          <w:rStyle w:val="FootnoteReference"/>
          <w:szCs w:val="20"/>
        </w:rPr>
        <w:footnoteRef/>
      </w:r>
      <w:r w:rsidRPr="00833EC9">
        <w:rPr>
          <w:sz w:val="20"/>
          <w:szCs w:val="20"/>
        </w:rPr>
        <w:t xml:space="preserve"> Letter from Brett Heather Freedson, Counsel to Dominion Energy and Xcel Energy, to Marlene H. Dortch, Secretary, FCC, WC Docket No. 17-84, at 2 (filed Aug. 31, 2021).  Dominion Energy and Xcel Energy also state that “four (4) days into the short reply comment cycle, the Enforcement Bureau released its final decision in </w:t>
      </w:r>
      <w:r w:rsidRPr="00833EC9">
        <w:rPr>
          <w:i/>
          <w:iCs/>
          <w:sz w:val="20"/>
          <w:szCs w:val="20"/>
        </w:rPr>
        <w:t>BellSouth Telecommunications, LLC d/b/a AT&amp;T Florida v. Duke Energy Florida, LLC</w:t>
      </w:r>
      <w:r>
        <w:rPr>
          <w:sz w:val="20"/>
          <w:szCs w:val="20"/>
        </w:rPr>
        <w:t xml:space="preserve">—a </w:t>
      </w:r>
      <w:r w:rsidRPr="00833EC9">
        <w:rPr>
          <w:sz w:val="20"/>
          <w:szCs w:val="20"/>
        </w:rPr>
        <w:t xml:space="preserve">pole attachment complaint case that addressed the exact same issues raised in the EEI Petition. </w:t>
      </w:r>
      <w:r>
        <w:rPr>
          <w:sz w:val="20"/>
          <w:szCs w:val="20"/>
        </w:rPr>
        <w:t xml:space="preserve"> </w:t>
      </w:r>
      <w:r w:rsidRPr="00833EC9">
        <w:rPr>
          <w:sz w:val="20"/>
          <w:szCs w:val="20"/>
        </w:rPr>
        <w:t>Additional time is needed for parties to fully consider this decision, and its impact on the positions taken in EEI Petition, supportive comments, and oppositions.</w:t>
      </w:r>
      <w:r>
        <w:rPr>
          <w:sz w:val="20"/>
          <w:szCs w:val="20"/>
        </w:rPr>
        <w:t xml:space="preserve">”  </w:t>
      </w:r>
      <w:r>
        <w:rPr>
          <w:i/>
          <w:iCs/>
          <w:sz w:val="20"/>
          <w:szCs w:val="20"/>
        </w:rPr>
        <w:t>Id</w:t>
      </w:r>
      <w:r>
        <w:rPr>
          <w:sz w:val="20"/>
          <w:szCs w:val="20"/>
        </w:rPr>
        <w:t>.</w:t>
      </w:r>
    </w:p>
  </w:footnote>
  <w:footnote w:id="10">
    <w:p w:rsidR="007D7D0D" w:rsidRPr="007D7D0D" w14:paraId="0B76712B" w14:textId="3541CEB3">
      <w:pPr>
        <w:pStyle w:val="FootnoteText"/>
      </w:pPr>
      <w:r>
        <w:rPr>
          <w:rStyle w:val="FootnoteReference"/>
        </w:rPr>
        <w:footnoteRef/>
      </w:r>
      <w:r>
        <w:t xml:space="preserve"> </w:t>
      </w:r>
      <w:r>
        <w:rPr>
          <w:i/>
          <w:iCs/>
        </w:rPr>
        <w:t>Id</w:t>
      </w:r>
      <w:r>
        <w:t>.</w:t>
      </w:r>
    </w:p>
  </w:footnote>
  <w:footnote w:id="11">
    <w:p w:rsidR="00A03B4D" w:rsidRPr="00833EC9" w14:paraId="20BE3D1E" w14:textId="77777777">
      <w:pPr>
        <w:pStyle w:val="FootnoteText"/>
      </w:pPr>
      <w:r w:rsidRPr="00833EC9">
        <w:rPr>
          <w:rStyle w:val="FootnoteReference"/>
        </w:rPr>
        <w:footnoteRef/>
      </w:r>
      <w:r w:rsidRPr="00833EC9">
        <w:t xml:space="preserve"> 47 CFR §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5A4F9B" w14:textId="03DCB135">
    <w:pPr>
      <w:pStyle w:val="Header"/>
      <w:rPr>
        <w:b w:val="0"/>
      </w:rPr>
    </w:pPr>
    <w:r>
      <w:tab/>
      <w:t>Federal Communications Commission</w:t>
    </w:r>
    <w:r>
      <w:tab/>
    </w:r>
    <w:r w:rsidR="00D50105">
      <w:t>DA 21-</w:t>
    </w:r>
    <w:r w:rsidR="008C4EC4">
      <w:t>1095</w:t>
    </w:r>
  </w:p>
  <w:p w:rsidR="00D25FB5" w14:paraId="15ACAAF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C27FF1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4E395D" w14:textId="4BD5E382">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623E5">
      <w:t>DA 21-</w:t>
    </w:r>
    <w:r w:rsidR="008C4EC4">
      <w:t>1095</w:t>
    </w:r>
  </w:p>
  <w:p w:rsidR="00384E8A" w:rsidP="00810B6F" w14:paraId="17F32F47" w14:textId="13DD2B96">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A5C4D01C"/>
    <w:multiLevelType w:val="hybridMultilevel"/>
    <w:tmpl w:val="72464833"/>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19287472"/>
    <w:lvl w:ilvl="0">
      <w:start w:val="1"/>
      <w:numFmt w:val="decimal"/>
      <w:pStyle w:val="Heading1"/>
      <w:lvlText w:val="%1."/>
      <w:lvlJc w:val="left"/>
      <w:pPr>
        <w:tabs>
          <w:tab w:val="num" w:pos="1440"/>
        </w:tabs>
        <w:ind w:left="1440" w:hanging="720"/>
      </w:pPr>
      <w:rPr>
        <w:b w:val="0"/>
        <w:bCs/>
      </w:rPr>
    </w:lvl>
    <w:lvl w:ilvl="1">
      <w:start w:val="1"/>
      <w:numFmt w:val="upperLetter"/>
      <w:pStyle w:val="Heading2"/>
      <w:lvlText w:val="%2."/>
      <w:lvlJc w:val="left"/>
      <w:pPr>
        <w:tabs>
          <w:tab w:val="num" w:pos="2160"/>
        </w:tabs>
        <w:ind w:left="2160" w:hanging="720"/>
      </w:pPr>
    </w:lvl>
    <w:lvl w:ilvl="2">
      <w:start w:val="1"/>
      <w:numFmt w:val="decimal"/>
      <w:pStyle w:val="Heading3"/>
      <w:lvlText w:val="%3."/>
      <w:lvlJc w:val="left"/>
      <w:pPr>
        <w:tabs>
          <w:tab w:val="num" w:pos="2880"/>
        </w:tabs>
        <w:ind w:left="2880" w:hanging="720"/>
      </w:pPr>
    </w:lvl>
    <w:lvl w:ilvl="3">
      <w:start w:val="1"/>
      <w:numFmt w:val="lowerLetter"/>
      <w:pStyle w:val="Heading4"/>
      <w:lvlText w:val="%4."/>
      <w:lvlJc w:val="left"/>
      <w:pPr>
        <w:tabs>
          <w:tab w:val="num" w:pos="3600"/>
        </w:tabs>
        <w:ind w:left="3600" w:hanging="720"/>
      </w:pPr>
    </w:lvl>
    <w:lvl w:ilvl="4">
      <w:start w:val="1"/>
      <w:numFmt w:val="lowerRoman"/>
      <w:pStyle w:val="Heading5"/>
      <w:lvlText w:val="(%5)"/>
      <w:lvlJc w:val="left"/>
      <w:pPr>
        <w:tabs>
          <w:tab w:val="num" w:pos="4320"/>
        </w:tabs>
        <w:ind w:left="4320" w:hanging="720"/>
      </w:pPr>
    </w:lvl>
    <w:lvl w:ilvl="5">
      <w:start w:val="1"/>
      <w:numFmt w:val="lowerLetter"/>
      <w:pStyle w:val="Heading6"/>
      <w:lvlText w:val="(%6)"/>
      <w:lvlJc w:val="left"/>
      <w:pPr>
        <w:tabs>
          <w:tab w:val="num" w:pos="5040"/>
        </w:tabs>
        <w:ind w:left="5040" w:hanging="720"/>
      </w:pPr>
    </w:lvl>
    <w:lvl w:ilvl="6">
      <w:start w:val="1"/>
      <w:numFmt w:val="lowerRoman"/>
      <w:pStyle w:val="Heading7"/>
      <w:lvlText w:val="(%7)"/>
      <w:lvlJc w:val="left"/>
      <w:pPr>
        <w:tabs>
          <w:tab w:val="num" w:pos="5760"/>
        </w:tabs>
        <w:ind w:left="5040" w:firstLine="0"/>
      </w:pPr>
    </w:lvl>
    <w:lvl w:ilvl="7">
      <w:start w:val="1"/>
      <w:numFmt w:val="lowerLetter"/>
      <w:pStyle w:val="Heading8"/>
      <w:lvlText w:val="(%8)"/>
      <w:lvlJc w:val="left"/>
      <w:pPr>
        <w:tabs>
          <w:tab w:val="num" w:pos="6120"/>
        </w:tabs>
        <w:ind w:left="5760" w:firstLine="0"/>
      </w:pPr>
    </w:lvl>
    <w:lvl w:ilvl="8">
      <w:start w:val="1"/>
      <w:numFmt w:val="lowerRoman"/>
      <w:pStyle w:val="Heading9"/>
      <w:lvlText w:val="(%9)"/>
      <w:lvlJc w:val="left"/>
      <w:pPr>
        <w:tabs>
          <w:tab w:val="num" w:pos="6840"/>
        </w:tabs>
        <w:ind w:left="6480" w:firstLine="0"/>
      </w:pPr>
    </w:lvl>
  </w:abstractNum>
  <w:abstractNum w:abstractNumId="5">
    <w:nsid w:val="2A344EB0"/>
    <w:multiLevelType w:val="multilevel"/>
    <w:tmpl w:val="134E1D4A"/>
    <w:lvl w:ilvl="0">
      <w:start w:val="1"/>
      <w:numFmt w:val="decimal"/>
      <w:lvlText w:val="%1."/>
      <w:lvlJc w:val="left"/>
      <w:pPr>
        <w:tabs>
          <w:tab w:val="num" w:pos="1440"/>
        </w:tabs>
        <w:ind w:left="1440" w:hanging="720"/>
      </w:pPr>
      <w:rPr>
        <w:b w:val="0"/>
        <w:bCs/>
      </w:rPr>
    </w:lvl>
    <w:lvl w:ilvl="1">
      <w:start w:val="1"/>
      <w:numFmt w:val="upp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lowerRoman"/>
      <w:lvlText w:val="(%5)"/>
      <w:lvlJc w:val="left"/>
      <w:pPr>
        <w:tabs>
          <w:tab w:val="num" w:pos="4320"/>
        </w:tabs>
        <w:ind w:left="4320" w:hanging="720"/>
      </w:pPr>
    </w:lvl>
    <w:lvl w:ilvl="5">
      <w:start w:val="1"/>
      <w:numFmt w:val="lowerLetter"/>
      <w:lvlText w:val="(%6)"/>
      <w:lvlJc w:val="left"/>
      <w:pPr>
        <w:tabs>
          <w:tab w:val="num" w:pos="5040"/>
        </w:tabs>
        <w:ind w:left="5040" w:hanging="720"/>
      </w:pPr>
    </w:lvl>
    <w:lvl w:ilvl="6">
      <w:start w:val="1"/>
      <w:numFmt w:val="lowerRoman"/>
      <w:lvlText w:val="(%7)"/>
      <w:lvlJc w:val="left"/>
      <w:pPr>
        <w:tabs>
          <w:tab w:val="num" w:pos="576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6840"/>
        </w:tabs>
        <w:ind w:left="6480" w:firstLine="0"/>
      </w:pPr>
    </w:lvl>
  </w:abstractNum>
  <w:abstractNum w:abstractNumId="6">
    <w:nsid w:val="2D56967B"/>
    <w:multiLevelType w:val="hybridMultilevel"/>
    <w:tmpl w:val="E0669B26"/>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49F04A25"/>
    <w:multiLevelType w:val="hybridMultilevel"/>
    <w:tmpl w:val="5706140C"/>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8"/>
  </w:num>
  <w:num w:numId="5">
    <w:abstractNumId w:val="3"/>
  </w:num>
  <w:num w:numId="6">
    <w:abstractNumId w:val="1"/>
  </w:num>
  <w:num w:numId="7">
    <w:abstractNumId w:val="5"/>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8B"/>
    <w:rsid w:val="000027FE"/>
    <w:rsid w:val="00012FD5"/>
    <w:rsid w:val="000144B8"/>
    <w:rsid w:val="00034E4B"/>
    <w:rsid w:val="00035CC2"/>
    <w:rsid w:val="00036039"/>
    <w:rsid w:val="00037F90"/>
    <w:rsid w:val="00055FCA"/>
    <w:rsid w:val="00070F6B"/>
    <w:rsid w:val="00080627"/>
    <w:rsid w:val="00084F7C"/>
    <w:rsid w:val="000875BF"/>
    <w:rsid w:val="000909FF"/>
    <w:rsid w:val="00096D8C"/>
    <w:rsid w:val="000A0415"/>
    <w:rsid w:val="000B2C42"/>
    <w:rsid w:val="000B2C47"/>
    <w:rsid w:val="000B542A"/>
    <w:rsid w:val="000B71D3"/>
    <w:rsid w:val="000C0B65"/>
    <w:rsid w:val="000C16A6"/>
    <w:rsid w:val="000E05FE"/>
    <w:rsid w:val="000E0827"/>
    <w:rsid w:val="000E3D42"/>
    <w:rsid w:val="00100339"/>
    <w:rsid w:val="0010138B"/>
    <w:rsid w:val="001115D7"/>
    <w:rsid w:val="00114E0D"/>
    <w:rsid w:val="00120A03"/>
    <w:rsid w:val="0012145E"/>
    <w:rsid w:val="00122BD5"/>
    <w:rsid w:val="00133F79"/>
    <w:rsid w:val="00135BB6"/>
    <w:rsid w:val="0013791A"/>
    <w:rsid w:val="0014324F"/>
    <w:rsid w:val="00160902"/>
    <w:rsid w:val="0016410E"/>
    <w:rsid w:val="001643A0"/>
    <w:rsid w:val="001847BB"/>
    <w:rsid w:val="00192B57"/>
    <w:rsid w:val="00194A66"/>
    <w:rsid w:val="001973B7"/>
    <w:rsid w:val="001D6BCF"/>
    <w:rsid w:val="001E01CA"/>
    <w:rsid w:val="001F11C3"/>
    <w:rsid w:val="002008A6"/>
    <w:rsid w:val="00205F8D"/>
    <w:rsid w:val="002072BC"/>
    <w:rsid w:val="00215D1A"/>
    <w:rsid w:val="00215EF5"/>
    <w:rsid w:val="002160CB"/>
    <w:rsid w:val="002178FF"/>
    <w:rsid w:val="00223815"/>
    <w:rsid w:val="00230266"/>
    <w:rsid w:val="00231D84"/>
    <w:rsid w:val="0024695A"/>
    <w:rsid w:val="0025092A"/>
    <w:rsid w:val="002522DD"/>
    <w:rsid w:val="00252C97"/>
    <w:rsid w:val="00253161"/>
    <w:rsid w:val="00255D9E"/>
    <w:rsid w:val="00256908"/>
    <w:rsid w:val="00275CF5"/>
    <w:rsid w:val="0028301F"/>
    <w:rsid w:val="00285017"/>
    <w:rsid w:val="002873F1"/>
    <w:rsid w:val="002A004C"/>
    <w:rsid w:val="002A2D2E"/>
    <w:rsid w:val="002A617D"/>
    <w:rsid w:val="002B119D"/>
    <w:rsid w:val="002B4031"/>
    <w:rsid w:val="002C00E8"/>
    <w:rsid w:val="002C37C5"/>
    <w:rsid w:val="002C7519"/>
    <w:rsid w:val="00304DD7"/>
    <w:rsid w:val="00307A0B"/>
    <w:rsid w:val="00320042"/>
    <w:rsid w:val="00343749"/>
    <w:rsid w:val="00347B31"/>
    <w:rsid w:val="00354E9D"/>
    <w:rsid w:val="003624D1"/>
    <w:rsid w:val="003660ED"/>
    <w:rsid w:val="00372132"/>
    <w:rsid w:val="00373380"/>
    <w:rsid w:val="003820AD"/>
    <w:rsid w:val="00384E8A"/>
    <w:rsid w:val="0038660E"/>
    <w:rsid w:val="00390411"/>
    <w:rsid w:val="00391FDF"/>
    <w:rsid w:val="003A109C"/>
    <w:rsid w:val="003A1A8C"/>
    <w:rsid w:val="003A1FA0"/>
    <w:rsid w:val="003B0550"/>
    <w:rsid w:val="003B694F"/>
    <w:rsid w:val="003C63A0"/>
    <w:rsid w:val="003D016F"/>
    <w:rsid w:val="003D26EF"/>
    <w:rsid w:val="003D59C2"/>
    <w:rsid w:val="003D75EB"/>
    <w:rsid w:val="003E2E2B"/>
    <w:rsid w:val="003E74AB"/>
    <w:rsid w:val="003E75B1"/>
    <w:rsid w:val="003E75C4"/>
    <w:rsid w:val="003E7AC3"/>
    <w:rsid w:val="003F171C"/>
    <w:rsid w:val="004048B8"/>
    <w:rsid w:val="00412FC5"/>
    <w:rsid w:val="00417635"/>
    <w:rsid w:val="00422276"/>
    <w:rsid w:val="00424178"/>
    <w:rsid w:val="004242F1"/>
    <w:rsid w:val="00432919"/>
    <w:rsid w:val="0043797A"/>
    <w:rsid w:val="00445A00"/>
    <w:rsid w:val="00450AD2"/>
    <w:rsid w:val="00451B0F"/>
    <w:rsid w:val="00453D49"/>
    <w:rsid w:val="0045578A"/>
    <w:rsid w:val="00460404"/>
    <w:rsid w:val="00462A4A"/>
    <w:rsid w:val="00463E41"/>
    <w:rsid w:val="00464AA8"/>
    <w:rsid w:val="00466452"/>
    <w:rsid w:val="00475569"/>
    <w:rsid w:val="004B014B"/>
    <w:rsid w:val="004B5844"/>
    <w:rsid w:val="004C1A7C"/>
    <w:rsid w:val="004C2EE3"/>
    <w:rsid w:val="004C5414"/>
    <w:rsid w:val="004D3B56"/>
    <w:rsid w:val="004E4A22"/>
    <w:rsid w:val="004F41A5"/>
    <w:rsid w:val="004F4DFA"/>
    <w:rsid w:val="0050064E"/>
    <w:rsid w:val="00503D6F"/>
    <w:rsid w:val="0050466B"/>
    <w:rsid w:val="00511968"/>
    <w:rsid w:val="00531340"/>
    <w:rsid w:val="0055614C"/>
    <w:rsid w:val="00561B82"/>
    <w:rsid w:val="005623E5"/>
    <w:rsid w:val="005654E2"/>
    <w:rsid w:val="00566D06"/>
    <w:rsid w:val="005763BB"/>
    <w:rsid w:val="005955A9"/>
    <w:rsid w:val="005A25BA"/>
    <w:rsid w:val="005A7266"/>
    <w:rsid w:val="005A7885"/>
    <w:rsid w:val="005B1E02"/>
    <w:rsid w:val="005C4F71"/>
    <w:rsid w:val="005D2D4A"/>
    <w:rsid w:val="005E14C2"/>
    <w:rsid w:val="005E6667"/>
    <w:rsid w:val="005F33A5"/>
    <w:rsid w:val="00606919"/>
    <w:rsid w:val="00606B99"/>
    <w:rsid w:val="00607BA5"/>
    <w:rsid w:val="0061180A"/>
    <w:rsid w:val="0062065B"/>
    <w:rsid w:val="00622E89"/>
    <w:rsid w:val="0062605C"/>
    <w:rsid w:val="00626EB6"/>
    <w:rsid w:val="00627A1B"/>
    <w:rsid w:val="00630002"/>
    <w:rsid w:val="006423F8"/>
    <w:rsid w:val="00655D03"/>
    <w:rsid w:val="00662021"/>
    <w:rsid w:val="0066348D"/>
    <w:rsid w:val="00683388"/>
    <w:rsid w:val="00683F84"/>
    <w:rsid w:val="00697BF2"/>
    <w:rsid w:val="006A6A81"/>
    <w:rsid w:val="006B0C42"/>
    <w:rsid w:val="006B5115"/>
    <w:rsid w:val="006C2C69"/>
    <w:rsid w:val="006D5856"/>
    <w:rsid w:val="006D6672"/>
    <w:rsid w:val="006D756B"/>
    <w:rsid w:val="006F6627"/>
    <w:rsid w:val="006F7393"/>
    <w:rsid w:val="006F7D92"/>
    <w:rsid w:val="0070224F"/>
    <w:rsid w:val="00710A7D"/>
    <w:rsid w:val="00711410"/>
    <w:rsid w:val="007115F7"/>
    <w:rsid w:val="00713361"/>
    <w:rsid w:val="00714930"/>
    <w:rsid w:val="00720C02"/>
    <w:rsid w:val="0072471A"/>
    <w:rsid w:val="007265FB"/>
    <w:rsid w:val="007311D7"/>
    <w:rsid w:val="007343B1"/>
    <w:rsid w:val="00736B16"/>
    <w:rsid w:val="00764492"/>
    <w:rsid w:val="00764F2A"/>
    <w:rsid w:val="007665FB"/>
    <w:rsid w:val="00777282"/>
    <w:rsid w:val="00784CD7"/>
    <w:rsid w:val="00785689"/>
    <w:rsid w:val="0079754B"/>
    <w:rsid w:val="007A1E6D"/>
    <w:rsid w:val="007A62B9"/>
    <w:rsid w:val="007B0EB2"/>
    <w:rsid w:val="007B39BB"/>
    <w:rsid w:val="007C2508"/>
    <w:rsid w:val="007D5E93"/>
    <w:rsid w:val="007D76F1"/>
    <w:rsid w:val="007D7D0D"/>
    <w:rsid w:val="007E334D"/>
    <w:rsid w:val="007E5CCA"/>
    <w:rsid w:val="007F63B6"/>
    <w:rsid w:val="007F6FB9"/>
    <w:rsid w:val="00807ABF"/>
    <w:rsid w:val="00810B6F"/>
    <w:rsid w:val="00822CE0"/>
    <w:rsid w:val="00827A4B"/>
    <w:rsid w:val="00832AFA"/>
    <w:rsid w:val="00833EC9"/>
    <w:rsid w:val="008350D7"/>
    <w:rsid w:val="00841AB1"/>
    <w:rsid w:val="00854D33"/>
    <w:rsid w:val="00861FD6"/>
    <w:rsid w:val="00863286"/>
    <w:rsid w:val="00863B07"/>
    <w:rsid w:val="0087344F"/>
    <w:rsid w:val="0088221B"/>
    <w:rsid w:val="00897545"/>
    <w:rsid w:val="008A15B4"/>
    <w:rsid w:val="008B4096"/>
    <w:rsid w:val="008C0250"/>
    <w:rsid w:val="008C0C31"/>
    <w:rsid w:val="008C4EC4"/>
    <w:rsid w:val="008C68F1"/>
    <w:rsid w:val="008C78DB"/>
    <w:rsid w:val="008D5A9B"/>
    <w:rsid w:val="008E75B0"/>
    <w:rsid w:val="008F0456"/>
    <w:rsid w:val="008F39AD"/>
    <w:rsid w:val="00905BF6"/>
    <w:rsid w:val="00911EF5"/>
    <w:rsid w:val="00921702"/>
    <w:rsid w:val="00921803"/>
    <w:rsid w:val="0092583F"/>
    <w:rsid w:val="00926503"/>
    <w:rsid w:val="00927CAB"/>
    <w:rsid w:val="009313B9"/>
    <w:rsid w:val="00947970"/>
    <w:rsid w:val="00951114"/>
    <w:rsid w:val="00952C9B"/>
    <w:rsid w:val="0095780D"/>
    <w:rsid w:val="00963F0B"/>
    <w:rsid w:val="0096665C"/>
    <w:rsid w:val="00966F5A"/>
    <w:rsid w:val="00967868"/>
    <w:rsid w:val="009726D8"/>
    <w:rsid w:val="009806DA"/>
    <w:rsid w:val="009966BD"/>
    <w:rsid w:val="009971D4"/>
    <w:rsid w:val="009A5B3E"/>
    <w:rsid w:val="009B794B"/>
    <w:rsid w:val="009C1EF1"/>
    <w:rsid w:val="009C65EF"/>
    <w:rsid w:val="009D39AB"/>
    <w:rsid w:val="009D7308"/>
    <w:rsid w:val="009E1C8A"/>
    <w:rsid w:val="009F45E8"/>
    <w:rsid w:val="009F4DDD"/>
    <w:rsid w:val="009F76DB"/>
    <w:rsid w:val="00A03B4D"/>
    <w:rsid w:val="00A21BEE"/>
    <w:rsid w:val="00A27D5D"/>
    <w:rsid w:val="00A32C3B"/>
    <w:rsid w:val="00A34694"/>
    <w:rsid w:val="00A42B32"/>
    <w:rsid w:val="00A42D9B"/>
    <w:rsid w:val="00A43B37"/>
    <w:rsid w:val="00A45F4F"/>
    <w:rsid w:val="00A600A9"/>
    <w:rsid w:val="00A6503B"/>
    <w:rsid w:val="00A71DAE"/>
    <w:rsid w:val="00A77379"/>
    <w:rsid w:val="00A82107"/>
    <w:rsid w:val="00A85B38"/>
    <w:rsid w:val="00A91AA9"/>
    <w:rsid w:val="00A9777E"/>
    <w:rsid w:val="00AA55B7"/>
    <w:rsid w:val="00AA5B9E"/>
    <w:rsid w:val="00AB2407"/>
    <w:rsid w:val="00AB53DF"/>
    <w:rsid w:val="00AC2AFC"/>
    <w:rsid w:val="00AD1FBC"/>
    <w:rsid w:val="00AE3306"/>
    <w:rsid w:val="00AE5ED0"/>
    <w:rsid w:val="00AF051B"/>
    <w:rsid w:val="00AF3491"/>
    <w:rsid w:val="00AF367C"/>
    <w:rsid w:val="00AF57F9"/>
    <w:rsid w:val="00B00B87"/>
    <w:rsid w:val="00B0238F"/>
    <w:rsid w:val="00B06277"/>
    <w:rsid w:val="00B07E5C"/>
    <w:rsid w:val="00B30045"/>
    <w:rsid w:val="00B34697"/>
    <w:rsid w:val="00B34F5A"/>
    <w:rsid w:val="00B353A5"/>
    <w:rsid w:val="00B5774D"/>
    <w:rsid w:val="00B6512B"/>
    <w:rsid w:val="00B726AD"/>
    <w:rsid w:val="00B737E3"/>
    <w:rsid w:val="00B75CA2"/>
    <w:rsid w:val="00B75E12"/>
    <w:rsid w:val="00B811F7"/>
    <w:rsid w:val="00B815BC"/>
    <w:rsid w:val="00B84A4E"/>
    <w:rsid w:val="00BA0E6C"/>
    <w:rsid w:val="00BA22EC"/>
    <w:rsid w:val="00BA5DC6"/>
    <w:rsid w:val="00BA6196"/>
    <w:rsid w:val="00BC090B"/>
    <w:rsid w:val="00BC4E7D"/>
    <w:rsid w:val="00BC5471"/>
    <w:rsid w:val="00BC6D8C"/>
    <w:rsid w:val="00BD4186"/>
    <w:rsid w:val="00BE0820"/>
    <w:rsid w:val="00BE4EC3"/>
    <w:rsid w:val="00BF322E"/>
    <w:rsid w:val="00BF332C"/>
    <w:rsid w:val="00BF48DD"/>
    <w:rsid w:val="00BF7FF4"/>
    <w:rsid w:val="00C00F7A"/>
    <w:rsid w:val="00C1019E"/>
    <w:rsid w:val="00C114D6"/>
    <w:rsid w:val="00C13273"/>
    <w:rsid w:val="00C25BE5"/>
    <w:rsid w:val="00C3284C"/>
    <w:rsid w:val="00C34006"/>
    <w:rsid w:val="00C36B4C"/>
    <w:rsid w:val="00C426B1"/>
    <w:rsid w:val="00C43497"/>
    <w:rsid w:val="00C47E45"/>
    <w:rsid w:val="00C545B4"/>
    <w:rsid w:val="00C61EDE"/>
    <w:rsid w:val="00C61FC6"/>
    <w:rsid w:val="00C63B15"/>
    <w:rsid w:val="00C66160"/>
    <w:rsid w:val="00C721AC"/>
    <w:rsid w:val="00C72C1D"/>
    <w:rsid w:val="00C76BA0"/>
    <w:rsid w:val="00C77144"/>
    <w:rsid w:val="00C81FFE"/>
    <w:rsid w:val="00C907D5"/>
    <w:rsid w:val="00C90D6A"/>
    <w:rsid w:val="00CA247E"/>
    <w:rsid w:val="00CA3497"/>
    <w:rsid w:val="00CA6D21"/>
    <w:rsid w:val="00CC72B6"/>
    <w:rsid w:val="00CD3E93"/>
    <w:rsid w:val="00CF0C4F"/>
    <w:rsid w:val="00CF1FE5"/>
    <w:rsid w:val="00CF2ED1"/>
    <w:rsid w:val="00D0218D"/>
    <w:rsid w:val="00D037B3"/>
    <w:rsid w:val="00D1657C"/>
    <w:rsid w:val="00D25FB5"/>
    <w:rsid w:val="00D2706D"/>
    <w:rsid w:val="00D2748B"/>
    <w:rsid w:val="00D44223"/>
    <w:rsid w:val="00D44C43"/>
    <w:rsid w:val="00D50105"/>
    <w:rsid w:val="00D615E7"/>
    <w:rsid w:val="00D748E0"/>
    <w:rsid w:val="00D77BEA"/>
    <w:rsid w:val="00D80D7B"/>
    <w:rsid w:val="00D82ABE"/>
    <w:rsid w:val="00D96B01"/>
    <w:rsid w:val="00D9796D"/>
    <w:rsid w:val="00D97F45"/>
    <w:rsid w:val="00DA2529"/>
    <w:rsid w:val="00DB130A"/>
    <w:rsid w:val="00DB2EBB"/>
    <w:rsid w:val="00DB4BCD"/>
    <w:rsid w:val="00DC10A1"/>
    <w:rsid w:val="00DC655F"/>
    <w:rsid w:val="00DD0B59"/>
    <w:rsid w:val="00DD7EBD"/>
    <w:rsid w:val="00DE0072"/>
    <w:rsid w:val="00DE714F"/>
    <w:rsid w:val="00DF62B6"/>
    <w:rsid w:val="00E044CE"/>
    <w:rsid w:val="00E05C90"/>
    <w:rsid w:val="00E07225"/>
    <w:rsid w:val="00E139BF"/>
    <w:rsid w:val="00E20129"/>
    <w:rsid w:val="00E23988"/>
    <w:rsid w:val="00E24AE5"/>
    <w:rsid w:val="00E47B08"/>
    <w:rsid w:val="00E52A5A"/>
    <w:rsid w:val="00E53C3A"/>
    <w:rsid w:val="00E5409F"/>
    <w:rsid w:val="00E606F8"/>
    <w:rsid w:val="00E7536A"/>
    <w:rsid w:val="00E76B7F"/>
    <w:rsid w:val="00E76FA7"/>
    <w:rsid w:val="00EA6E73"/>
    <w:rsid w:val="00EC27BE"/>
    <w:rsid w:val="00ED1591"/>
    <w:rsid w:val="00ED4416"/>
    <w:rsid w:val="00EE2667"/>
    <w:rsid w:val="00EE6488"/>
    <w:rsid w:val="00F021FA"/>
    <w:rsid w:val="00F05AA3"/>
    <w:rsid w:val="00F1154A"/>
    <w:rsid w:val="00F23481"/>
    <w:rsid w:val="00F24154"/>
    <w:rsid w:val="00F42186"/>
    <w:rsid w:val="00F52A2A"/>
    <w:rsid w:val="00F5306C"/>
    <w:rsid w:val="00F54881"/>
    <w:rsid w:val="00F61280"/>
    <w:rsid w:val="00F62E97"/>
    <w:rsid w:val="00F64209"/>
    <w:rsid w:val="00F81BEA"/>
    <w:rsid w:val="00F93BF5"/>
    <w:rsid w:val="00F96034"/>
    <w:rsid w:val="00F9659F"/>
    <w:rsid w:val="00FB0D7C"/>
    <w:rsid w:val="00FB2326"/>
    <w:rsid w:val="00FB5E03"/>
    <w:rsid w:val="00FD1BA2"/>
    <w:rsid w:val="00FE1969"/>
    <w:rsid w:val="00FE3BA5"/>
    <w:rsid w:val="00FF4D7E"/>
    <w:rsid w:val="0381718B"/>
    <w:rsid w:val="0431EDAB"/>
    <w:rsid w:val="0676AFBE"/>
    <w:rsid w:val="07C64FF1"/>
    <w:rsid w:val="082044C7"/>
    <w:rsid w:val="0AC7E460"/>
    <w:rsid w:val="0BB7C7F4"/>
    <w:rsid w:val="0DF302FE"/>
    <w:rsid w:val="0EAD6F9B"/>
    <w:rsid w:val="117798B1"/>
    <w:rsid w:val="11A9686D"/>
    <w:rsid w:val="13467C3B"/>
    <w:rsid w:val="1375BACC"/>
    <w:rsid w:val="151B822F"/>
    <w:rsid w:val="186DE03C"/>
    <w:rsid w:val="1CD0020C"/>
    <w:rsid w:val="1D4652CE"/>
    <w:rsid w:val="220A1219"/>
    <w:rsid w:val="242C1C4A"/>
    <w:rsid w:val="25919645"/>
    <w:rsid w:val="26910469"/>
    <w:rsid w:val="2B8AEBDB"/>
    <w:rsid w:val="2D94F80D"/>
    <w:rsid w:val="32AB3F96"/>
    <w:rsid w:val="36224B64"/>
    <w:rsid w:val="3B565D40"/>
    <w:rsid w:val="3DD12C09"/>
    <w:rsid w:val="3EA3605C"/>
    <w:rsid w:val="3FD1CB9D"/>
    <w:rsid w:val="407E772A"/>
    <w:rsid w:val="458048C9"/>
    <w:rsid w:val="482C98B3"/>
    <w:rsid w:val="4AF6F531"/>
    <w:rsid w:val="4AFA50DD"/>
    <w:rsid w:val="4B643975"/>
    <w:rsid w:val="540D3696"/>
    <w:rsid w:val="56C1DAE1"/>
    <w:rsid w:val="579AAF0F"/>
    <w:rsid w:val="5FC13B9E"/>
    <w:rsid w:val="6482242F"/>
    <w:rsid w:val="65FE0625"/>
    <w:rsid w:val="66F42875"/>
    <w:rsid w:val="6799D686"/>
    <w:rsid w:val="6A273DD0"/>
    <w:rsid w:val="6A301D5A"/>
    <w:rsid w:val="6E14E265"/>
    <w:rsid w:val="78F1BAF0"/>
    <w:rsid w:val="792F4D9D"/>
    <w:rsid w:val="7AED5C8E"/>
    <w:rsid w:val="7B5602B3"/>
    <w:rsid w:val="7F18E23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3806EB4"/>
  <w15:chartTrackingRefBased/>
  <w15:docId w15:val="{5C76AFEF-D8BB-41B0-8B3C-A74E50BB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hanging="720"/>
      <w:outlineLvl w:val="6"/>
    </w:pPr>
    <w:rPr>
      <w:b/>
    </w:rPr>
  </w:style>
  <w:style w:type="paragraph" w:styleId="Heading8">
    <w:name w:val="heading 8"/>
    <w:basedOn w:val="Normal"/>
    <w:next w:val="ParaNum"/>
    <w:qFormat/>
    <w:rsid w:val="001E01CA"/>
    <w:pPr>
      <w:numPr>
        <w:ilvl w:val="7"/>
        <w:numId w:val="3"/>
      </w:numPr>
      <w:tabs>
        <w:tab w:val="left" w:pos="5760"/>
      </w:tabs>
      <w:spacing w:after="120"/>
      <w:ind w:hanging="720"/>
      <w:outlineLvl w:val="7"/>
    </w:pPr>
    <w:rPr>
      <w:b/>
    </w:rPr>
  </w:style>
  <w:style w:type="paragraph" w:styleId="Heading9">
    <w:name w:val="heading 9"/>
    <w:basedOn w:val="Normal"/>
    <w:next w:val="ParaNum"/>
    <w:qFormat/>
    <w:rsid w:val="001E01CA"/>
    <w:pPr>
      <w:numPr>
        <w:ilvl w:val="8"/>
        <w:numId w:val="3"/>
      </w:numPr>
      <w:tabs>
        <w:tab w:val="left" w:pos="6480"/>
      </w:tabs>
      <w:spacing w:after="120"/>
      <w:ind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table" w:styleId="TableGrid">
    <w:name w:val="Table Grid"/>
    <w:basedOn w:val="TableNormal"/>
    <w:rsid w:val="00D74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3A0"/>
    <w:pPr>
      <w:ind w:left="720"/>
      <w:contextualSpacing/>
    </w:pPr>
  </w:style>
  <w:style w:type="character" w:customStyle="1" w:styleId="UnresolvedMention1">
    <w:name w:val="Unresolved Mention1"/>
    <w:basedOn w:val="DefaultParagraphFont"/>
    <w:uiPriority w:val="99"/>
    <w:semiHidden/>
    <w:unhideWhenUsed/>
    <w:rsid w:val="00FB0D7C"/>
    <w:rPr>
      <w:color w:val="605E5C"/>
      <w:shd w:val="clear" w:color="auto" w:fill="E1DFDD"/>
    </w:rPr>
  </w:style>
  <w:style w:type="character" w:styleId="FollowedHyperlink">
    <w:name w:val="FollowedHyperlink"/>
    <w:basedOn w:val="DefaultParagraphFont"/>
    <w:rsid w:val="00307A0B"/>
    <w:rPr>
      <w:color w:val="954F72" w:themeColor="followedHyperlink"/>
      <w:u w:val="single"/>
    </w:rPr>
  </w:style>
  <w:style w:type="paragraph" w:styleId="BalloonText">
    <w:name w:val="Balloon Text"/>
    <w:basedOn w:val="Normal"/>
    <w:link w:val="BalloonTextChar"/>
    <w:rsid w:val="00927CAB"/>
    <w:rPr>
      <w:rFonts w:ascii="Segoe UI" w:hAnsi="Segoe UI" w:cs="Segoe UI"/>
      <w:sz w:val="18"/>
      <w:szCs w:val="18"/>
    </w:rPr>
  </w:style>
  <w:style w:type="character" w:customStyle="1" w:styleId="BalloonTextChar">
    <w:name w:val="Balloon Text Char"/>
    <w:basedOn w:val="DefaultParagraphFont"/>
    <w:link w:val="BalloonText"/>
    <w:rsid w:val="00927CAB"/>
    <w:rPr>
      <w:rFonts w:ascii="Segoe UI" w:hAnsi="Segoe UI" w:cs="Segoe UI"/>
      <w:snapToGrid w:val="0"/>
      <w:kern w:val="28"/>
      <w:sz w:val="18"/>
      <w:szCs w:val="18"/>
    </w:rPr>
  </w:style>
  <w:style w:type="character" w:styleId="CommentReference">
    <w:name w:val="annotation reference"/>
    <w:basedOn w:val="DefaultParagraphFont"/>
    <w:rsid w:val="005E6667"/>
    <w:rPr>
      <w:sz w:val="16"/>
      <w:szCs w:val="16"/>
    </w:rPr>
  </w:style>
  <w:style w:type="paragraph" w:styleId="CommentText">
    <w:name w:val="annotation text"/>
    <w:basedOn w:val="Normal"/>
    <w:link w:val="CommentTextChar"/>
    <w:rsid w:val="005E6667"/>
    <w:rPr>
      <w:sz w:val="20"/>
    </w:rPr>
  </w:style>
  <w:style w:type="character" w:customStyle="1" w:styleId="CommentTextChar">
    <w:name w:val="Comment Text Char"/>
    <w:basedOn w:val="DefaultParagraphFont"/>
    <w:link w:val="CommentText"/>
    <w:rsid w:val="005E6667"/>
    <w:rPr>
      <w:snapToGrid w:val="0"/>
      <w:kern w:val="28"/>
    </w:rPr>
  </w:style>
  <w:style w:type="paragraph" w:styleId="CommentSubject">
    <w:name w:val="annotation subject"/>
    <w:basedOn w:val="CommentText"/>
    <w:next w:val="CommentText"/>
    <w:link w:val="CommentSubjectChar"/>
    <w:rsid w:val="005E6667"/>
    <w:rPr>
      <w:b/>
      <w:bCs/>
    </w:rPr>
  </w:style>
  <w:style w:type="character" w:customStyle="1" w:styleId="CommentSubjectChar">
    <w:name w:val="Comment Subject Char"/>
    <w:basedOn w:val="CommentTextChar"/>
    <w:link w:val="CommentSubject"/>
    <w:rsid w:val="005E6667"/>
    <w:rPr>
      <w:b/>
      <w:bCs/>
      <w:snapToGrid w:val="0"/>
      <w:kern w:val="28"/>
    </w:rPr>
  </w:style>
  <w:style w:type="paragraph" w:styleId="Revision">
    <w:name w:val="Revision"/>
    <w:hidden/>
    <w:uiPriority w:val="99"/>
    <w:semiHidden/>
    <w:rsid w:val="00C76BA0"/>
    <w:rPr>
      <w:snapToGrid w:val="0"/>
      <w:kern w:val="28"/>
      <w:sz w:val="22"/>
    </w:rPr>
  </w:style>
  <w:style w:type="paragraph" w:customStyle="1" w:styleId="Default">
    <w:name w:val="Default"/>
    <w:rsid w:val="00833EC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8262272229037/EEI%20Motion%20for%20Extension%20of%20Time%20Docket%2017-84.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