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P="00FE0540" w14:paraId="05180410" w14:textId="79BADF4C">
            <w:pPr>
              <w:tabs>
                <w:tab w:val="center" w:pos="4680"/>
              </w:tabs>
              <w:suppressAutoHyphens/>
              <w:rPr>
                <w:b/>
                <w:spacing w:val="-2"/>
              </w:rPr>
            </w:pPr>
            <w:r>
              <w:rPr>
                <w:b/>
                <w:spacing w:val="-2"/>
              </w:rPr>
              <w:t>Mt. Vernon Missionary Baptist Church</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5791AF91">
            <w:pPr>
              <w:tabs>
                <w:tab w:val="center" w:pos="4680"/>
              </w:tabs>
              <w:suppressAutoHyphens/>
              <w:rPr>
                <w:spacing w:val="-2"/>
              </w:rPr>
            </w:pPr>
            <w:r w:rsidRPr="00FE0540">
              <w:rPr>
                <w:spacing w:val="-2"/>
              </w:rPr>
              <w:t xml:space="preserve">Station </w:t>
            </w:r>
            <w:r w:rsidRPr="00AA10B1" w:rsidR="00AA10B1">
              <w:rPr>
                <w:spacing w:val="-2"/>
              </w:rPr>
              <w:t>WNNN-LP</w:t>
            </w:r>
          </w:p>
          <w:p w:rsidR="004C2EE3" w:rsidRPr="007115F7" w:rsidP="007115F7" w14:paraId="594146C3" w14:textId="5979E38F">
            <w:pPr>
              <w:tabs>
                <w:tab w:val="center" w:pos="4680"/>
              </w:tabs>
              <w:suppressAutoHyphens/>
              <w:rPr>
                <w:spacing w:val="-2"/>
              </w:rPr>
            </w:pPr>
            <w:r>
              <w:rPr>
                <w:spacing w:val="-2"/>
              </w:rPr>
              <w:t>Nox</w:t>
            </w:r>
            <w:r w:rsidR="001D5112">
              <w:rPr>
                <w:spacing w:val="-2"/>
              </w:rPr>
              <w:t>apater</w:t>
            </w:r>
            <w:r w:rsidR="00177AF1">
              <w:rPr>
                <w:spacing w:val="-2"/>
              </w:rPr>
              <w:t xml:space="preserve">, </w:t>
            </w:r>
            <w:r w:rsidR="001D5112">
              <w:rPr>
                <w:spacing w:val="-2"/>
              </w:rPr>
              <w:t>Mississippi</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2CE22B0F">
            <w:pPr>
              <w:pStyle w:val="TOAHeading"/>
              <w:tabs>
                <w:tab w:val="center" w:pos="4680"/>
              </w:tabs>
              <w:rPr>
                <w:b/>
                <w:spacing w:val="-2"/>
              </w:rPr>
            </w:pPr>
            <w:r w:rsidRPr="00FE0540">
              <w:rPr>
                <w:spacing w:val="-2"/>
              </w:rPr>
              <w:t>Facility ID No.</w:t>
            </w:r>
            <w:r w:rsidRPr="00524E06">
              <w:rPr>
                <w:spacing w:val="-2"/>
              </w:rPr>
              <w:t xml:space="preserve"> </w:t>
            </w:r>
            <w:bookmarkStart w:id="0" w:name="j_idt79:0:facility_id"/>
            <w:r w:rsidRPr="001D5112" w:rsidR="001D5112">
              <w:rPr>
                <w:spacing w:val="-2"/>
              </w:rPr>
              <w:t>126713</w:t>
            </w:r>
            <w:bookmarkEnd w:id="0"/>
          </w:p>
          <w:p w:rsidR="00FE0540" w:rsidRPr="00FE0540" w:rsidP="00FE0540" w14:paraId="06391CBB" w14:textId="3EACCDF6">
            <w:pPr>
              <w:pStyle w:val="TOAHeading"/>
              <w:tabs>
                <w:tab w:val="center" w:pos="4680"/>
              </w:tabs>
              <w:rPr>
                <w:spacing w:val="-2"/>
              </w:rPr>
            </w:pPr>
            <w:r w:rsidRPr="003402ED">
              <w:rPr>
                <w:spacing w:val="-2"/>
              </w:rPr>
              <w:t>NAL/Acct. No.</w:t>
            </w:r>
            <w:r w:rsidR="00050F7F">
              <w:rPr>
                <w:spacing w:val="-2"/>
              </w:rPr>
              <w:t xml:space="preserve"> </w:t>
            </w:r>
            <w:r w:rsidR="003402ED">
              <w:t>MB-202141410046</w:t>
            </w:r>
          </w:p>
          <w:p w:rsidR="00FE0540" w:rsidRPr="00FE0540" w:rsidP="00FE0540" w14:paraId="580FF7C4" w14:textId="2D0C71BF">
            <w:pPr>
              <w:pStyle w:val="TOAHeading"/>
              <w:tabs>
                <w:tab w:val="center" w:pos="4680"/>
              </w:tabs>
              <w:rPr>
                <w:spacing w:val="-2"/>
              </w:rPr>
            </w:pPr>
            <w:r w:rsidRPr="00FE0540">
              <w:rPr>
                <w:spacing w:val="-2"/>
              </w:rPr>
              <w:t xml:space="preserve">FRN:  </w:t>
            </w:r>
            <w:r w:rsidRPr="001B34EB" w:rsidR="001B34EB">
              <w:rPr>
                <w:spacing w:val="-2"/>
              </w:rPr>
              <w:t>0009672072</w:t>
            </w:r>
          </w:p>
          <w:p w:rsidR="004C2EE3" w:rsidP="00FE0540" w14:paraId="77A0FF21" w14:textId="69DD077D">
            <w:pPr>
              <w:tabs>
                <w:tab w:val="center" w:pos="4680"/>
              </w:tabs>
              <w:suppressAutoHyphens/>
              <w:rPr>
                <w:spacing w:val="-2"/>
              </w:rPr>
            </w:pPr>
            <w:r w:rsidRPr="00FE0540">
              <w:rPr>
                <w:spacing w:val="-2"/>
              </w:rPr>
              <w:t>File No</w:t>
            </w:r>
            <w:r w:rsidRPr="001B34EB">
              <w:rPr>
                <w:spacing w:val="-2"/>
              </w:rPr>
              <w:t xml:space="preserve">. </w:t>
            </w:r>
            <w:r w:rsidRPr="001B34EB" w:rsidR="001B34EB">
              <w:rPr>
                <w:spacing w:val="-2"/>
              </w:rPr>
              <w:t>0000113216</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210F418D">
      <w:pPr>
        <w:tabs>
          <w:tab w:val="left" w:pos="720"/>
          <w:tab w:val="right" w:pos="9360"/>
        </w:tabs>
        <w:suppressAutoHyphens/>
        <w:spacing w:line="227" w:lineRule="auto"/>
        <w:rPr>
          <w:spacing w:val="-2"/>
        </w:rPr>
      </w:pPr>
      <w:r>
        <w:rPr>
          <w:b/>
          <w:spacing w:val="-2"/>
        </w:rPr>
        <w:t xml:space="preserve">Adopted:  </w:t>
      </w:r>
      <w:r w:rsidR="003402ED">
        <w:rPr>
          <w:b/>
          <w:spacing w:val="-2"/>
        </w:rPr>
        <w:t>September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402ED">
        <w:rPr>
          <w:b/>
          <w:spacing w:val="-2"/>
        </w:rPr>
        <w:t>September 7, 2021</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4ED7159B">
      <w:pPr>
        <w:pStyle w:val="ParaNum"/>
      </w:pPr>
      <w:r w:rsidRPr="00FE0540">
        <w:t>The Media Bureau (Bureau) has before it the application (Application)</w:t>
      </w:r>
      <w:r>
        <w:rPr>
          <w:vertAlign w:val="superscript"/>
        </w:rPr>
        <w:footnoteReference w:id="3"/>
      </w:r>
      <w:r w:rsidRPr="00FE0540">
        <w:t xml:space="preserve"> of </w:t>
      </w:r>
      <w:bookmarkStart w:id="1" w:name="_Hlk81567323"/>
      <w:r w:rsidR="00DE552A">
        <w:t>Mt. Vernon Missionary Baptist Church</w:t>
      </w:r>
      <w:bookmarkEnd w:id="1"/>
      <w:r w:rsidR="00524E06">
        <w:t xml:space="preserve"> </w:t>
      </w:r>
      <w:r w:rsidRPr="00FE0540">
        <w:t xml:space="preserve">(Licensee) for renewal of license for </w:t>
      </w:r>
      <w:r w:rsidR="00E938D4">
        <w:rPr>
          <w:snapToGrid/>
          <w:szCs w:val="22"/>
        </w:rPr>
        <w:t>l</w:t>
      </w:r>
      <w:r w:rsidRPr="002C7CD5" w:rsidR="00E938D4">
        <w:rPr>
          <w:snapToGrid/>
          <w:szCs w:val="22"/>
        </w:rPr>
        <w:t>ow</w:t>
      </w:r>
      <w:r w:rsidR="002F4697">
        <w:rPr>
          <w:snapToGrid/>
          <w:szCs w:val="22"/>
        </w:rPr>
        <w:t>-</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DE552A">
        <w:t>WNNN</w:t>
      </w:r>
      <w:r w:rsidRPr="00FE0540">
        <w:t xml:space="preserve">-LP, </w:t>
      </w:r>
      <w:r w:rsidR="00DE552A">
        <w:rPr>
          <w:spacing w:val="-2"/>
        </w:rPr>
        <w:t>Noxapater</w:t>
      </w:r>
      <w:r w:rsidRPr="00FE0540">
        <w:t xml:space="preserve">, </w:t>
      </w:r>
      <w:r w:rsidR="00DE552A">
        <w:rPr>
          <w:spacing w:val="-2"/>
        </w:rPr>
        <w:t>Mississippi</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 of the Rules</w:t>
      </w:r>
      <w:r>
        <w:rPr>
          <w:vertAlign w:val="superscript"/>
        </w:rPr>
        <w:footnoteReference w:id="5"/>
      </w:r>
      <w:r w:rsidRPr="00FE0540">
        <w:t xml:space="preserve">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FE0540" w:rsidRPr="00FE0540" w:rsidP="00A45BAE" w14:paraId="3A72154A" w14:textId="34181D75">
      <w:pPr>
        <w:pStyle w:val="ParaNum"/>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00230DF3">
        <w:rPr>
          <w:szCs w:val="22"/>
        </w:rPr>
        <w:t>February</w:t>
      </w:r>
      <w:r w:rsidRPr="007B464B">
        <w:rPr>
          <w:szCs w:val="22"/>
        </w:rPr>
        <w:t xml:space="preserve"> </w:t>
      </w:r>
      <w:r w:rsidR="004D2CEF">
        <w:rPr>
          <w:szCs w:val="22"/>
        </w:rPr>
        <w:t>3</w:t>
      </w:r>
      <w:r w:rsidRPr="007B464B">
        <w:rPr>
          <w:szCs w:val="22"/>
        </w:rPr>
        <w:t>, 20</w:t>
      </w:r>
      <w:r w:rsidRPr="007B464B" w:rsidR="00C23B3F">
        <w:rPr>
          <w:szCs w:val="22"/>
        </w:rPr>
        <w:t>20</w:t>
      </w:r>
      <w:r w:rsidRPr="007B464B">
        <w:rPr>
          <w:szCs w:val="22"/>
        </w:rPr>
        <w:t>, four month</w:t>
      </w:r>
      <w:r w:rsidR="00FF4374">
        <w:rPr>
          <w:szCs w:val="22"/>
        </w:rPr>
        <w:t>s</w:t>
      </w:r>
      <w:r w:rsidRPr="007B464B">
        <w:rPr>
          <w:szCs w:val="22"/>
        </w:rPr>
        <w:t xml:space="preserve"> prior to the Station’s license expiration date</w:t>
      </w:r>
      <w:r w:rsidR="00586ABF">
        <w:rPr>
          <w:szCs w:val="22"/>
        </w:rPr>
        <w:t xml:space="preserve"> of June 1, 2020</w:t>
      </w:r>
      <w:r w:rsidRPr="007B464B">
        <w:rPr>
          <w:szCs w:val="22"/>
        </w:rPr>
        <w:t>.</w:t>
      </w:r>
      <w:r>
        <w:rPr>
          <w:szCs w:val="22"/>
          <w:vertAlign w:val="superscript"/>
        </w:rPr>
        <w:footnoteReference w:id="7"/>
      </w:r>
      <w:r w:rsidRPr="007B464B">
        <w:rPr>
          <w:szCs w:val="22"/>
        </w:rPr>
        <w:t xml:space="preserve">  The Application was not filed until </w:t>
      </w:r>
      <w:r w:rsidRPr="007B464B" w:rsidR="00C23B3F">
        <w:rPr>
          <w:szCs w:val="22"/>
        </w:rPr>
        <w:t xml:space="preserve">May </w:t>
      </w:r>
      <w:r w:rsidR="00A301DE">
        <w:rPr>
          <w:szCs w:val="22"/>
        </w:rPr>
        <w:t>5</w:t>
      </w:r>
      <w:r w:rsidRPr="007B464B">
        <w:rPr>
          <w:szCs w:val="22"/>
        </w:rPr>
        <w:t xml:space="preserve">, 2020.  </w:t>
      </w:r>
      <w:r w:rsidRPr="00574046" w:rsidR="00B46737">
        <w:rPr>
          <w:szCs w:val="22"/>
        </w:rPr>
        <w:t>The Licensee</w:t>
      </w:r>
      <w:r w:rsidR="00B46737">
        <w:rPr>
          <w:szCs w:val="22"/>
        </w:rPr>
        <w:t xml:space="preserve"> </w:t>
      </w:r>
      <w:r w:rsidRPr="00574046" w:rsidR="00B46737">
        <w:rPr>
          <w:szCs w:val="22"/>
        </w:rPr>
        <w:t>requests a waiver of the filing deadline.</w:t>
      </w:r>
      <w:r>
        <w:rPr>
          <w:rStyle w:val="FootnoteReference"/>
          <w:sz w:val="22"/>
          <w:szCs w:val="22"/>
        </w:rPr>
        <w:footnoteReference w:id="8"/>
      </w:r>
      <w:r w:rsidR="00B46737">
        <w:rPr>
          <w:szCs w:val="22"/>
        </w:rPr>
        <w:t xml:space="preserve">  </w:t>
      </w:r>
      <w:r w:rsidRPr="007B464B">
        <w:rPr>
          <w:szCs w:val="22"/>
        </w:rPr>
        <w:t xml:space="preserve">The Licensee </w:t>
      </w:r>
      <w:r w:rsidRPr="007B464B" w:rsidR="0073510B">
        <w:rPr>
          <w:szCs w:val="22"/>
        </w:rPr>
        <w:t>explains</w:t>
      </w:r>
      <w:r w:rsidRPr="007B464B" w:rsidR="00C23B3F">
        <w:rPr>
          <w:szCs w:val="22"/>
        </w:rPr>
        <w:t xml:space="preserve"> that it was </w:t>
      </w:r>
      <w:r w:rsidR="0019410E">
        <w:rPr>
          <w:szCs w:val="22"/>
        </w:rPr>
        <w:t>expecting</w:t>
      </w:r>
      <w:r w:rsidR="0013496B">
        <w:rPr>
          <w:szCs w:val="22"/>
        </w:rPr>
        <w:t xml:space="preserve"> a reminder notice </w:t>
      </w:r>
      <w:r w:rsidR="004A4A8E">
        <w:rPr>
          <w:szCs w:val="22"/>
        </w:rPr>
        <w:t>of the renewal application filing deadline</w:t>
      </w:r>
      <w:r w:rsidR="00D2263A">
        <w:rPr>
          <w:szCs w:val="22"/>
        </w:rPr>
        <w:t xml:space="preserve"> </w:t>
      </w:r>
      <w:r w:rsidR="008C398A">
        <w:rPr>
          <w:szCs w:val="22"/>
        </w:rPr>
        <w:t xml:space="preserve">from the Commission </w:t>
      </w:r>
      <w:r w:rsidR="00D2263A">
        <w:rPr>
          <w:szCs w:val="22"/>
        </w:rPr>
        <w:t>but</w:t>
      </w:r>
      <w:r w:rsidR="004A4A8E">
        <w:rPr>
          <w:szCs w:val="22"/>
        </w:rPr>
        <w:t xml:space="preserve"> that </w:t>
      </w:r>
      <w:r w:rsidR="00C91F82">
        <w:rPr>
          <w:szCs w:val="22"/>
        </w:rPr>
        <w:t>the Licensee</w:t>
      </w:r>
      <w:r w:rsidR="004A4A8E">
        <w:rPr>
          <w:szCs w:val="22"/>
        </w:rPr>
        <w:t xml:space="preserve"> never received one due to a changed email address.</w:t>
      </w:r>
      <w:r>
        <w:rPr>
          <w:rStyle w:val="FootnoteReference"/>
          <w:szCs w:val="22"/>
        </w:rPr>
        <w:footnoteReference w:id="9"/>
      </w:r>
      <w:r w:rsidR="000912BE">
        <w:t xml:space="preserve">  </w:t>
      </w:r>
      <w:r w:rsidRPr="000912BE" w:rsidR="00E938D4">
        <w:rPr>
          <w:szCs w:val="22"/>
        </w:rPr>
        <w:t xml:space="preserve">The Licensee claims that </w:t>
      </w:r>
      <w:r w:rsidR="00AD43AF">
        <w:rPr>
          <w:szCs w:val="22"/>
        </w:rPr>
        <w:t xml:space="preserve">it filed the Application “immediately” after it became aware that the </w:t>
      </w:r>
      <w:r w:rsidR="00AD43AF">
        <w:rPr>
          <w:szCs w:val="22"/>
        </w:rPr>
        <w:t xml:space="preserve">renewal filing date had passed and before the </w:t>
      </w:r>
      <w:r w:rsidR="00E50916">
        <w:rPr>
          <w:szCs w:val="22"/>
        </w:rPr>
        <w:t xml:space="preserve">Station’s </w:t>
      </w:r>
      <w:r w:rsidR="00AD43AF">
        <w:rPr>
          <w:szCs w:val="22"/>
        </w:rPr>
        <w:t xml:space="preserve">license </w:t>
      </w:r>
      <w:r w:rsidR="00574046">
        <w:rPr>
          <w:szCs w:val="22"/>
        </w:rPr>
        <w:t>expir</w:t>
      </w:r>
      <w:r w:rsidR="00E50916">
        <w:rPr>
          <w:szCs w:val="22"/>
        </w:rPr>
        <w:t>ation date</w:t>
      </w:r>
      <w:r w:rsidR="00574046">
        <w:rPr>
          <w:szCs w:val="22"/>
        </w:rPr>
        <w:t>.</w:t>
      </w:r>
      <w:r>
        <w:rPr>
          <w:rStyle w:val="FootnoteReference"/>
          <w:szCs w:val="22"/>
        </w:rPr>
        <w:footnoteReference w:id="10"/>
      </w:r>
    </w:p>
    <w:p w:rsidR="00FE0540" w:rsidRPr="00FE0540" w:rsidP="00FE0540" w14:paraId="45A78F53" w14:textId="77777777">
      <w:pPr>
        <w:pStyle w:val="Heading1"/>
      </w:pPr>
      <w:r w:rsidRPr="00FE0540">
        <w:t>DISCUSSION</w:t>
      </w:r>
    </w:p>
    <w:p w:rsidR="00800237" w:rsidP="00A45BAE" w14:paraId="3D545345" w14:textId="622A005D">
      <w:pPr>
        <w:pStyle w:val="ParaNum"/>
      </w:pPr>
      <w:r w:rsidRPr="006D499A">
        <w:rPr>
          <w:i/>
        </w:rPr>
        <w:t>Proposed Forfeiture</w:t>
      </w:r>
      <w:r w:rsidRPr="00FE0540">
        <w:t xml:space="preserve">.  </w:t>
      </w:r>
      <w:r w:rsidRPr="0089695D">
        <w:t xml:space="preserve">This </w:t>
      </w:r>
      <w:r w:rsidRPr="006D499A">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11"/>
      </w:r>
      <w:r w:rsidRPr="0089695D">
        <w:t xml:space="preserve">  Section 312(f)(1) of the Act defines willful as “the conscious and deliberate commission or omission of [any] act, irrespective of any intent to violate” the law.</w:t>
      </w:r>
      <w:r>
        <w:rPr>
          <w:vertAlign w:val="superscript"/>
        </w:rPr>
        <w:footnoteReference w:id="12"/>
      </w:r>
      <w:r w:rsidRPr="0089695D">
        <w:t xml:space="preserve">  The legislative history to section 312(f)(1) of the Act clarifies that this definition of willful applies to both sections 312 and 503(b) of the Act,</w:t>
      </w:r>
      <w:r>
        <w:rPr>
          <w:vertAlign w:val="superscript"/>
        </w:rPr>
        <w:footnoteReference w:id="13"/>
      </w:r>
      <w:r w:rsidRPr="0089695D">
        <w:t xml:space="preserve"> and the Commission has so interpreted the term in the section 503(b)</w:t>
      </w:r>
      <w:r w:rsidRPr="00FE0540">
        <w:t xml:space="preserve"> context.</w:t>
      </w:r>
      <w:r>
        <w:rPr>
          <w:vertAlign w:val="superscript"/>
        </w:rPr>
        <w:footnoteReference w:id="14"/>
      </w:r>
    </w:p>
    <w:p w:rsidR="009922F5" w:rsidP="00F15597" w14:paraId="188EC2A7" w14:textId="6D2AAB27">
      <w:pPr>
        <w:pStyle w:val="ParaNum"/>
        <w:tabs>
          <w:tab w:val="num" w:pos="630"/>
        </w:tabs>
      </w:pPr>
      <w:r>
        <w:t>The Commission has held that</w:t>
      </w:r>
      <w:r w:rsidRPr="00591634">
        <w:t xml:space="preserve"> in the case of late-filed license renewal applications, </w:t>
      </w:r>
      <w:r>
        <w:t>the Bureau may waive section 73.3539(a)</w:t>
      </w:r>
      <w:r w:rsidRPr="00591634">
        <w:t xml:space="preserve"> for the limited purpose of accepting and acting on the station</w:t>
      </w:r>
      <w:r w:rsidR="00821A39">
        <w:t>’</w:t>
      </w:r>
      <w:r w:rsidRPr="00591634">
        <w:t xml:space="preserve">s license renewal </w:t>
      </w:r>
      <w:r w:rsidRPr="00591634">
        <w:t>application</w:t>
      </w:r>
      <w:r w:rsidR="0002652D">
        <w:t>,</w:t>
      </w:r>
      <w:r>
        <w:t xml:space="preserve"> and</w:t>
      </w:r>
      <w:r>
        <w:t xml:space="preserve"> issue </w:t>
      </w:r>
      <w:r w:rsidR="003F5E50">
        <w:t>a notice of apparent liability for the violation of section 73.3539(a)</w:t>
      </w:r>
      <w:r>
        <w:t>.</w:t>
      </w:r>
      <w:r>
        <w:rPr>
          <w:rStyle w:val="FootnoteReference"/>
        </w:rPr>
        <w:footnoteReference w:id="15"/>
      </w:r>
      <w:r>
        <w:t xml:space="preserve"> </w:t>
      </w:r>
      <w:r w:rsidR="003F5E50">
        <w:t xml:space="preserve"> </w:t>
      </w:r>
      <w:r w:rsidR="00137153">
        <w:t>Accordingly</w:t>
      </w:r>
      <w:r w:rsidR="003F5E50">
        <w:t xml:space="preserve">, we grant </w:t>
      </w:r>
      <w:r w:rsidR="007846AA">
        <w:t>Licensee’s</w:t>
      </w:r>
      <w:r w:rsidR="003F5E50">
        <w:t xml:space="preserve"> waiver</w:t>
      </w:r>
      <w:r w:rsidR="007846AA">
        <w:t xml:space="preserve"> request</w:t>
      </w:r>
      <w:r w:rsidR="003F5E50">
        <w:t xml:space="preserve"> to the extent necessary to accept the untimely Application. </w:t>
      </w:r>
      <w:r w:rsidR="009F36FF">
        <w:t xml:space="preserve"> </w:t>
      </w:r>
      <w:r w:rsidR="003F5E50">
        <w:t>However, we find that issuing a notice of apparent liability is still appr</w:t>
      </w:r>
      <w:r w:rsidR="009F36FF">
        <w:t>opriate</w:t>
      </w:r>
      <w:r w:rsidR="003F5E50">
        <w:t xml:space="preserve"> here. </w:t>
      </w:r>
      <w:r w:rsidR="003141E8">
        <w:t xml:space="preserve"> </w:t>
      </w:r>
      <w:r w:rsidR="00800237">
        <w:t>The Commission has held that violations resulting from inadvertent error or failure to become familiar with the</w:t>
      </w:r>
      <w:r w:rsidR="00D27175">
        <w:t xml:space="preserve"> Commission</w:t>
      </w:r>
      <w:r w:rsidR="00800237">
        <w:t>’s requirements are willful violations.</w:t>
      </w:r>
      <w:bookmarkStart w:id="2" w:name="co_tablefootnote_10_1"/>
      <w:bookmarkEnd w:id="2"/>
      <w:r>
        <w:rPr>
          <w:rStyle w:val="FootnoteReference"/>
        </w:rPr>
        <w:footnoteReference w:id="16"/>
      </w:r>
      <w:r w:rsidR="00800237">
        <w:t xml:space="preserve"> </w:t>
      </w:r>
      <w:r w:rsidR="0067201F">
        <w:t xml:space="preserve"> </w:t>
      </w:r>
      <w:r w:rsidR="00800237">
        <w:t xml:space="preserve">Moreover, </w:t>
      </w:r>
      <w:r w:rsidRPr="006E2F43" w:rsidR="002F0A13">
        <w:t>correspondence reminding a licensee that a renewal deadline is approaching is a mere courtesy and does not in any way change the licensee’s obligation to file a renewal application before the deadline.</w:t>
      </w:r>
      <w:r>
        <w:rPr>
          <w:rStyle w:val="FootnoteReference"/>
        </w:rPr>
        <w:footnoteReference w:id="17"/>
      </w:r>
      <w:r w:rsidRPr="006E2F43" w:rsidR="002F0A13">
        <w:t xml:space="preserve">  “Long-standing Commission precedent . . . states that responsibility for complying with terms of a station’s license rests solely and exclusively with the licensee.’”</w:t>
      </w:r>
      <w:r>
        <w:rPr>
          <w:rStyle w:val="FootnoteReference"/>
        </w:rPr>
        <w:footnoteReference w:id="18"/>
      </w:r>
      <w:r w:rsidR="002F0A13">
        <w:t xml:space="preserve"> </w:t>
      </w:r>
      <w:bookmarkStart w:id="3" w:name="co_tablefootnote_12_1"/>
      <w:bookmarkStart w:id="4" w:name="co_tablefootnote_13_1"/>
      <w:bookmarkEnd w:id="3"/>
      <w:bookmarkEnd w:id="4"/>
      <w:r w:rsidR="00E36E6E">
        <w:t xml:space="preserve"> </w:t>
      </w:r>
      <w:r w:rsidR="00D00F61">
        <w:t xml:space="preserve">Licensee </w:t>
      </w:r>
      <w:r w:rsidR="00800237">
        <w:t xml:space="preserve">was ultimately responsible for ensuring </w:t>
      </w:r>
      <w:r w:rsidR="00F46026">
        <w:t xml:space="preserve">that </w:t>
      </w:r>
      <w:r w:rsidR="00800237">
        <w:t xml:space="preserve">it complied with the </w:t>
      </w:r>
      <w:r w:rsidR="00D27175">
        <w:t>R</w:t>
      </w:r>
      <w:r w:rsidR="00800237">
        <w:t>ules by filing a timely renewal application.</w:t>
      </w:r>
      <w:bookmarkStart w:id="5" w:name="co_tablefootnote_14_1"/>
      <w:bookmarkEnd w:id="5"/>
      <w:r w:rsidR="007C377D">
        <w:t xml:space="preserve"> </w:t>
      </w:r>
      <w:r w:rsidR="00F10688">
        <w:t xml:space="preserve"> </w:t>
      </w:r>
      <w:r w:rsidR="007C377D">
        <w:t xml:space="preserve">It did not do so. </w:t>
      </w:r>
    </w:p>
    <w:p w:rsidR="00FE0540" w:rsidRPr="00FE0540" w:rsidP="00A45BAE" w14:paraId="7A3C95B9" w14:textId="754DE972">
      <w:pPr>
        <w:pStyle w:val="ParaNum"/>
      </w:pPr>
      <w:r w:rsidRPr="00FE0540">
        <w:t>The Commission</w:t>
      </w:r>
      <w:r w:rsidR="0013465F">
        <w:t>’</w:t>
      </w:r>
      <w:r w:rsidRPr="00FE0540">
        <w:t xml:space="preserve">s </w:t>
      </w:r>
      <w:r w:rsidRPr="00FE0540">
        <w:rPr>
          <w:i/>
        </w:rPr>
        <w:t>Forfeiture Policy Statement</w:t>
      </w:r>
      <w:r w:rsidRPr="00FE0540">
        <w:t xml:space="preserve"> and section 1.80(b)(</w:t>
      </w:r>
      <w:r w:rsidR="0013465F">
        <w:t>10</w:t>
      </w:r>
      <w:r w:rsidRPr="00FE0540">
        <w:t xml:space="preserve">) of the Rules </w:t>
      </w:r>
      <w:r w:rsidRPr="00FE0540">
        <w:t>establish a base forfeiture amount of $3,000 for the failure to file a required form.</w:t>
      </w:r>
      <w:r>
        <w:rPr>
          <w:vertAlign w:val="superscript"/>
        </w:rPr>
        <w:footnoteReference w:id="19"/>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0"/>
      </w:r>
    </w:p>
    <w:p w:rsidR="00FE0540" w:rsidP="00A45BAE" w14:paraId="0148C9EE" w14:textId="4901A809">
      <w:pPr>
        <w:pStyle w:val="ParaNum"/>
      </w:pPr>
      <w:r w:rsidRPr="00FE0540">
        <w:t>In this case, the Licensee failed to file a timely renewal application for the Station</w:t>
      </w:r>
      <w:r w:rsidR="00B86644">
        <w:t xml:space="preserve">. </w:t>
      </w:r>
      <w:r w:rsidR="0046011F">
        <w:t>T</w:t>
      </w:r>
      <w:r w:rsidR="003B0607">
        <w:t xml:space="preserve">he </w:t>
      </w:r>
      <w:r w:rsidR="00B86644">
        <w:t xml:space="preserve">Licensee’s explanation that it </w:t>
      </w:r>
      <w:r w:rsidR="00F10688">
        <w:t>did not receive a reminder notice from the Commission</w:t>
      </w:r>
      <w:r w:rsidR="00B86644">
        <w:t xml:space="preserve"> does not </w:t>
      </w:r>
      <w:r w:rsidRPr="00C15FEA" w:rsidR="00B86644">
        <w:t>excuse its</w:t>
      </w:r>
      <w:r w:rsidR="0067201F">
        <w:t xml:space="preserve"> inaction</w:t>
      </w:r>
      <w:r w:rsidRPr="00C15FEA" w:rsidR="00B86644">
        <w:t>.</w:t>
      </w:r>
      <w:r w:rsidR="00B86644">
        <w:t xml:space="preserve">  </w:t>
      </w:r>
      <w:r w:rsidRPr="00FE0540">
        <w:t xml:space="preserve">However, the Licensee did file the Application prior to the expiration of the Station’s license.  Taking into consideration </w:t>
      </w:r>
      <w:r w:rsidRPr="00FE0540">
        <w:t>all of</w:t>
      </w:r>
      <w:r w:rsidRPr="00FE0540">
        <w:t xml:space="preserve">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21"/>
      </w:r>
      <w:r w:rsidRPr="00FE0540">
        <w:t xml:space="preserve"> </w:t>
      </w:r>
    </w:p>
    <w:p w:rsidR="00FE0540" w:rsidRPr="00FE0540" w:rsidP="00A02C95"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22"/>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23"/>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24"/>
      </w:r>
      <w:r w:rsidRPr="00FE0540">
        <w:t xml:space="preserve"> </w:t>
      </w:r>
    </w:p>
    <w:p w:rsidR="00FE0540" w:rsidRPr="00FE0540" w:rsidP="00A02C95" w14:paraId="5E1E6E3D" w14:textId="77777777">
      <w:pPr>
        <w:pStyle w:val="ParaNum"/>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25"/>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A02C95" w14:paraId="2919E4A9" w14:textId="700E7729">
      <w:pPr>
        <w:pStyle w:val="ParaNum"/>
      </w:pPr>
      <w:r w:rsidRPr="00FE0540">
        <w:t xml:space="preserve">Accordingly, </w:t>
      </w:r>
      <w:r w:rsidRPr="00FE0540">
        <w:rPr>
          <w:b/>
          <w:bCs/>
        </w:rPr>
        <w:t>IT IS ORDERED</w:t>
      </w:r>
      <w:r w:rsidRPr="00FE0540">
        <w:t xml:space="preserve">, pursuant to section 503(b) of the Communications Act </w:t>
      </w:r>
      <w:r w:rsidRPr="00FE0540">
        <w:t>of 1934, as amended, and section 1.80 of the Commission’s rules,</w:t>
      </w:r>
      <w:r>
        <w:rPr>
          <w:rStyle w:val="FootnoteReference"/>
        </w:rPr>
        <w:footnoteReference w:id="26"/>
      </w:r>
      <w:r w:rsidRPr="00FE0540">
        <w:t xml:space="preserve"> that </w:t>
      </w:r>
      <w:r w:rsidR="002534B6">
        <w:t>Mt. Vernon Missionary Baptist Church</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7"/>
      </w:r>
    </w:p>
    <w:p w:rsidR="00FE0540" w:rsidP="00A02C95" w14:paraId="6165E56F" w14:textId="6CA503EA">
      <w:pPr>
        <w:pStyle w:val="ParaNum"/>
      </w:pPr>
      <w:r w:rsidRPr="00FE0540">
        <w:rPr>
          <w:b/>
          <w:bCs/>
        </w:rPr>
        <w:t>IT IS FURTHER ORDERED</w:t>
      </w:r>
      <w:r w:rsidRPr="00FE0540">
        <w:t xml:space="preserve">, pursuant to section 1.80 of the Commission’s rules, that, within thirty (30) days of the release date of this </w:t>
      </w:r>
      <w:r w:rsidR="0031780B">
        <w:rPr>
          <w:i/>
        </w:rPr>
        <w:t>NAL</w:t>
      </w:r>
      <w:r w:rsidR="0031780B">
        <w:rPr>
          <w:iCs/>
        </w:rPr>
        <w:t>,</w:t>
      </w:r>
      <w:r w:rsidRPr="00FE0540">
        <w:rPr>
          <w:i/>
        </w:rPr>
        <w:t xml:space="preserve"> </w:t>
      </w:r>
      <w:r w:rsidR="006C3C95">
        <w:t>Mt. Vernon Missionary Baptist Church</w:t>
      </w:r>
      <w:r w:rsidRPr="00FE0540">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10005" w:rsidP="00A02C95" w14:paraId="381E8AF8"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8"/>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9"/>
      </w:r>
    </w:p>
    <w:p w:rsidR="00C10005" w:rsidP="00C10005" w14:paraId="06C61D3F"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30"/>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C10005" w:rsidP="00C10005" w14:paraId="795CB97F"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r>
        <w:t xml:space="preserve"> </w:t>
      </w:r>
    </w:p>
    <w:p w:rsidR="00C10005" w:rsidP="00C10005" w14:paraId="75454581" w14:textId="77777777">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10005" w:rsidRPr="00E20626" w:rsidP="00A02C95" w14:paraId="7D88562D" w14:textId="77777777">
      <w:pPr>
        <w:pStyle w:val="ParaNum"/>
      </w:pPr>
      <w:r w:rsidRPr="005B1997">
        <w:t xml:space="preserve">Any request for making full payment over time under an installment plan should be sent to:  </w:t>
      </w:r>
      <w:r>
        <w:t>Revenue and Receivables Operations Group</w:t>
      </w:r>
      <w:r w:rsidRPr="005B1997">
        <w:t xml:space="preserve">—Financial Operations, Federal Communications </w:t>
      </w:r>
      <w:r w:rsidRPr="005B1997">
        <w:t>Commission, 45 L Street, N.E., Washington, DC 20554</w:t>
      </w:r>
      <w:r>
        <w:t xml:space="preserve">, or by e-mail, </w:t>
      </w:r>
      <w:hyperlink r:id="rId8" w:history="1">
        <w:r>
          <w:rPr>
            <w:rStyle w:val="Hyperlink"/>
          </w:rPr>
          <w:t>ARINQUIRIES@fcc.gov</w:t>
        </w:r>
      </w:hyperlink>
      <w:r w:rsidRPr="005B1997">
        <w:t>.</w:t>
      </w:r>
      <w:r>
        <w:rPr>
          <w:vertAlign w:val="superscript"/>
        </w:rPr>
        <w:footnoteReference w:id="31"/>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C10005" w:rsidP="00A02C95" w14:paraId="725F0756"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w:t>
      </w:r>
      <w:r>
        <w:t>g</w:t>
      </w:r>
      <w:r w:rsidRPr="005B1997">
        <w:t>)(3) of the Commission’s rules.</w:t>
      </w:r>
      <w:r>
        <w:rPr>
          <w:vertAlign w:val="superscript"/>
        </w:rPr>
        <w:footnoteReference w:id="32"/>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3"/>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C10005" w:rsidP="00C10005" w14:paraId="42A96C59"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C10005" w:rsidRPr="005B1997" w:rsidP="00C10005" w14:paraId="78AE60C7" w14:textId="77777777">
      <w:pPr>
        <w:pStyle w:val="ParaNum"/>
        <w:numPr>
          <w:ilvl w:val="0"/>
          <w:numId w:val="9"/>
        </w:numPr>
      </w:pPr>
      <w:r w:rsidRPr="005B1997">
        <w:t>Postal Service first-class, Express, and Priority mail must be addressed to 45 L Street, NE, Washington, DC 20554.</w:t>
      </w:r>
    </w:p>
    <w:p w:rsidR="00C10005" w:rsidP="00A02C95" w14:paraId="02B36B0D" w14:textId="69038615">
      <w:pPr>
        <w:pStyle w:val="ParaNum"/>
      </w:pPr>
      <w:r w:rsidRPr="005B1997">
        <w:t>The Commission will not consider reducing or canceling a forfeiture in response to a claim of inability to pay unless the respondent submits</w:t>
      </w:r>
      <w:r w:rsidRPr="005B1997">
        <w:t>:  (</w:t>
      </w:r>
      <w:r w:rsidRPr="005B1997">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34"/>
      </w:r>
      <w:r w:rsidRPr="005B1997">
        <w:t xml:space="preserve">  </w:t>
      </w:r>
    </w:p>
    <w:p w:rsidR="001C37F8" w:rsidP="00A02C95" w14:paraId="08E86032" w14:textId="524C4F7C">
      <w:pPr>
        <w:pStyle w:val="ParaNum"/>
      </w:pPr>
      <w:r w:rsidRPr="00BE0988">
        <w:rPr>
          <w:b/>
          <w:bCs/>
          <w:szCs w:val="22"/>
        </w:rPr>
        <w:t>IT IS FURTHER ORDERED</w:t>
      </w:r>
      <w:r w:rsidRPr="00BE0988">
        <w:rPr>
          <w:szCs w:val="22"/>
        </w:rPr>
        <w:t xml:space="preserve">, that copies of this </w:t>
      </w:r>
      <w:r w:rsidR="00BC02B5">
        <w:rPr>
          <w:i/>
          <w:iCs/>
          <w:szCs w:val="22"/>
        </w:rPr>
        <w:t>NAL</w:t>
      </w:r>
      <w:r w:rsidRPr="00BE0988" w:rsidR="00303C5B">
        <w:rPr>
          <w:szCs w:val="22"/>
        </w:rPr>
        <w:t xml:space="preserve"> </w:t>
      </w:r>
      <w:r w:rsidRPr="00BE0988">
        <w:rPr>
          <w:szCs w:val="22"/>
        </w:rPr>
        <w:t>shall be sent by First Class and Certified Mail, Return Receipt Requested, to</w:t>
      </w:r>
      <w:r w:rsidR="0090052A">
        <w:rPr>
          <w:szCs w:val="22"/>
        </w:rPr>
        <w:t xml:space="preserve"> </w:t>
      </w:r>
      <w:r w:rsidR="00B31587">
        <w:t>Mt. Vernon Missionary Baptist Church,</w:t>
      </w:r>
      <w:r w:rsidR="00490F9A">
        <w:t xml:space="preserve"> c/o </w:t>
      </w:r>
      <w:r w:rsidR="00490F9A">
        <w:rPr>
          <w:szCs w:val="22"/>
        </w:rPr>
        <w:t>Barbara Culberson,</w:t>
      </w:r>
      <w:r w:rsidR="00B31587">
        <w:t xml:space="preserve"> </w:t>
      </w:r>
      <w:r>
        <w:t>PO Box 371, Noxapater, MS 39346.</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2EEE573" w14:textId="20915D48"/>
    <w:p w:rsidR="00746543" w:rsidP="0017296B" w14:paraId="03B44FDA" w14:textId="77777777"/>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496D" w14:paraId="1D1F5F67" w14:textId="77777777">
      <w:r>
        <w:separator/>
      </w:r>
    </w:p>
  </w:footnote>
  <w:footnote w:type="continuationSeparator" w:id="1">
    <w:p w:rsidR="00FE496D" w:rsidP="00C721AC" w14:paraId="09C20DA9" w14:textId="77777777">
      <w:pPr>
        <w:spacing w:before="120"/>
        <w:rPr>
          <w:sz w:val="20"/>
        </w:rPr>
      </w:pPr>
      <w:r>
        <w:rPr>
          <w:sz w:val="20"/>
        </w:rPr>
        <w:t xml:space="preserve">(Continued from previous page)  </w:t>
      </w:r>
      <w:r>
        <w:rPr>
          <w:sz w:val="20"/>
        </w:rPr>
        <w:separator/>
      </w:r>
    </w:p>
  </w:footnote>
  <w:footnote w:type="continuationNotice" w:id="2">
    <w:p w:rsidR="00FE496D" w:rsidP="00C721AC" w14:paraId="3BE06ACE" w14:textId="77777777">
      <w:pPr>
        <w:jc w:val="right"/>
        <w:rPr>
          <w:sz w:val="20"/>
        </w:rPr>
      </w:pPr>
      <w:r>
        <w:rPr>
          <w:sz w:val="20"/>
        </w:rPr>
        <w:t>(continued….)</w:t>
      </w:r>
    </w:p>
  </w:footnote>
  <w:footnote w:id="3">
    <w:p w:rsidR="00FE0540" w:rsidRPr="000725CB" w:rsidP="00FE0540" w14:paraId="3E1EC6BD" w14:textId="005A1079">
      <w:pPr>
        <w:pStyle w:val="FootnoteText"/>
      </w:pPr>
      <w:r w:rsidRPr="000725CB">
        <w:rPr>
          <w:rStyle w:val="FootnoteReference"/>
        </w:rPr>
        <w:footnoteRef/>
      </w:r>
      <w:r w:rsidRPr="000725CB">
        <w:t xml:space="preserve"> </w:t>
      </w:r>
      <w:r w:rsidR="00CB6E68">
        <w:t xml:space="preserve">Application </w:t>
      </w:r>
      <w:r w:rsidRPr="000725CB">
        <w:t>File No.</w:t>
      </w:r>
      <w:r>
        <w:t xml:space="preserve"> </w:t>
      </w:r>
      <w:r w:rsidRPr="001B34EB" w:rsidR="00D30F1D">
        <w:rPr>
          <w:spacing w:val="-2"/>
        </w:rPr>
        <w:t>0000113216</w:t>
      </w:r>
      <w:r w:rsidR="00CB6E68">
        <w:t xml:space="preserve"> (filed </w:t>
      </w:r>
      <w:r w:rsidR="003778F5">
        <w:t>May 5, 2020).</w:t>
      </w:r>
      <w:r w:rsidR="00CB6E68">
        <w:t xml:space="preserve"> </w:t>
      </w:r>
    </w:p>
  </w:footnote>
  <w:footnote w:id="4">
    <w:p w:rsidR="00FE0540" w:rsidRPr="000725CB" w:rsidP="00FE0540" w14:paraId="3DBB0C43"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6956D6" w:rsidRPr="000725CB" w:rsidP="006956D6" w14:paraId="34AFD648"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B46737" w:rsidRPr="00D27175" w:rsidP="00B46737" w14:paraId="6BB4865B" w14:textId="2A445D11">
      <w:pPr>
        <w:pStyle w:val="FootnoteText"/>
      </w:pPr>
      <w:r w:rsidRPr="00D27175">
        <w:rPr>
          <w:rStyle w:val="FootnoteReference"/>
        </w:rPr>
        <w:footnoteRef/>
      </w:r>
      <w:r w:rsidRPr="00D27175">
        <w:t xml:space="preserve"> </w:t>
      </w:r>
      <w:r w:rsidR="00967CBC">
        <w:t>Application, Attachment, Waiver Request for Late Filed Renewal Application.</w:t>
      </w:r>
      <w:r w:rsidRPr="00D27175">
        <w:t xml:space="preserve"> </w:t>
      </w:r>
    </w:p>
  </w:footnote>
  <w:footnote w:id="9">
    <w:p w:rsidR="004A4A8E" w:rsidRPr="00967CBC" w14:paraId="459289F5" w14:textId="2B7252FD">
      <w:pPr>
        <w:pStyle w:val="FootnoteText"/>
      </w:pPr>
      <w:r>
        <w:rPr>
          <w:rStyle w:val="FootnoteReference"/>
        </w:rPr>
        <w:footnoteRef/>
      </w:r>
      <w:r>
        <w:t xml:space="preserve"> </w:t>
      </w:r>
      <w:r w:rsidR="00967CBC">
        <w:rPr>
          <w:i/>
          <w:iCs/>
        </w:rPr>
        <w:t>Id.</w:t>
      </w:r>
    </w:p>
  </w:footnote>
  <w:footnote w:id="10">
    <w:p w:rsidR="00574046" w14:paraId="3B4C5D16" w14:textId="4B376640">
      <w:pPr>
        <w:pStyle w:val="FootnoteText"/>
      </w:pPr>
      <w:r>
        <w:rPr>
          <w:rStyle w:val="FootnoteReference"/>
        </w:rPr>
        <w:footnoteRef/>
      </w:r>
      <w:r>
        <w:t xml:space="preserve"> </w:t>
      </w:r>
      <w:r w:rsidRPr="00D27175">
        <w:rPr>
          <w:i/>
          <w:iCs/>
        </w:rPr>
        <w:t>Id</w:t>
      </w:r>
      <w:r w:rsidRPr="00D27175">
        <w:t>.</w:t>
      </w:r>
    </w:p>
  </w:footnote>
  <w:footnote w:id="11">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2">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3">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4">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5">
    <w:p w:rsidR="00591634" w14:paraId="019C2D1C" w14:textId="5148BDAC">
      <w:pPr>
        <w:pStyle w:val="FootnoteText"/>
      </w:pPr>
      <w:r>
        <w:rPr>
          <w:rStyle w:val="FootnoteReference"/>
        </w:rPr>
        <w:footnoteRef/>
      </w:r>
      <w:r>
        <w:t xml:space="preserve"> </w:t>
      </w:r>
      <w:r w:rsidRPr="0067201F">
        <w:rPr>
          <w:i/>
          <w:iCs/>
        </w:rPr>
        <w:t>Discussion Radio Incorporated</w:t>
      </w:r>
      <w:r w:rsidRPr="00591634">
        <w:t xml:space="preserve">, Memorandum Opinion and Order and Notice of Apparent Liability for Forfeiture, 19 FCC </w:t>
      </w:r>
      <w:r w:rsidRPr="00591634">
        <w:t>Rcd</w:t>
      </w:r>
      <w:r w:rsidRPr="00591634">
        <w:t xml:space="preserve"> 7433, 743</w:t>
      </w:r>
      <w:r w:rsidR="009F36FF">
        <w:t>7</w:t>
      </w:r>
      <w:r w:rsidR="007846AA">
        <w:t>, para</w:t>
      </w:r>
      <w:r w:rsidR="009F36FF">
        <w:t>s</w:t>
      </w:r>
      <w:r w:rsidR="007846AA">
        <w:t xml:space="preserve">. </w:t>
      </w:r>
      <w:r w:rsidR="009F36FF">
        <w:t>13-</w:t>
      </w:r>
      <w:r w:rsidR="007846AA">
        <w:t>15</w:t>
      </w:r>
      <w:r w:rsidRPr="00591634">
        <w:t xml:space="preserve"> (2004) (</w:t>
      </w:r>
      <w:r w:rsidR="0055494B">
        <w:t xml:space="preserve">“de facto” </w:t>
      </w:r>
      <w:r w:rsidR="0002652D">
        <w:t xml:space="preserve">waiver granted to accept untimely license renewal application and </w:t>
      </w:r>
      <w:r w:rsidRPr="00591634">
        <w:t xml:space="preserve">licensee sanctioned for untimely </w:t>
      </w:r>
      <w:r w:rsidR="0002652D">
        <w:t>filing</w:t>
      </w:r>
      <w:r w:rsidRPr="00591634">
        <w:t>)</w:t>
      </w:r>
      <w:r w:rsidR="0043351F">
        <w:t xml:space="preserve">; </w:t>
      </w:r>
      <w:r w:rsidR="0043351F">
        <w:rPr>
          <w:i/>
          <w:iCs/>
        </w:rPr>
        <w:t>see also Atlantic City Board of Education</w:t>
      </w:r>
      <w:r w:rsidR="0043351F">
        <w:t xml:space="preserve">, Memorandum Opinion and Order, 31 FCC </w:t>
      </w:r>
      <w:r w:rsidR="0067201F">
        <w:t>Rcd</w:t>
      </w:r>
      <w:r w:rsidR="0067201F">
        <w:t xml:space="preserve"> </w:t>
      </w:r>
      <w:r w:rsidR="0043351F">
        <w:t>9380, 9385 n.32 (2016) (a waiver request is not necessary for the Bureau to act on an untimely filed license renewal application).</w:t>
      </w:r>
    </w:p>
  </w:footnote>
  <w:footnote w:id="16">
    <w:p w:rsidR="00800237" w:rsidRPr="00D27175" w14:paraId="13563908" w14:textId="487A9274">
      <w:pPr>
        <w:pStyle w:val="FootnoteText"/>
      </w:pPr>
      <w:r w:rsidRPr="00D27175">
        <w:rPr>
          <w:rStyle w:val="FootnoteReference"/>
        </w:rPr>
        <w:footnoteRef/>
      </w:r>
      <w:r w:rsidRPr="00D27175">
        <w:t xml:space="preserve"> </w:t>
      </w:r>
      <w:r w:rsidRPr="00D27175" w:rsidR="002252D3">
        <w:rPr>
          <w:rStyle w:val="Emphasis"/>
          <w:bdr w:val="none" w:sz="0" w:space="0" w:color="auto" w:frame="1"/>
          <w:shd w:val="clear" w:color="auto" w:fill="FFFFFF"/>
        </w:rPr>
        <w:t>Whidbey Island Center for the Arts</w:t>
      </w:r>
      <w:r w:rsidRPr="00D27175" w:rsidR="002252D3">
        <w:rPr>
          <w:rStyle w:val="Emphasis"/>
          <w:i w:val="0"/>
          <w:iCs w:val="0"/>
          <w:bdr w:val="none" w:sz="0" w:space="0" w:color="auto" w:frame="1"/>
          <w:shd w:val="clear" w:color="auto" w:fill="FFFFFF"/>
        </w:rPr>
        <w:t xml:space="preserve">, Forfeiture Order, 25 FCC </w:t>
      </w:r>
      <w:r w:rsidRPr="00D27175" w:rsidR="002252D3">
        <w:rPr>
          <w:rStyle w:val="Emphasis"/>
          <w:i w:val="0"/>
          <w:iCs w:val="0"/>
          <w:bdr w:val="none" w:sz="0" w:space="0" w:color="auto" w:frame="1"/>
          <w:shd w:val="clear" w:color="auto" w:fill="FFFFFF"/>
        </w:rPr>
        <w:t>Rcd</w:t>
      </w:r>
      <w:r w:rsidRPr="00D27175" w:rsidR="002252D3">
        <w:rPr>
          <w:rStyle w:val="Emphasis"/>
          <w:i w:val="0"/>
          <w:iCs w:val="0"/>
          <w:bdr w:val="none" w:sz="0" w:space="0" w:color="auto" w:frame="1"/>
          <w:shd w:val="clear" w:color="auto" w:fill="FFFFFF"/>
        </w:rPr>
        <w:t xml:space="preserve"> 8204 (MB 2010) (</w:t>
      </w:r>
      <w:r w:rsidRPr="00D27175" w:rsidR="002252D3">
        <w:rPr>
          <w:rStyle w:val="Emphasis"/>
          <w:bdr w:val="none" w:sz="0" w:space="0" w:color="auto" w:frame="1"/>
          <w:shd w:val="clear" w:color="auto" w:fill="FFFFFF"/>
        </w:rPr>
        <w:t>Whidbey Island Forfeiture Order</w:t>
      </w:r>
      <w:r w:rsidRPr="00D27175" w:rsidR="002252D3">
        <w:rPr>
          <w:rStyle w:val="Emphasis"/>
          <w:i w:val="0"/>
          <w:iCs w:val="0"/>
          <w:bdr w:val="none" w:sz="0" w:space="0" w:color="auto" w:frame="1"/>
          <w:shd w:val="clear" w:color="auto" w:fill="FFFFFF"/>
        </w:rPr>
        <w:t>)</w:t>
      </w:r>
      <w:r w:rsidRPr="00D27175" w:rsidR="00040666">
        <w:rPr>
          <w:rStyle w:val="Emphasis"/>
          <w:i w:val="0"/>
          <w:iCs w:val="0"/>
          <w:bdr w:val="none" w:sz="0" w:space="0" w:color="auto" w:frame="1"/>
          <w:shd w:val="clear" w:color="auto" w:fill="FFFFFF"/>
        </w:rPr>
        <w:t xml:space="preserve"> (citing </w:t>
      </w:r>
      <w:r w:rsidRPr="00D27175" w:rsidR="00A871FD">
        <w:rPr>
          <w:rStyle w:val="Emphasis"/>
          <w:bdr w:val="none" w:sz="0" w:space="0" w:color="auto" w:frame="1"/>
          <w:shd w:val="clear" w:color="auto" w:fill="FFFFFF"/>
        </w:rPr>
        <w:t>PJB Communications of Virginia, Inc.</w:t>
      </w:r>
      <w:r w:rsidRPr="00D27175" w:rsidR="00A871FD">
        <w:rPr>
          <w:shd w:val="clear" w:color="auto" w:fill="FFFFFF"/>
        </w:rPr>
        <w:t>, Memorandum Opinion and Order, </w:t>
      </w:r>
      <w:r w:rsidRPr="00D27175" w:rsidR="00A871FD">
        <w:rPr>
          <w:bdr w:val="none" w:sz="0" w:space="0" w:color="auto" w:frame="1"/>
          <w:shd w:val="clear" w:color="auto" w:fill="FFFFFF"/>
        </w:rPr>
        <w:t xml:space="preserve">7 FCC </w:t>
      </w:r>
      <w:r w:rsidRPr="00D27175" w:rsidR="00A871FD">
        <w:rPr>
          <w:bdr w:val="none" w:sz="0" w:space="0" w:color="auto" w:frame="1"/>
          <w:shd w:val="clear" w:color="auto" w:fill="FFFFFF"/>
        </w:rPr>
        <w:t>Rcd</w:t>
      </w:r>
      <w:r w:rsidRPr="00D27175" w:rsidR="00A871FD">
        <w:rPr>
          <w:bdr w:val="none" w:sz="0" w:space="0" w:color="auto" w:frame="1"/>
          <w:shd w:val="clear" w:color="auto" w:fill="FFFFFF"/>
        </w:rPr>
        <w:t xml:space="preserve"> 2088 (1992)</w:t>
      </w:r>
      <w:r w:rsidRPr="00D27175" w:rsidR="00A871FD">
        <w:rPr>
          <w:shd w:val="clear" w:color="auto" w:fill="FFFFFF"/>
        </w:rPr>
        <w:t>; </w:t>
      </w:r>
      <w:r w:rsidRPr="00D27175" w:rsidR="00A871FD">
        <w:rPr>
          <w:rStyle w:val="Emphasis"/>
          <w:bdr w:val="none" w:sz="0" w:space="0" w:color="auto" w:frame="1"/>
          <w:shd w:val="clear" w:color="auto" w:fill="FFFFFF"/>
        </w:rPr>
        <w:t>Southern California Broadcasting Co.,</w:t>
      </w:r>
      <w:r w:rsidRPr="00D27175" w:rsidR="00A871FD">
        <w:rPr>
          <w:shd w:val="clear" w:color="auto" w:fill="FFFFFF"/>
        </w:rPr>
        <w:t> Memorandum Opinion and Order, </w:t>
      </w:r>
      <w:r w:rsidRPr="00D27175" w:rsidR="00A871FD">
        <w:rPr>
          <w:bdr w:val="none" w:sz="0" w:space="0" w:color="auto" w:frame="1"/>
          <w:shd w:val="clear" w:color="auto" w:fill="FFFFFF"/>
        </w:rPr>
        <w:t xml:space="preserve">6 FCC </w:t>
      </w:r>
      <w:r w:rsidRPr="00D27175" w:rsidR="00A871FD">
        <w:rPr>
          <w:bdr w:val="none" w:sz="0" w:space="0" w:color="auto" w:frame="1"/>
          <w:shd w:val="clear" w:color="auto" w:fill="FFFFFF"/>
        </w:rPr>
        <w:t>Rcd</w:t>
      </w:r>
      <w:r w:rsidRPr="00D27175" w:rsidR="00A871FD">
        <w:rPr>
          <w:bdr w:val="none" w:sz="0" w:space="0" w:color="auto" w:frame="1"/>
          <w:shd w:val="clear" w:color="auto" w:fill="FFFFFF"/>
        </w:rPr>
        <w:t xml:space="preserve"> 4387, 4387 (1991)</w:t>
      </w:r>
      <w:r w:rsidRPr="00D27175" w:rsidR="00A871FD">
        <w:rPr>
          <w:shd w:val="clear" w:color="auto" w:fill="FFFFFF"/>
        </w:rPr>
        <w:t>, </w:t>
      </w:r>
      <w:r w:rsidRPr="00D27175" w:rsidR="00A871FD">
        <w:rPr>
          <w:rStyle w:val="Emphasis"/>
          <w:bdr w:val="none" w:sz="0" w:space="0" w:color="auto" w:frame="1"/>
          <w:shd w:val="clear" w:color="auto" w:fill="FFFFFF"/>
        </w:rPr>
        <w:t>recon. denied,</w:t>
      </w:r>
      <w:r w:rsidRPr="00D27175" w:rsidR="00A871FD">
        <w:rPr>
          <w:shd w:val="clear" w:color="auto" w:fill="FFFFFF"/>
        </w:rPr>
        <w:t> </w:t>
      </w:r>
      <w:r w:rsidRPr="00D27175" w:rsidR="00A871FD">
        <w:rPr>
          <w:bdr w:val="none" w:sz="0" w:space="0" w:color="auto" w:frame="1"/>
          <w:shd w:val="clear" w:color="auto" w:fill="FFFFFF"/>
        </w:rPr>
        <w:t xml:space="preserve">7 FCC </w:t>
      </w:r>
      <w:r w:rsidRPr="00D27175" w:rsidR="00A871FD">
        <w:rPr>
          <w:bdr w:val="none" w:sz="0" w:space="0" w:color="auto" w:frame="1"/>
          <w:shd w:val="clear" w:color="auto" w:fill="FFFFFF"/>
        </w:rPr>
        <w:t>Rcd</w:t>
      </w:r>
      <w:r w:rsidRPr="00D27175" w:rsidR="00A871FD">
        <w:rPr>
          <w:bdr w:val="none" w:sz="0" w:space="0" w:color="auto" w:frame="1"/>
          <w:shd w:val="clear" w:color="auto" w:fill="FFFFFF"/>
        </w:rPr>
        <w:t xml:space="preserve"> 3454 (1992)</w:t>
      </w:r>
      <w:r w:rsidRPr="00D27175" w:rsidR="00A871FD">
        <w:rPr>
          <w:shd w:val="clear" w:color="auto" w:fill="FFFFFF"/>
        </w:rPr>
        <w:t> (stating that “inadvertence ... is at best, ignorance of the law, which the Commission does not consider a mitigating circumstance”); </w:t>
      </w:r>
      <w:r w:rsidRPr="00D27175" w:rsidR="00A871FD">
        <w:rPr>
          <w:rStyle w:val="Emphasis"/>
          <w:bdr w:val="none" w:sz="0" w:space="0" w:color="auto" w:frame="1"/>
          <w:shd w:val="clear" w:color="auto" w:fill="FFFFFF"/>
        </w:rPr>
        <w:t>Standard Communications Corp.,</w:t>
      </w:r>
      <w:r w:rsidRPr="00D27175" w:rsidR="00040666">
        <w:rPr>
          <w:rStyle w:val="Emphasis"/>
          <w:bdr w:val="none" w:sz="0" w:space="0" w:color="auto" w:frame="1"/>
          <w:shd w:val="clear" w:color="auto" w:fill="FFFFFF"/>
        </w:rPr>
        <w:t xml:space="preserve"> </w:t>
      </w:r>
      <w:r w:rsidRPr="00D27175" w:rsidR="00A871FD">
        <w:rPr>
          <w:shd w:val="clear" w:color="auto" w:fill="FFFFFF"/>
        </w:rPr>
        <w:t>Memorandum Opinion and Order, </w:t>
      </w:r>
      <w:r w:rsidRPr="00D27175" w:rsidR="00A871FD">
        <w:rPr>
          <w:bdr w:val="none" w:sz="0" w:space="0" w:color="auto" w:frame="1"/>
          <w:shd w:val="clear" w:color="auto" w:fill="FFFFFF"/>
        </w:rPr>
        <w:t xml:space="preserve">1 FCC </w:t>
      </w:r>
      <w:r w:rsidRPr="00D27175" w:rsidR="00A871FD">
        <w:rPr>
          <w:bdr w:val="none" w:sz="0" w:space="0" w:color="auto" w:frame="1"/>
          <w:shd w:val="clear" w:color="auto" w:fill="FFFFFF"/>
        </w:rPr>
        <w:t>Rcd</w:t>
      </w:r>
      <w:r w:rsidRPr="00D27175" w:rsidR="00A871FD">
        <w:rPr>
          <w:bdr w:val="none" w:sz="0" w:space="0" w:color="auto" w:frame="1"/>
          <w:shd w:val="clear" w:color="auto" w:fill="FFFFFF"/>
        </w:rPr>
        <w:t xml:space="preserve"> 358 (1986)</w:t>
      </w:r>
      <w:r w:rsidRPr="00D27175" w:rsidR="00E12895">
        <w:rPr>
          <w:bdr w:val="none" w:sz="0" w:space="0" w:color="auto" w:frame="1"/>
          <w:shd w:val="clear" w:color="auto" w:fill="FFFFFF"/>
        </w:rPr>
        <w:t xml:space="preserve"> </w:t>
      </w:r>
      <w:r w:rsidRPr="00D27175" w:rsidR="00A871FD">
        <w:rPr>
          <w:shd w:val="clear" w:color="auto" w:fill="FFFFFF"/>
        </w:rPr>
        <w:t>(stating that “employee acts or omissions, such as clerical errors in failing to file required forms, do not excuse violations”)</w:t>
      </w:r>
      <w:r w:rsidRPr="00D27175" w:rsidR="00040666">
        <w:rPr>
          <w:shd w:val="clear" w:color="auto" w:fill="FFFFFF"/>
        </w:rPr>
        <w:t>)</w:t>
      </w:r>
      <w:r w:rsidRPr="00D27175" w:rsidR="00A871FD">
        <w:rPr>
          <w:shd w:val="clear" w:color="auto" w:fill="FFFFFF"/>
        </w:rPr>
        <w:t xml:space="preserve">. </w:t>
      </w:r>
    </w:p>
  </w:footnote>
  <w:footnote w:id="17">
    <w:p w:rsidR="002F0A13" w:rsidP="002F0A13" w14:paraId="4E32F88C" w14:textId="77777777">
      <w:pPr>
        <w:pStyle w:val="FootnoteText"/>
      </w:pPr>
      <w:r>
        <w:rPr>
          <w:rStyle w:val="FootnoteReference"/>
        </w:rPr>
        <w:footnoteRef/>
      </w:r>
      <w:r>
        <w:t xml:space="preserve"> </w:t>
      </w:r>
      <w:r>
        <w:rPr>
          <w:i/>
        </w:rPr>
        <w:t xml:space="preserve">See </w:t>
      </w:r>
      <w:r>
        <w:rPr>
          <w:rStyle w:val="Emphasis"/>
          <w:color w:val="000000"/>
        </w:rPr>
        <w:t>Christian Radio Translator Association/Salmon, Inc.</w:t>
      </w:r>
      <w:r>
        <w:rPr>
          <w:rStyle w:val="apple-style-span"/>
          <w:color w:val="000000"/>
        </w:rPr>
        <w:t xml:space="preserve">, Forfeiture Order, 24 FCC </w:t>
      </w:r>
      <w:r>
        <w:rPr>
          <w:rStyle w:val="apple-style-span"/>
          <w:color w:val="000000"/>
        </w:rPr>
        <w:t>Rcd</w:t>
      </w:r>
      <w:r>
        <w:rPr>
          <w:rStyle w:val="apple-style-span"/>
          <w:color w:val="000000"/>
        </w:rPr>
        <w:t xml:space="preserve"> 11288, 11289 (MB 2009)</w:t>
      </w:r>
      <w:r>
        <w:rPr>
          <w:rStyle w:val="apple-converted-space"/>
          <w:color w:val="000000"/>
        </w:rPr>
        <w:t> </w:t>
      </w:r>
      <w:r>
        <w:rPr>
          <w:rStyle w:val="apple-style-span"/>
          <w:color w:val="000000"/>
        </w:rPr>
        <w:t>(holding that a Licensee's mistaken assumption that it would receive a reminder of the filing date from the Commission did not excuse the failure to file a timely renewal application).</w:t>
      </w:r>
    </w:p>
  </w:footnote>
  <w:footnote w:id="18">
    <w:p w:rsidR="002F0A13" w:rsidP="002F0A13" w14:paraId="1475F851" w14:textId="77777777">
      <w:pPr>
        <w:pStyle w:val="FootnoteText"/>
      </w:pPr>
      <w:r>
        <w:rPr>
          <w:rStyle w:val="FootnoteReference"/>
        </w:rPr>
        <w:footnoteRef/>
      </w:r>
      <w:r>
        <w:t xml:space="preserve"> </w:t>
      </w:r>
      <w:r>
        <w:rPr>
          <w:i/>
          <w:color w:val="000000"/>
        </w:rPr>
        <w:t>Escalante City</w:t>
      </w:r>
      <w:r>
        <w:rPr>
          <w:color w:val="000000"/>
        </w:rPr>
        <w:t xml:space="preserve">, Forfeiture Order, 26 FCC </w:t>
      </w:r>
      <w:r>
        <w:rPr>
          <w:color w:val="000000"/>
        </w:rPr>
        <w:t>Rcd</w:t>
      </w:r>
      <w:r>
        <w:rPr>
          <w:color w:val="000000"/>
        </w:rPr>
        <w:t xml:space="preserve"> 5961, 5962 (MB 2011); </w:t>
      </w:r>
      <w:r>
        <w:rPr>
          <w:i/>
          <w:color w:val="000000"/>
        </w:rPr>
        <w:t xml:space="preserve">see also </w:t>
      </w:r>
      <w:r>
        <w:rPr>
          <w:rStyle w:val="Emphasis"/>
          <w:color w:val="000000"/>
        </w:rPr>
        <w:t>Southern Broadcasting &amp; Investment Co., Inc.</w:t>
      </w:r>
      <w:r>
        <w:rPr>
          <w:rStyle w:val="apple-style-span"/>
          <w:color w:val="000000"/>
        </w:rPr>
        <w:t xml:space="preserve">, Memorandum Opinion and Order and Notice of Apparent Liability, 25 FCC </w:t>
      </w:r>
      <w:r>
        <w:rPr>
          <w:rStyle w:val="apple-style-span"/>
          <w:color w:val="000000"/>
        </w:rPr>
        <w:t>Rcd</w:t>
      </w:r>
      <w:r>
        <w:rPr>
          <w:rStyle w:val="apple-style-span"/>
          <w:color w:val="000000"/>
        </w:rPr>
        <w:t xml:space="preserve"> 13199, 13200 (MB 2010) (“Licensees are obligated to comply fully with the Rules, including filing a timely renewal application and maintaining in effect the station's authorization”).</w:t>
      </w:r>
    </w:p>
  </w:footnote>
  <w:footnote w:id="19">
    <w:p w:rsidR="00FE0540" w:rsidP="00FE0540" w14:paraId="409FE156" w14:textId="5A4E5CB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DE38CD">
        <w:rPr>
          <w:sz w:val="20"/>
        </w:rPr>
        <w:t>10</w:t>
      </w:r>
      <w:r>
        <w:rPr>
          <w:sz w:val="20"/>
        </w:rPr>
        <w:t xml:space="preserve">), </w:t>
      </w:r>
      <w:r w:rsidR="00DE38CD">
        <w:rPr>
          <w:sz w:val="20"/>
        </w:rPr>
        <w:t>table 1</w:t>
      </w:r>
      <w:r>
        <w:rPr>
          <w:sz w:val="20"/>
        </w:rPr>
        <w:t xml:space="preserve"> to paragraph (b)(</w:t>
      </w:r>
      <w:r w:rsidR="00DE38CD">
        <w:rPr>
          <w:sz w:val="20"/>
        </w:rPr>
        <w:t>10</w:t>
      </w:r>
      <w:r>
        <w:rPr>
          <w:sz w:val="20"/>
        </w:rPr>
        <w:t>).</w:t>
      </w:r>
    </w:p>
  </w:footnote>
  <w:footnote w:id="20">
    <w:p w:rsidR="00FE0540" w:rsidRPr="00D423B0" w:rsidP="00FE0540" w14:paraId="509482D9" w14:textId="0B4723F6">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5043E1">
        <w:t>10</w:t>
      </w:r>
      <w:r>
        <w:t xml:space="preserve">). </w:t>
      </w:r>
    </w:p>
  </w:footnote>
  <w:footnote w:id="21">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22">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3">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4">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25">
    <w:p w:rsidR="00FE0540" w:rsidRPr="00132193" w:rsidP="00FE0540" w14:paraId="4307CE48" w14:textId="2697B583">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21230">
        <w:rPr>
          <w:sz w:val="20"/>
        </w:rPr>
        <w:t>’</w:t>
      </w:r>
      <w:r w:rsidRPr="00132193">
        <w:rPr>
          <w:sz w:val="20"/>
        </w:rPr>
        <w:t>s operation</w:t>
      </w:r>
      <w:r w:rsidR="00B21230">
        <w:rPr>
          <w:sz w:val="20"/>
        </w:rPr>
        <w:t xml:space="preserve"> of the Station</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3D01CF">
        <w:rPr>
          <w:sz w:val="20"/>
        </w:rPr>
        <w:t>“</w:t>
      </w:r>
      <w:r w:rsidRPr="00132193">
        <w:rPr>
          <w:sz w:val="20"/>
        </w:rPr>
        <w:t>the number, nature and extent</w:t>
      </w:r>
      <w:r w:rsidR="003D01CF">
        <w:rPr>
          <w:sz w:val="20"/>
        </w:rPr>
        <w:t>”</w:t>
      </w:r>
      <w:r w:rsidRPr="00132193">
        <w:rPr>
          <w:sz w:val="20"/>
        </w:rPr>
        <w:t xml:space="preserve"> of the violations indicate that </w:t>
      </w:r>
      <w:r w:rsidR="003D01CF">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sidR="003D01CF">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6">
    <w:p w:rsidR="008A39AC" w14:paraId="288F8E5B" w14:textId="4A89202A">
      <w:pPr>
        <w:pStyle w:val="FootnoteText"/>
      </w:pPr>
      <w:r>
        <w:rPr>
          <w:rStyle w:val="FootnoteReference"/>
        </w:rPr>
        <w:footnoteRef/>
      </w:r>
      <w:r>
        <w:t xml:space="preserve"> 47 U.S.C. § 503(b); 47 CFR § 1.80.</w:t>
      </w:r>
    </w:p>
  </w:footnote>
  <w:footnote w:id="27">
    <w:p w:rsidR="008A39AC" w14:paraId="2FAD067E" w14:textId="61158C6A">
      <w:pPr>
        <w:pStyle w:val="FootnoteText"/>
      </w:pPr>
      <w:r>
        <w:rPr>
          <w:rStyle w:val="FootnoteReference"/>
        </w:rPr>
        <w:footnoteRef/>
      </w:r>
      <w:r>
        <w:t xml:space="preserve"> 47 CFR § 73.3539.</w:t>
      </w:r>
    </w:p>
  </w:footnote>
  <w:footnote w:id="28">
    <w:p w:rsidR="00C10005" w:rsidRPr="00132193" w:rsidP="00C10005" w14:paraId="3911D962"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9">
    <w:p w:rsidR="00C10005" w:rsidRPr="00132193" w:rsidP="00C10005" w14:paraId="7CCD4676"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30">
    <w:p w:rsidR="00C10005" w:rsidRPr="004B33E9" w:rsidP="00C10005" w14:paraId="6A15101B"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31">
    <w:p w:rsidR="00C10005" w:rsidRPr="004B33E9" w:rsidP="00C10005" w14:paraId="4517C3BC"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32">
    <w:p w:rsidR="00C10005" w:rsidP="00C10005" w14:paraId="3BBCDAAA" w14:textId="77777777">
      <w:pPr>
        <w:pStyle w:val="FootnoteText"/>
        <w:widowControl w:val="0"/>
      </w:pPr>
      <w:r>
        <w:rPr>
          <w:rStyle w:val="FootnoteReference"/>
        </w:rPr>
        <w:footnoteRef/>
      </w:r>
      <w:r>
        <w:t xml:space="preserve"> 47 CFR §§ 1.16 and 1.80(g)(3).</w:t>
      </w:r>
    </w:p>
  </w:footnote>
  <w:footnote w:id="33">
    <w:p w:rsidR="00C10005" w:rsidP="00C10005" w14:paraId="571D7DA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34">
    <w:p w:rsidR="00C10005" w:rsidP="00C10005" w14:paraId="216A5DF7"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6527A24E">
    <w:pPr>
      <w:pStyle w:val="Header"/>
      <w:rPr>
        <w:b w:val="0"/>
      </w:rPr>
    </w:pPr>
    <w:r>
      <w:tab/>
      <w:t>Federal Communications Commission</w:t>
    </w:r>
    <w:r>
      <w:tab/>
      <w:t>DA 21-</w:t>
    </w:r>
    <w:r w:rsidR="003402ED">
      <w:t>1106</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3E4E913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3402ED">
      <w:rPr>
        <w:spacing w:val="-2"/>
      </w:rPr>
      <w:t>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2"/>
  </w:num>
  <w:num w:numId="6">
    <w:abstractNumId w:val="0"/>
  </w:num>
  <w:num w:numId="7">
    <w:abstractNumId w:val="3"/>
  </w:num>
  <w:num w:numId="8">
    <w:abstractNumId w:val="5"/>
  </w:num>
  <w:num w:numId="9">
    <w:abstractNumId w:val="10"/>
  </w:num>
  <w:num w:numId="10">
    <w:abstractNumId w:val="8"/>
  </w:num>
  <w:num w:numId="11">
    <w:abstractNumId w:val="6"/>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1662A"/>
    <w:rsid w:val="0002652D"/>
    <w:rsid w:val="00036039"/>
    <w:rsid w:val="00037F90"/>
    <w:rsid w:val="00040666"/>
    <w:rsid w:val="00050F7F"/>
    <w:rsid w:val="000725CB"/>
    <w:rsid w:val="000875BF"/>
    <w:rsid w:val="000912BE"/>
    <w:rsid w:val="00096D8C"/>
    <w:rsid w:val="000A2A57"/>
    <w:rsid w:val="000A65AC"/>
    <w:rsid w:val="000C0B65"/>
    <w:rsid w:val="000E05FE"/>
    <w:rsid w:val="000E0D62"/>
    <w:rsid w:val="000E3D42"/>
    <w:rsid w:val="00122BD5"/>
    <w:rsid w:val="00132193"/>
    <w:rsid w:val="00133F79"/>
    <w:rsid w:val="0013465F"/>
    <w:rsid w:val="0013496B"/>
    <w:rsid w:val="00137153"/>
    <w:rsid w:val="00141BD4"/>
    <w:rsid w:val="0017296B"/>
    <w:rsid w:val="00177AF1"/>
    <w:rsid w:val="00190050"/>
    <w:rsid w:val="0019410E"/>
    <w:rsid w:val="00194A66"/>
    <w:rsid w:val="001B34EB"/>
    <w:rsid w:val="001C37F8"/>
    <w:rsid w:val="001D5112"/>
    <w:rsid w:val="001D6BCF"/>
    <w:rsid w:val="001E01CA"/>
    <w:rsid w:val="001E24D9"/>
    <w:rsid w:val="002252D3"/>
    <w:rsid w:val="00225929"/>
    <w:rsid w:val="00230DF3"/>
    <w:rsid w:val="002534B6"/>
    <w:rsid w:val="002546D1"/>
    <w:rsid w:val="0026347D"/>
    <w:rsid w:val="0026699D"/>
    <w:rsid w:val="00275CF5"/>
    <w:rsid w:val="0028301F"/>
    <w:rsid w:val="00285017"/>
    <w:rsid w:val="002A2D2E"/>
    <w:rsid w:val="002B39D0"/>
    <w:rsid w:val="002C00E8"/>
    <w:rsid w:val="002C7CD5"/>
    <w:rsid w:val="002F0A13"/>
    <w:rsid w:val="002F4697"/>
    <w:rsid w:val="00303C5B"/>
    <w:rsid w:val="0031050C"/>
    <w:rsid w:val="00313B4B"/>
    <w:rsid w:val="003141E8"/>
    <w:rsid w:val="0031780B"/>
    <w:rsid w:val="003402ED"/>
    <w:rsid w:val="00343749"/>
    <w:rsid w:val="003660ED"/>
    <w:rsid w:val="003778F5"/>
    <w:rsid w:val="003A0A2E"/>
    <w:rsid w:val="003B0550"/>
    <w:rsid w:val="003B0607"/>
    <w:rsid w:val="003B694F"/>
    <w:rsid w:val="003D01CF"/>
    <w:rsid w:val="003F171C"/>
    <w:rsid w:val="003F5E50"/>
    <w:rsid w:val="00412FC5"/>
    <w:rsid w:val="00422276"/>
    <w:rsid w:val="004242F1"/>
    <w:rsid w:val="0043351F"/>
    <w:rsid w:val="004450EA"/>
    <w:rsid w:val="00445A00"/>
    <w:rsid w:val="00451B0F"/>
    <w:rsid w:val="0046011F"/>
    <w:rsid w:val="00464742"/>
    <w:rsid w:val="00490F9A"/>
    <w:rsid w:val="004A4A8E"/>
    <w:rsid w:val="004B0C45"/>
    <w:rsid w:val="004B33E9"/>
    <w:rsid w:val="004C2EE3"/>
    <w:rsid w:val="004D2CEF"/>
    <w:rsid w:val="004D65FD"/>
    <w:rsid w:val="004E4A22"/>
    <w:rsid w:val="005043E1"/>
    <w:rsid w:val="00510E22"/>
    <w:rsid w:val="00511968"/>
    <w:rsid w:val="00524E06"/>
    <w:rsid w:val="00525F98"/>
    <w:rsid w:val="00531E50"/>
    <w:rsid w:val="005404A0"/>
    <w:rsid w:val="0055494B"/>
    <w:rsid w:val="00555D44"/>
    <w:rsid w:val="0055614C"/>
    <w:rsid w:val="00566D06"/>
    <w:rsid w:val="00574046"/>
    <w:rsid w:val="00586ABF"/>
    <w:rsid w:val="00591634"/>
    <w:rsid w:val="005B1997"/>
    <w:rsid w:val="005C6048"/>
    <w:rsid w:val="005D0E8E"/>
    <w:rsid w:val="005E14C2"/>
    <w:rsid w:val="005F06C9"/>
    <w:rsid w:val="00607BA5"/>
    <w:rsid w:val="0061180A"/>
    <w:rsid w:val="00626EB6"/>
    <w:rsid w:val="00641A34"/>
    <w:rsid w:val="00644C59"/>
    <w:rsid w:val="00645990"/>
    <w:rsid w:val="00655D03"/>
    <w:rsid w:val="0067201F"/>
    <w:rsid w:val="00683388"/>
    <w:rsid w:val="00683750"/>
    <w:rsid w:val="00683F84"/>
    <w:rsid w:val="006956D6"/>
    <w:rsid w:val="006A6A81"/>
    <w:rsid w:val="006C2672"/>
    <w:rsid w:val="006C3C95"/>
    <w:rsid w:val="006D499A"/>
    <w:rsid w:val="006E2F43"/>
    <w:rsid w:val="006E7F2C"/>
    <w:rsid w:val="006F7393"/>
    <w:rsid w:val="0070224F"/>
    <w:rsid w:val="007115F7"/>
    <w:rsid w:val="007233D0"/>
    <w:rsid w:val="00723BB8"/>
    <w:rsid w:val="0073510B"/>
    <w:rsid w:val="00746543"/>
    <w:rsid w:val="00746CEB"/>
    <w:rsid w:val="00756FC8"/>
    <w:rsid w:val="007846AA"/>
    <w:rsid w:val="00785689"/>
    <w:rsid w:val="0079754B"/>
    <w:rsid w:val="007A1E6D"/>
    <w:rsid w:val="007A3533"/>
    <w:rsid w:val="007B0EB2"/>
    <w:rsid w:val="007B464B"/>
    <w:rsid w:val="007C377D"/>
    <w:rsid w:val="007D3B81"/>
    <w:rsid w:val="007E1A7A"/>
    <w:rsid w:val="00800237"/>
    <w:rsid w:val="00810B6F"/>
    <w:rsid w:val="00815718"/>
    <w:rsid w:val="00821040"/>
    <w:rsid w:val="00821A39"/>
    <w:rsid w:val="00822CE0"/>
    <w:rsid w:val="00832EC7"/>
    <w:rsid w:val="00841AB1"/>
    <w:rsid w:val="0084668A"/>
    <w:rsid w:val="008668C6"/>
    <w:rsid w:val="00874E66"/>
    <w:rsid w:val="0089695D"/>
    <w:rsid w:val="00897334"/>
    <w:rsid w:val="008A39AC"/>
    <w:rsid w:val="008C398A"/>
    <w:rsid w:val="008C68F1"/>
    <w:rsid w:val="008F6FFF"/>
    <w:rsid w:val="0090052A"/>
    <w:rsid w:val="0090363E"/>
    <w:rsid w:val="0091090A"/>
    <w:rsid w:val="00921803"/>
    <w:rsid w:val="00924C2F"/>
    <w:rsid w:val="00926503"/>
    <w:rsid w:val="00930967"/>
    <w:rsid w:val="009421DA"/>
    <w:rsid w:val="00967CBC"/>
    <w:rsid w:val="009726D8"/>
    <w:rsid w:val="009922F5"/>
    <w:rsid w:val="009D7308"/>
    <w:rsid w:val="009F36FF"/>
    <w:rsid w:val="009F6280"/>
    <w:rsid w:val="009F76DB"/>
    <w:rsid w:val="00A02C95"/>
    <w:rsid w:val="00A301DE"/>
    <w:rsid w:val="00A304DF"/>
    <w:rsid w:val="00A32C3B"/>
    <w:rsid w:val="00A3534C"/>
    <w:rsid w:val="00A45BAE"/>
    <w:rsid w:val="00A45F4F"/>
    <w:rsid w:val="00A600A9"/>
    <w:rsid w:val="00A72D95"/>
    <w:rsid w:val="00A871FD"/>
    <w:rsid w:val="00AA0C11"/>
    <w:rsid w:val="00AA10B1"/>
    <w:rsid w:val="00AA55B7"/>
    <w:rsid w:val="00AA5B9E"/>
    <w:rsid w:val="00AB0B7E"/>
    <w:rsid w:val="00AB2407"/>
    <w:rsid w:val="00AB53DF"/>
    <w:rsid w:val="00AD2902"/>
    <w:rsid w:val="00AD43AF"/>
    <w:rsid w:val="00AD730F"/>
    <w:rsid w:val="00B07E5C"/>
    <w:rsid w:val="00B176E3"/>
    <w:rsid w:val="00B21230"/>
    <w:rsid w:val="00B23686"/>
    <w:rsid w:val="00B31587"/>
    <w:rsid w:val="00B46737"/>
    <w:rsid w:val="00B811F7"/>
    <w:rsid w:val="00B86644"/>
    <w:rsid w:val="00B97556"/>
    <w:rsid w:val="00BA5DC6"/>
    <w:rsid w:val="00BA6196"/>
    <w:rsid w:val="00BB69DB"/>
    <w:rsid w:val="00BC02B5"/>
    <w:rsid w:val="00BC6D8C"/>
    <w:rsid w:val="00BE0988"/>
    <w:rsid w:val="00C10005"/>
    <w:rsid w:val="00C1209E"/>
    <w:rsid w:val="00C15FEA"/>
    <w:rsid w:val="00C23B3F"/>
    <w:rsid w:val="00C33011"/>
    <w:rsid w:val="00C34006"/>
    <w:rsid w:val="00C36B4C"/>
    <w:rsid w:val="00C426B1"/>
    <w:rsid w:val="00C66160"/>
    <w:rsid w:val="00C721AC"/>
    <w:rsid w:val="00C726C2"/>
    <w:rsid w:val="00C90D6A"/>
    <w:rsid w:val="00C91F82"/>
    <w:rsid w:val="00CA247E"/>
    <w:rsid w:val="00CA6D21"/>
    <w:rsid w:val="00CB6E68"/>
    <w:rsid w:val="00CC72B6"/>
    <w:rsid w:val="00D00F61"/>
    <w:rsid w:val="00D0218D"/>
    <w:rsid w:val="00D2263A"/>
    <w:rsid w:val="00D24ABF"/>
    <w:rsid w:val="00D25FB5"/>
    <w:rsid w:val="00D27175"/>
    <w:rsid w:val="00D30F1D"/>
    <w:rsid w:val="00D423B0"/>
    <w:rsid w:val="00D44223"/>
    <w:rsid w:val="00DA2529"/>
    <w:rsid w:val="00DB130A"/>
    <w:rsid w:val="00DB2EBB"/>
    <w:rsid w:val="00DC024C"/>
    <w:rsid w:val="00DC10A1"/>
    <w:rsid w:val="00DC1DEF"/>
    <w:rsid w:val="00DC655F"/>
    <w:rsid w:val="00DD0B59"/>
    <w:rsid w:val="00DD7EBD"/>
    <w:rsid w:val="00DE38CD"/>
    <w:rsid w:val="00DE552A"/>
    <w:rsid w:val="00DF62B6"/>
    <w:rsid w:val="00E07225"/>
    <w:rsid w:val="00E1189A"/>
    <w:rsid w:val="00E12895"/>
    <w:rsid w:val="00E203B3"/>
    <w:rsid w:val="00E20626"/>
    <w:rsid w:val="00E36E6E"/>
    <w:rsid w:val="00E4519B"/>
    <w:rsid w:val="00E50916"/>
    <w:rsid w:val="00E5409F"/>
    <w:rsid w:val="00E70391"/>
    <w:rsid w:val="00E80EAF"/>
    <w:rsid w:val="00E81A03"/>
    <w:rsid w:val="00E938D4"/>
    <w:rsid w:val="00EB5556"/>
    <w:rsid w:val="00EE6488"/>
    <w:rsid w:val="00F021FA"/>
    <w:rsid w:val="00F10688"/>
    <w:rsid w:val="00F15597"/>
    <w:rsid w:val="00F46026"/>
    <w:rsid w:val="00F62E97"/>
    <w:rsid w:val="00F64209"/>
    <w:rsid w:val="00F77BDB"/>
    <w:rsid w:val="00F93BF5"/>
    <w:rsid w:val="00FE0540"/>
    <w:rsid w:val="00FE496D"/>
    <w:rsid w:val="00FF43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402ED"/>
    <w:pPr>
      <w:widowControl w:val="0"/>
    </w:pPr>
    <w:rPr>
      <w:snapToGrid w:val="0"/>
      <w:kern w:val="28"/>
      <w:sz w:val="22"/>
    </w:rPr>
  </w:style>
  <w:style w:type="paragraph" w:styleId="Heading1">
    <w:name w:val="heading 1"/>
    <w:basedOn w:val="Normal"/>
    <w:next w:val="ParaNum"/>
    <w:qFormat/>
    <w:rsid w:val="003402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402ED"/>
    <w:pPr>
      <w:keepNext/>
      <w:numPr>
        <w:ilvl w:val="1"/>
        <w:numId w:val="3"/>
      </w:numPr>
      <w:spacing w:after="120"/>
      <w:outlineLvl w:val="1"/>
    </w:pPr>
    <w:rPr>
      <w:b/>
    </w:rPr>
  </w:style>
  <w:style w:type="paragraph" w:styleId="Heading3">
    <w:name w:val="heading 3"/>
    <w:basedOn w:val="Normal"/>
    <w:next w:val="ParaNum"/>
    <w:qFormat/>
    <w:rsid w:val="003402ED"/>
    <w:pPr>
      <w:keepNext/>
      <w:numPr>
        <w:ilvl w:val="2"/>
        <w:numId w:val="3"/>
      </w:numPr>
      <w:tabs>
        <w:tab w:val="left" w:pos="2160"/>
      </w:tabs>
      <w:spacing w:after="120"/>
      <w:outlineLvl w:val="2"/>
    </w:pPr>
    <w:rPr>
      <w:b/>
    </w:rPr>
  </w:style>
  <w:style w:type="paragraph" w:styleId="Heading4">
    <w:name w:val="heading 4"/>
    <w:basedOn w:val="Normal"/>
    <w:next w:val="ParaNum"/>
    <w:qFormat/>
    <w:rsid w:val="003402ED"/>
    <w:pPr>
      <w:keepNext/>
      <w:numPr>
        <w:ilvl w:val="3"/>
        <w:numId w:val="3"/>
      </w:numPr>
      <w:tabs>
        <w:tab w:val="left" w:pos="2880"/>
      </w:tabs>
      <w:spacing w:after="120"/>
      <w:outlineLvl w:val="3"/>
    </w:pPr>
    <w:rPr>
      <w:b/>
    </w:rPr>
  </w:style>
  <w:style w:type="paragraph" w:styleId="Heading5">
    <w:name w:val="heading 5"/>
    <w:basedOn w:val="Normal"/>
    <w:next w:val="ParaNum"/>
    <w:qFormat/>
    <w:rsid w:val="003402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402ED"/>
    <w:pPr>
      <w:numPr>
        <w:ilvl w:val="5"/>
        <w:numId w:val="3"/>
      </w:numPr>
      <w:tabs>
        <w:tab w:val="left" w:pos="4320"/>
      </w:tabs>
      <w:spacing w:after="120"/>
      <w:outlineLvl w:val="5"/>
    </w:pPr>
    <w:rPr>
      <w:b/>
    </w:rPr>
  </w:style>
  <w:style w:type="paragraph" w:styleId="Heading7">
    <w:name w:val="heading 7"/>
    <w:basedOn w:val="Normal"/>
    <w:next w:val="ParaNum"/>
    <w:qFormat/>
    <w:rsid w:val="003402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402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402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02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2ED"/>
  </w:style>
  <w:style w:type="paragraph" w:customStyle="1" w:styleId="ParaNum">
    <w:name w:val="ParaNum"/>
    <w:basedOn w:val="Normal"/>
    <w:link w:val="ParaNumChar"/>
    <w:rsid w:val="003402ED"/>
    <w:pPr>
      <w:numPr>
        <w:numId w:val="2"/>
      </w:numPr>
      <w:tabs>
        <w:tab w:val="clear" w:pos="1080"/>
        <w:tab w:val="num" w:pos="1440"/>
      </w:tabs>
      <w:spacing w:after="120"/>
    </w:pPr>
  </w:style>
  <w:style w:type="paragraph" w:styleId="EndnoteText">
    <w:name w:val="endnote text"/>
    <w:basedOn w:val="Normal"/>
    <w:semiHidden/>
    <w:rsid w:val="003402ED"/>
    <w:rPr>
      <w:sz w:val="20"/>
    </w:rPr>
  </w:style>
  <w:style w:type="character" w:styleId="EndnoteReference">
    <w:name w:val="endnote reference"/>
    <w:semiHidden/>
    <w:rsid w:val="003402E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402E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402ED"/>
    <w:rPr>
      <w:rFonts w:ascii="Times New Roman" w:hAnsi="Times New Roman"/>
      <w:dstrike w:val="0"/>
      <w:color w:val="auto"/>
      <w:sz w:val="20"/>
      <w:vertAlign w:val="superscript"/>
    </w:rPr>
  </w:style>
  <w:style w:type="paragraph" w:styleId="TOC1">
    <w:name w:val="toc 1"/>
    <w:basedOn w:val="Normal"/>
    <w:next w:val="Normal"/>
    <w:semiHidden/>
    <w:rsid w:val="003402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02ED"/>
    <w:pPr>
      <w:tabs>
        <w:tab w:val="left" w:pos="720"/>
        <w:tab w:val="right" w:leader="dot" w:pos="9360"/>
      </w:tabs>
      <w:suppressAutoHyphens/>
      <w:ind w:left="720" w:right="720" w:hanging="360"/>
    </w:pPr>
    <w:rPr>
      <w:noProof/>
    </w:rPr>
  </w:style>
  <w:style w:type="paragraph" w:styleId="TOC3">
    <w:name w:val="toc 3"/>
    <w:basedOn w:val="Normal"/>
    <w:next w:val="Normal"/>
    <w:semiHidden/>
    <w:rsid w:val="003402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02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02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02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02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02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02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02ED"/>
    <w:pPr>
      <w:tabs>
        <w:tab w:val="right" w:pos="9360"/>
      </w:tabs>
      <w:suppressAutoHyphens/>
    </w:pPr>
  </w:style>
  <w:style w:type="character" w:customStyle="1" w:styleId="EquationCaption">
    <w:name w:val="_Equation Caption"/>
    <w:rsid w:val="003402ED"/>
  </w:style>
  <w:style w:type="paragraph" w:styleId="Header">
    <w:name w:val="header"/>
    <w:basedOn w:val="Normal"/>
    <w:autoRedefine/>
    <w:rsid w:val="003402ED"/>
    <w:pPr>
      <w:tabs>
        <w:tab w:val="center" w:pos="4680"/>
        <w:tab w:val="right" w:pos="9360"/>
      </w:tabs>
    </w:pPr>
    <w:rPr>
      <w:b/>
    </w:rPr>
  </w:style>
  <w:style w:type="paragraph" w:styleId="Footer">
    <w:name w:val="footer"/>
    <w:basedOn w:val="Normal"/>
    <w:link w:val="FooterChar"/>
    <w:uiPriority w:val="99"/>
    <w:rsid w:val="003402ED"/>
    <w:pPr>
      <w:tabs>
        <w:tab w:val="center" w:pos="4320"/>
        <w:tab w:val="right" w:pos="8640"/>
      </w:tabs>
    </w:pPr>
  </w:style>
  <w:style w:type="character" w:styleId="PageNumber">
    <w:name w:val="page number"/>
    <w:basedOn w:val="DefaultParagraphFont"/>
    <w:rsid w:val="003402ED"/>
  </w:style>
  <w:style w:type="paragraph" w:styleId="BlockText">
    <w:name w:val="Block Text"/>
    <w:basedOn w:val="Normal"/>
    <w:rsid w:val="003402ED"/>
    <w:pPr>
      <w:spacing w:after="240"/>
      <w:ind w:left="1440" w:right="1440"/>
    </w:pPr>
  </w:style>
  <w:style w:type="paragraph" w:customStyle="1" w:styleId="Paratitle">
    <w:name w:val="Para title"/>
    <w:basedOn w:val="Normal"/>
    <w:rsid w:val="003402ED"/>
    <w:pPr>
      <w:tabs>
        <w:tab w:val="center" w:pos="9270"/>
      </w:tabs>
      <w:spacing w:after="240"/>
    </w:pPr>
    <w:rPr>
      <w:spacing w:val="-2"/>
    </w:rPr>
  </w:style>
  <w:style w:type="paragraph" w:customStyle="1" w:styleId="Bullet">
    <w:name w:val="Bullet"/>
    <w:basedOn w:val="Normal"/>
    <w:rsid w:val="003402ED"/>
    <w:pPr>
      <w:tabs>
        <w:tab w:val="left" w:pos="2160"/>
      </w:tabs>
      <w:spacing w:after="220"/>
      <w:ind w:left="2160" w:hanging="720"/>
    </w:pPr>
  </w:style>
  <w:style w:type="paragraph" w:customStyle="1" w:styleId="TableFormat">
    <w:name w:val="TableFormat"/>
    <w:basedOn w:val="Bullet"/>
    <w:rsid w:val="003402ED"/>
    <w:pPr>
      <w:tabs>
        <w:tab w:val="clear" w:pos="2160"/>
        <w:tab w:val="left" w:pos="5040"/>
      </w:tabs>
      <w:ind w:left="5040" w:hanging="3600"/>
    </w:pPr>
  </w:style>
  <w:style w:type="paragraph" w:customStyle="1" w:styleId="TOCTitle">
    <w:name w:val="TOC Title"/>
    <w:basedOn w:val="Normal"/>
    <w:rsid w:val="003402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02ED"/>
    <w:pPr>
      <w:jc w:val="center"/>
    </w:pPr>
    <w:rPr>
      <w:rFonts w:ascii="Times New Roman Bold" w:hAnsi="Times New Roman Bold"/>
      <w:b/>
      <w:bCs/>
      <w:caps/>
      <w:szCs w:val="22"/>
    </w:rPr>
  </w:style>
  <w:style w:type="character" w:styleId="Hyperlink">
    <w:name w:val="Hyperlink"/>
    <w:rsid w:val="003402ED"/>
    <w:rPr>
      <w:color w:val="0000FF"/>
      <w:u w:val="single"/>
    </w:rPr>
  </w:style>
  <w:style w:type="character" w:customStyle="1" w:styleId="FooterChar">
    <w:name w:val="Footer Char"/>
    <w:link w:val="Footer"/>
    <w:uiPriority w:val="99"/>
    <w:rsid w:val="003402ED"/>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apple-style-span">
    <w:name w:val="apple-style-span"/>
    <w:basedOn w:val="DefaultParagraphFont"/>
    <w:rsid w:val="002F0A13"/>
  </w:style>
  <w:style w:type="character" w:customStyle="1" w:styleId="apple-converted-space">
    <w:name w:val="apple-converted-space"/>
    <w:basedOn w:val="DefaultParagraphFont"/>
    <w:rsid w:val="002F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