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E273E3" w:rsidRPr="00A45E90" w:rsidP="00BC4F98" w14:paraId="7B29A8C9" w14:textId="77777777">
      <w:pPr>
        <w:pStyle w:val="StyleBoldCentered"/>
      </w:pPr>
      <w:r w:rsidRPr="00BC4F98">
        <w:rPr>
          <w:rFonts w:ascii="Times New Roman" w:hAnsi="Times New Roman"/>
          <w:caps w:val="0"/>
        </w:rPr>
        <w:t>Before the</w:t>
      </w:r>
    </w:p>
    <w:p w:rsidR="00E273E3" w:rsidRPr="008E20C2" w:rsidP="002659F3" w14:paraId="083D2A5F" w14:textId="77777777">
      <w:pPr>
        <w:pStyle w:val="StyleBoldCentered"/>
        <w:rPr>
          <w:rFonts w:ascii="Times New Roman" w:hAnsi="Times New Roman"/>
        </w:rPr>
      </w:pPr>
      <w:r w:rsidRPr="008E20C2">
        <w:rPr>
          <w:rFonts w:ascii="Times New Roman" w:hAnsi="Times New Roman"/>
        </w:rPr>
        <w:t>F</w:t>
      </w:r>
      <w:r w:rsidRPr="008E20C2">
        <w:rPr>
          <w:rFonts w:ascii="Times New Roman" w:hAnsi="Times New Roman"/>
          <w:caps w:val="0"/>
        </w:rPr>
        <w:t>ederal Commu</w:t>
      </w:r>
      <w:bookmarkStart w:id="0" w:name="_GoBack"/>
      <w:bookmarkEnd w:id="0"/>
      <w:r w:rsidRPr="008E20C2">
        <w:rPr>
          <w:rFonts w:ascii="Times New Roman" w:hAnsi="Times New Roman"/>
          <w:caps w:val="0"/>
        </w:rPr>
        <w:t>nications Commission</w:t>
      </w:r>
    </w:p>
    <w:p w:rsidR="00E273E3" w:rsidRPr="008E20C2" w:rsidP="002659F3" w14:paraId="2D8F4206" w14:textId="77777777">
      <w:pPr>
        <w:pStyle w:val="StyleBoldCentered"/>
        <w:rPr>
          <w:rFonts w:ascii="Times New Roman" w:hAnsi="Times New Roman"/>
        </w:rPr>
      </w:pPr>
      <w:r w:rsidRPr="008E20C2">
        <w:rPr>
          <w:rFonts w:ascii="Times New Roman" w:hAnsi="Times New Roman"/>
          <w:caps w:val="0"/>
        </w:rPr>
        <w:t>Washington</w:t>
      </w:r>
      <w:r w:rsidRPr="008E20C2">
        <w:rPr>
          <w:rFonts w:ascii="Times New Roman" w:hAnsi="Times New Roman"/>
        </w:rPr>
        <w:t>, DC 20554</w:t>
      </w:r>
    </w:p>
    <w:p w:rsidR="00E273E3" w:rsidRPr="008E20C2" w:rsidP="002659F3" w14:paraId="6BE4ACE7" w14:textId="77777777"/>
    <w:tbl>
      <w:tblPr>
        <w:tblW w:w="0" w:type="auto"/>
        <w:tblLayout w:type="fixed"/>
        <w:tblLook w:val="0000"/>
      </w:tblPr>
      <w:tblGrid>
        <w:gridCol w:w="4698"/>
        <w:gridCol w:w="630"/>
        <w:gridCol w:w="4248"/>
      </w:tblGrid>
      <w:tr w14:paraId="6B084147" w14:textId="77777777">
        <w:tblPrEx>
          <w:tblW w:w="0" w:type="auto"/>
          <w:tblLayout w:type="fixed"/>
          <w:tblLook w:val="0000"/>
        </w:tblPrEx>
        <w:tc>
          <w:tcPr>
            <w:tcW w:w="4698" w:type="dxa"/>
          </w:tcPr>
          <w:p w:rsidR="00E273E3" w:rsidRPr="008E20C2" w:rsidP="002659F3" w14:paraId="3ECA1A1F" w14:textId="77777777">
            <w:pPr>
              <w:suppressAutoHyphens/>
              <w:rPr>
                <w:spacing w:val="-2"/>
              </w:rPr>
            </w:pPr>
            <w:r w:rsidRPr="008E20C2">
              <w:rPr>
                <w:spacing w:val="-2"/>
              </w:rPr>
              <w:t>In the Matter of</w:t>
            </w:r>
          </w:p>
          <w:p w:rsidR="00E273E3" w:rsidRPr="008E20C2" w:rsidP="002659F3" w14:paraId="6A58E902" w14:textId="77777777">
            <w:pPr>
              <w:suppressAutoHyphens/>
              <w:rPr>
                <w:spacing w:val="-2"/>
              </w:rPr>
            </w:pPr>
          </w:p>
          <w:p w:rsidR="00CF6719" w:rsidRPr="008E20C2" w:rsidP="002659F3" w14:paraId="6FEFD215" w14:textId="77777777">
            <w:pPr>
              <w:suppressAutoHyphens/>
              <w:rPr>
                <w:spacing w:val="-2"/>
              </w:rPr>
            </w:pPr>
            <w:r w:rsidRPr="008E20C2">
              <w:rPr>
                <w:spacing w:val="-2"/>
              </w:rPr>
              <w:t xml:space="preserve">Amendment of Section 1.80(b) of the </w:t>
            </w:r>
          </w:p>
          <w:p w:rsidR="00CF6719" w:rsidRPr="008E20C2" w:rsidP="002659F3" w14:paraId="5E5B6018" w14:textId="77777777">
            <w:pPr>
              <w:suppressAutoHyphens/>
              <w:rPr>
                <w:spacing w:val="-2"/>
              </w:rPr>
            </w:pPr>
            <w:r w:rsidRPr="008E20C2">
              <w:rPr>
                <w:spacing w:val="-2"/>
              </w:rPr>
              <w:t>Commission’s Rules</w:t>
            </w:r>
          </w:p>
          <w:p w:rsidR="00CF6719" w:rsidRPr="008E20C2" w:rsidP="002659F3" w14:paraId="72826B48" w14:textId="77777777">
            <w:pPr>
              <w:suppressAutoHyphens/>
              <w:rPr>
                <w:spacing w:val="-2"/>
              </w:rPr>
            </w:pPr>
          </w:p>
          <w:p w:rsidR="00CF6719" w:rsidRPr="008E20C2" w:rsidP="002659F3" w14:paraId="105A9EF2" w14:textId="77777777">
            <w:pPr>
              <w:suppressAutoHyphens/>
              <w:rPr>
                <w:spacing w:val="-2"/>
              </w:rPr>
            </w:pPr>
            <w:r w:rsidRPr="008E20C2">
              <w:rPr>
                <w:spacing w:val="-2"/>
              </w:rPr>
              <w:t>Adjustment of Civil Monetary Penalties to Reflect</w:t>
            </w:r>
          </w:p>
          <w:p w:rsidR="00E273E3" w:rsidRPr="008E20C2" w:rsidP="002659F3" w14:paraId="7F907211" w14:textId="77777777">
            <w:pPr>
              <w:suppressAutoHyphens/>
              <w:rPr>
                <w:spacing w:val="-2"/>
              </w:rPr>
            </w:pPr>
            <w:r w:rsidRPr="008E20C2">
              <w:rPr>
                <w:spacing w:val="-2"/>
              </w:rPr>
              <w:t xml:space="preserve">Inflation </w:t>
            </w:r>
          </w:p>
        </w:tc>
        <w:tc>
          <w:tcPr>
            <w:tcW w:w="630" w:type="dxa"/>
          </w:tcPr>
          <w:p w:rsidR="00E273E3" w:rsidRPr="008E20C2" w:rsidP="002659F3" w14:paraId="6374F34E" w14:textId="77777777">
            <w:pPr>
              <w:suppressAutoHyphens/>
              <w:rPr>
                <w:spacing w:val="-2"/>
              </w:rPr>
            </w:pPr>
            <w:r w:rsidRPr="008E20C2">
              <w:rPr>
                <w:spacing w:val="-2"/>
              </w:rPr>
              <w:t>)</w:t>
            </w:r>
          </w:p>
          <w:p w:rsidR="00E273E3" w:rsidRPr="008E20C2" w:rsidP="002659F3" w14:paraId="18A6DE5D" w14:textId="77777777">
            <w:pPr>
              <w:suppressAutoHyphens/>
              <w:rPr>
                <w:spacing w:val="-2"/>
              </w:rPr>
            </w:pPr>
            <w:r w:rsidRPr="008E20C2">
              <w:rPr>
                <w:spacing w:val="-2"/>
              </w:rPr>
              <w:t>)</w:t>
            </w:r>
          </w:p>
          <w:p w:rsidR="00E273E3" w:rsidRPr="008E20C2" w:rsidP="002659F3" w14:paraId="54AD6642" w14:textId="77777777">
            <w:pPr>
              <w:suppressAutoHyphens/>
              <w:rPr>
                <w:spacing w:val="-2"/>
              </w:rPr>
            </w:pPr>
            <w:r w:rsidRPr="008E20C2">
              <w:rPr>
                <w:spacing w:val="-2"/>
              </w:rPr>
              <w:t>)</w:t>
            </w:r>
          </w:p>
          <w:p w:rsidR="00E273E3" w:rsidRPr="008E20C2" w:rsidP="002659F3" w14:paraId="1B38CEF7" w14:textId="77777777">
            <w:pPr>
              <w:suppressAutoHyphens/>
              <w:rPr>
                <w:spacing w:val="-2"/>
              </w:rPr>
            </w:pPr>
            <w:r w:rsidRPr="008E20C2">
              <w:rPr>
                <w:spacing w:val="-2"/>
              </w:rPr>
              <w:t>)</w:t>
            </w:r>
          </w:p>
          <w:p w:rsidR="00E273E3" w:rsidRPr="008E20C2" w:rsidP="002659F3" w14:paraId="6D689D2A" w14:textId="77777777">
            <w:pPr>
              <w:suppressAutoHyphens/>
              <w:rPr>
                <w:spacing w:val="-2"/>
              </w:rPr>
            </w:pPr>
            <w:r w:rsidRPr="008E20C2">
              <w:rPr>
                <w:spacing w:val="-2"/>
              </w:rPr>
              <w:t>)</w:t>
            </w:r>
          </w:p>
          <w:p w:rsidR="00CF6719" w:rsidRPr="008E20C2" w:rsidP="002659F3" w14:paraId="61624061" w14:textId="77777777">
            <w:pPr>
              <w:suppressAutoHyphens/>
              <w:rPr>
                <w:spacing w:val="-2"/>
              </w:rPr>
            </w:pPr>
            <w:r w:rsidRPr="008E20C2">
              <w:rPr>
                <w:spacing w:val="-2"/>
              </w:rPr>
              <w:t>)</w:t>
            </w:r>
          </w:p>
          <w:p w:rsidR="00CF6719" w:rsidRPr="008E20C2" w:rsidP="002659F3" w14:paraId="114CA747" w14:textId="77777777">
            <w:pPr>
              <w:suppressAutoHyphens/>
              <w:rPr>
                <w:spacing w:val="-2"/>
              </w:rPr>
            </w:pPr>
            <w:r w:rsidRPr="008E20C2">
              <w:rPr>
                <w:spacing w:val="-2"/>
              </w:rPr>
              <w:t>)</w:t>
            </w:r>
          </w:p>
          <w:p w:rsidR="00CF6719" w:rsidRPr="008E20C2" w:rsidP="002659F3" w14:paraId="44BA00B2" w14:textId="77777777">
            <w:pPr>
              <w:suppressAutoHyphens/>
              <w:rPr>
                <w:spacing w:val="-2"/>
              </w:rPr>
            </w:pPr>
          </w:p>
        </w:tc>
        <w:tc>
          <w:tcPr>
            <w:tcW w:w="4248" w:type="dxa"/>
          </w:tcPr>
          <w:p w:rsidR="00E273E3" w:rsidRPr="008E20C2" w:rsidP="002659F3" w14:paraId="2EB98575" w14:textId="77777777">
            <w:pPr>
              <w:suppressAutoHyphens/>
              <w:rPr>
                <w:spacing w:val="-2"/>
              </w:rPr>
            </w:pPr>
          </w:p>
          <w:p w:rsidR="00E273E3" w:rsidRPr="008E20C2" w:rsidP="002659F3" w14:paraId="1E419659" w14:textId="77777777">
            <w:pPr>
              <w:suppressAutoHyphens/>
              <w:rPr>
                <w:spacing w:val="-2"/>
              </w:rPr>
            </w:pPr>
          </w:p>
          <w:p w:rsidR="00E273E3" w:rsidRPr="00140C6A" w:rsidP="00CF6719" w14:paraId="55319AB0" w14:textId="1ADF4C66">
            <w:pPr>
              <w:suppressAutoHyphens/>
              <w:ind w:left="432"/>
              <w:rPr>
                <w:b/>
                <w:bCs/>
                <w:spacing w:val="-2"/>
              </w:rPr>
            </w:pPr>
          </w:p>
        </w:tc>
      </w:tr>
    </w:tbl>
    <w:p w:rsidR="00E273E3" w:rsidRPr="008E20C2" w:rsidP="002659F3" w14:paraId="36BD3DD9" w14:textId="77777777"/>
    <w:p w:rsidR="00E273E3" w:rsidRPr="008E20C2" w:rsidP="002659F3" w14:paraId="14FA8DD1" w14:textId="77777777">
      <w:pPr>
        <w:pStyle w:val="StyleBoldCentered"/>
        <w:spacing w:after="220"/>
        <w:rPr>
          <w:rFonts w:ascii="Times New Roman" w:hAnsi="Times New Roman"/>
        </w:rPr>
      </w:pPr>
      <w:r>
        <w:rPr>
          <w:rFonts w:ascii="Times New Roman" w:hAnsi="Times New Roman"/>
        </w:rPr>
        <w:t>ERRATUM</w:t>
      </w:r>
    </w:p>
    <w:p w:rsidR="00E273E3" w:rsidRPr="008E20C2" w:rsidP="007A7113" w14:paraId="6B1F588D" w14:textId="46AF46A1">
      <w:pPr>
        <w:suppressAutoHyphens/>
        <w:jc w:val="right"/>
        <w:rPr>
          <w:spacing w:val="-2"/>
        </w:rPr>
      </w:pPr>
      <w:r w:rsidRPr="00082931">
        <w:rPr>
          <w:b/>
          <w:spacing w:val="-2"/>
        </w:rPr>
        <w:t xml:space="preserve">Released:  </w:t>
      </w:r>
      <w:r w:rsidR="00755EFF">
        <w:rPr>
          <w:b/>
          <w:spacing w:val="-2"/>
        </w:rPr>
        <w:t>February</w:t>
      </w:r>
      <w:r w:rsidR="002C70F7">
        <w:rPr>
          <w:b/>
          <w:spacing w:val="-2"/>
        </w:rPr>
        <w:t xml:space="preserve"> </w:t>
      </w:r>
      <w:r w:rsidR="007A7113">
        <w:rPr>
          <w:b/>
          <w:spacing w:val="-2"/>
        </w:rPr>
        <w:t>3</w:t>
      </w:r>
      <w:r w:rsidRPr="00082931" w:rsidR="004A60E8">
        <w:rPr>
          <w:b/>
          <w:spacing w:val="-2"/>
        </w:rPr>
        <w:t>,</w:t>
      </w:r>
      <w:r w:rsidR="004A60E8">
        <w:rPr>
          <w:b/>
          <w:spacing w:val="-2"/>
        </w:rPr>
        <w:t xml:space="preserve"> 20</w:t>
      </w:r>
      <w:r w:rsidR="006B683C">
        <w:rPr>
          <w:b/>
          <w:spacing w:val="-2"/>
        </w:rPr>
        <w:t>2</w:t>
      </w:r>
      <w:r w:rsidR="00140C6A">
        <w:rPr>
          <w:b/>
          <w:spacing w:val="-2"/>
        </w:rPr>
        <w:t>1</w:t>
      </w:r>
    </w:p>
    <w:p w:rsidR="00E273E3" w:rsidRPr="008E20C2" w:rsidP="00F52406" w14:paraId="2C94F9F5" w14:textId="61823DE2">
      <w:pPr>
        <w:tabs>
          <w:tab w:val="left" w:pos="5814"/>
        </w:tabs>
      </w:pPr>
    </w:p>
    <w:p w:rsidR="00E273E3" w:rsidRPr="008E20C2" w:rsidP="002659F3" w14:paraId="6A45F2A9" w14:textId="5411A31F">
      <w:pPr>
        <w:rPr>
          <w:spacing w:val="-2"/>
        </w:rPr>
      </w:pPr>
      <w:r w:rsidRPr="008E20C2">
        <w:t>By the</w:t>
      </w:r>
      <w:r w:rsidR="00D50A21">
        <w:t xml:space="preserve"> Deputy</w:t>
      </w:r>
      <w:r w:rsidRPr="008E20C2">
        <w:t xml:space="preserve"> </w:t>
      </w:r>
      <w:r w:rsidRPr="00D50A21">
        <w:t>Chief</w:t>
      </w:r>
      <w:r w:rsidRPr="008E20C2">
        <w:t>, Enforcement Bureau</w:t>
      </w:r>
      <w:r w:rsidRPr="008E20C2">
        <w:rPr>
          <w:spacing w:val="-2"/>
        </w:rPr>
        <w:t>:</w:t>
      </w:r>
    </w:p>
    <w:p w:rsidR="00E273E3" w:rsidRPr="008E20C2" w:rsidP="00BC4F98" w14:paraId="187B2240" w14:textId="5C8CE2AA">
      <w:pPr>
        <w:tabs>
          <w:tab w:val="left" w:pos="3179"/>
        </w:tabs>
        <w:rPr>
          <w:spacing w:val="-2"/>
        </w:rPr>
      </w:pPr>
    </w:p>
    <w:p w:rsidR="00140C6A" w:rsidRPr="00755EFF" w:rsidP="007A7113" w14:paraId="0EBFA797" w14:textId="3586B3C9">
      <w:pPr>
        <w:pStyle w:val="ParaNum"/>
        <w:numPr>
          <w:ilvl w:val="0"/>
          <w:numId w:val="0"/>
        </w:numPr>
        <w:ind w:firstLine="720"/>
      </w:pPr>
      <w:r>
        <w:t xml:space="preserve">On December </w:t>
      </w:r>
      <w:r w:rsidR="000E4892">
        <w:t>29</w:t>
      </w:r>
      <w:r w:rsidRPr="0041676B">
        <w:t xml:space="preserve">, 2020, the </w:t>
      </w:r>
      <w:r w:rsidR="003A7EBD">
        <w:t>Enforcement Bureau</w:t>
      </w:r>
      <w:r w:rsidRPr="0041676B">
        <w:t xml:space="preserve"> released </w:t>
      </w:r>
      <w:r w:rsidR="00755EFF">
        <w:t>an</w:t>
      </w:r>
      <w:r w:rsidRPr="0041676B" w:rsidR="00755EFF">
        <w:t xml:space="preserve"> </w:t>
      </w:r>
      <w:r w:rsidRPr="007A7113" w:rsidR="000E4892">
        <w:rPr>
          <w:i/>
          <w:iCs/>
        </w:rPr>
        <w:t>Order</w:t>
      </w:r>
      <w:r w:rsidR="000E4892">
        <w:t>,</w:t>
      </w:r>
      <w:r w:rsidRPr="0041676B">
        <w:t xml:space="preserve"> </w:t>
      </w:r>
      <w:r w:rsidR="000E4892">
        <w:t>DA 20-1540</w:t>
      </w:r>
      <w:r w:rsidRPr="0041676B">
        <w:t xml:space="preserve">, in the above captioned proceeding.  </w:t>
      </w:r>
      <w:r w:rsidR="00755EFF">
        <w:t>T</w:t>
      </w:r>
      <w:r w:rsidRPr="0041676B" w:rsidR="00755EFF">
        <w:t xml:space="preserve">his Erratum </w:t>
      </w:r>
      <w:r w:rsidR="00755EFF">
        <w:t xml:space="preserve">replaces the </w:t>
      </w:r>
      <w:r w:rsidRPr="000F203C" w:rsidR="00755EFF">
        <w:rPr>
          <w:b/>
          <w:bCs/>
        </w:rPr>
        <w:t>Appendix</w:t>
      </w:r>
      <w:r w:rsidR="00755EFF">
        <w:t xml:space="preserve"> to the </w:t>
      </w:r>
      <w:r w:rsidRPr="000F203C" w:rsidR="00755EFF">
        <w:rPr>
          <w:i/>
          <w:iCs/>
        </w:rPr>
        <w:t>Order</w:t>
      </w:r>
      <w:r w:rsidRPr="0041676B" w:rsidR="00755EFF">
        <w:t xml:space="preserve"> </w:t>
      </w:r>
      <w:r w:rsidR="00755EFF">
        <w:t>t</w:t>
      </w:r>
      <w:r w:rsidRPr="0041676B">
        <w:t>o conform to the publishing conventions of the National Archives and Records Administration’s Office of the Federal Register</w:t>
      </w:r>
      <w:r w:rsidR="00755EFF">
        <w:t>.  See new Appendix attached.</w:t>
      </w:r>
    </w:p>
    <w:p w:rsidR="00140C6A" w:rsidRPr="00A32859" w:rsidP="00DE3C91" w14:paraId="1C3F2FAB" w14:textId="669EC9EE">
      <w:pPr>
        <w:pStyle w:val="ParaNum"/>
        <w:keepNext/>
        <w:widowControl/>
        <w:numPr>
          <w:ilvl w:val="0"/>
          <w:numId w:val="0"/>
        </w:numPr>
        <w:spacing w:after="0"/>
        <w:rPr>
          <w:szCs w:val="22"/>
        </w:rPr>
      </w:pPr>
    </w:p>
    <w:p w:rsidR="00140C6A" w:rsidRPr="00A32859" w:rsidP="00140C6A" w14:paraId="3F147F53" w14:textId="77777777">
      <w:pPr>
        <w:keepNext/>
        <w:widowControl/>
      </w:pPr>
      <w:r w:rsidRPr="00A32859">
        <w:tab/>
      </w:r>
      <w:r w:rsidRPr="00A32859">
        <w:tab/>
      </w:r>
      <w:r w:rsidRPr="00A32859">
        <w:tab/>
      </w:r>
      <w:r w:rsidRPr="00A32859">
        <w:tab/>
      </w:r>
      <w:r w:rsidRPr="00A32859">
        <w:tab/>
      </w:r>
      <w:r w:rsidRPr="00A32859">
        <w:tab/>
        <w:t>FEDERAL COMMUNICATIONS COMMISSION</w:t>
      </w:r>
    </w:p>
    <w:p w:rsidR="00140C6A" w:rsidRPr="00A32859" w:rsidP="00140C6A" w14:paraId="10656294" w14:textId="77777777">
      <w:pPr>
        <w:keepNext/>
        <w:widowControl/>
      </w:pPr>
    </w:p>
    <w:p w:rsidR="00140C6A" w:rsidRPr="00A32859" w:rsidP="00140C6A" w14:paraId="1C838FED" w14:textId="77777777">
      <w:pPr>
        <w:keepNext/>
        <w:widowControl/>
      </w:pPr>
    </w:p>
    <w:p w:rsidR="00140C6A" w:rsidRPr="00A32859" w:rsidP="00140C6A" w14:paraId="7E35277F" w14:textId="77777777">
      <w:pPr>
        <w:keepNext/>
        <w:widowControl/>
      </w:pPr>
    </w:p>
    <w:p w:rsidR="00140C6A" w:rsidRPr="00A32859" w:rsidP="00140C6A" w14:paraId="58394060" w14:textId="77777777">
      <w:pPr>
        <w:keepNext/>
        <w:widowControl/>
      </w:pPr>
    </w:p>
    <w:p w:rsidR="00140C6A" w:rsidRPr="00A32859" w:rsidP="00140C6A" w14:paraId="27678BDA" w14:textId="0D343489">
      <w:pPr>
        <w:keepNext/>
        <w:widowControl/>
      </w:pPr>
      <w:r w:rsidRPr="00A32859">
        <w:tab/>
      </w:r>
      <w:r w:rsidRPr="00A32859">
        <w:tab/>
      </w:r>
      <w:r w:rsidRPr="00A32859">
        <w:tab/>
      </w:r>
      <w:r w:rsidRPr="00A32859">
        <w:tab/>
      </w:r>
      <w:r w:rsidRPr="00A32859">
        <w:tab/>
      </w:r>
      <w:r w:rsidRPr="00A32859">
        <w:tab/>
      </w:r>
      <w:r w:rsidR="00D50A21">
        <w:t>Lisa S. Gelb</w:t>
      </w:r>
    </w:p>
    <w:p w:rsidR="00140C6A" w:rsidP="00140C6A" w14:paraId="4A6CF007" w14:textId="50424F2F">
      <w:pPr>
        <w:keepNext/>
        <w:widowControl/>
      </w:pPr>
      <w:r w:rsidRPr="00A32859">
        <w:tab/>
      </w:r>
      <w:r w:rsidRPr="00A32859">
        <w:tab/>
      </w:r>
      <w:r w:rsidRPr="00A32859">
        <w:tab/>
      </w:r>
      <w:r w:rsidRPr="00A32859">
        <w:tab/>
      </w:r>
      <w:r w:rsidRPr="00A32859">
        <w:tab/>
      </w:r>
      <w:r w:rsidRPr="00A32859">
        <w:tab/>
      </w:r>
      <w:r w:rsidR="00D50A21">
        <w:t xml:space="preserve">Deputy </w:t>
      </w:r>
      <w:r w:rsidRPr="00A32859">
        <w:t xml:space="preserve">Chief </w:t>
      </w:r>
    </w:p>
    <w:p w:rsidR="00140C6A" w:rsidRPr="00A32859" w:rsidP="00140C6A" w14:paraId="50412179" w14:textId="77777777">
      <w:pPr>
        <w:keepNext/>
        <w:widowControl/>
        <w:ind w:left="3600" w:firstLine="720"/>
      </w:pPr>
      <w:r>
        <w:t xml:space="preserve">Enforcement Bureau </w:t>
      </w:r>
    </w:p>
    <w:p w:rsidR="00755EFF" w:rsidP="00140C6A" w14:paraId="42D3E4E9" w14:textId="0D3A20C2">
      <w:pPr>
        <w:pStyle w:val="ParaNum"/>
        <w:numPr>
          <w:ilvl w:val="0"/>
          <w:numId w:val="0"/>
        </w:numPr>
      </w:pPr>
      <w:r>
        <w:br w:type="page"/>
      </w:r>
    </w:p>
    <w:p w:rsidR="00755EFF" w:rsidRPr="00FD12DE" w:rsidP="00755EFF" w14:paraId="488BF467" w14:textId="77777777">
      <w:pPr>
        <w:jc w:val="center"/>
        <w:rPr>
          <w:b/>
        </w:rPr>
      </w:pPr>
      <w:r w:rsidRPr="00FD12DE">
        <w:rPr>
          <w:b/>
        </w:rPr>
        <w:t>APPENDIX</w:t>
      </w:r>
    </w:p>
    <w:p w:rsidR="00755EFF" w:rsidRPr="00FD12DE" w:rsidP="00755EFF" w14:paraId="3C2BFB0B" w14:textId="77777777"/>
    <w:p w:rsidR="00755EFF" w:rsidRPr="00BC1318" w:rsidP="00755EFF" w14:paraId="7E4AB6D9" w14:textId="77777777">
      <w:pPr>
        <w:rPr>
          <w:bCs/>
        </w:rPr>
      </w:pPr>
      <w:r w:rsidRPr="00BC1318">
        <w:rPr>
          <w:bCs/>
        </w:rPr>
        <w:t>Part 1 of Chapter 1 of Title 47 of the Code of Federal Regulations is amended as follows:</w:t>
      </w:r>
    </w:p>
    <w:p w:rsidR="00755EFF" w:rsidRPr="00BC1318" w:rsidP="00755EFF" w14:paraId="1355AB94" w14:textId="77777777">
      <w:pPr>
        <w:rPr>
          <w:bCs/>
        </w:rPr>
      </w:pPr>
    </w:p>
    <w:p w:rsidR="00755EFF" w:rsidRPr="00FD12DE" w:rsidP="00755EFF" w14:paraId="58A41346" w14:textId="77777777">
      <w:pPr>
        <w:rPr>
          <w:b/>
        </w:rPr>
      </w:pPr>
      <w:r w:rsidRPr="00FD12DE">
        <w:rPr>
          <w:b/>
        </w:rPr>
        <w:t>P</w:t>
      </w:r>
      <w:r>
        <w:rPr>
          <w:b/>
        </w:rPr>
        <w:t>ART</w:t>
      </w:r>
      <w:r w:rsidRPr="00FD12DE">
        <w:rPr>
          <w:b/>
        </w:rPr>
        <w:t xml:space="preserve"> 1---PRACTICE AND PROCEDURE</w:t>
      </w:r>
    </w:p>
    <w:p w:rsidR="00755EFF" w:rsidRPr="00FD12DE" w:rsidP="00755EFF" w14:paraId="29843B59" w14:textId="77777777">
      <w:pPr>
        <w:rPr>
          <w:b/>
        </w:rPr>
      </w:pPr>
    </w:p>
    <w:p w:rsidR="00755EFF" w:rsidRPr="00FD12DE" w:rsidP="00755EFF" w14:paraId="50E593C8" w14:textId="77777777">
      <w:pPr>
        <w:ind w:firstLine="360"/>
      </w:pPr>
      <w:r w:rsidRPr="00FD12DE">
        <w:t>1.</w:t>
      </w:r>
      <w:r w:rsidRPr="00FD12DE">
        <w:tab/>
        <w:t xml:space="preserve">The authority citation for </w:t>
      </w:r>
      <w:r>
        <w:t>p</w:t>
      </w:r>
      <w:r w:rsidRPr="00FD12DE">
        <w:t xml:space="preserve">art 1 </w:t>
      </w:r>
      <w:r>
        <w:t>continues</w:t>
      </w:r>
      <w:r w:rsidRPr="00FD12DE">
        <w:t xml:space="preserve"> to read as follows:</w:t>
      </w:r>
    </w:p>
    <w:p w:rsidR="00755EFF" w:rsidRPr="00FD12DE" w:rsidP="00755EFF" w14:paraId="12634051" w14:textId="77777777"/>
    <w:p w:rsidR="00755EFF" w:rsidRPr="00FD12DE" w:rsidP="00755EFF" w14:paraId="04A7230B" w14:textId="77777777">
      <w:r w:rsidRPr="00FD12DE">
        <w:t xml:space="preserve">Authority: </w:t>
      </w:r>
      <w:r w:rsidRPr="00E07222">
        <w:t xml:space="preserve">47 U.S.C. </w:t>
      </w:r>
      <w:r w:rsidRPr="00E07222">
        <w:t>chs</w:t>
      </w:r>
      <w:r w:rsidRPr="00E07222">
        <w:t>. 2, 5, 9, 13; 28 U.S.C. 2461, unless otherwise noted</w:t>
      </w:r>
      <w:r>
        <w:t xml:space="preserve">. </w:t>
      </w:r>
    </w:p>
    <w:p w:rsidR="00755EFF" w:rsidRPr="00FD12DE" w:rsidP="00755EFF" w14:paraId="1AF818A4" w14:textId="77777777"/>
    <w:p w:rsidR="00755EFF" w:rsidP="007A7113" w14:paraId="3AD61588" w14:textId="77777777">
      <w:pPr>
        <w:ind w:firstLine="360"/>
      </w:pPr>
      <w:r w:rsidRPr="00FD12DE">
        <w:t>2.</w:t>
      </w:r>
      <w:r w:rsidRPr="00FD12DE">
        <w:tab/>
      </w:r>
      <w:r>
        <w:t xml:space="preserve">Amend § </w:t>
      </w:r>
      <w:r w:rsidRPr="00FD12DE">
        <w:t xml:space="preserve">1.80 by revising </w:t>
      </w:r>
      <w:r>
        <w:t xml:space="preserve">paragraphs (b)(1) through (8), the table in section III of the note to paragraph (b)(8), and paragraph (b)(10)(ii) </w:t>
      </w:r>
      <w:r w:rsidRPr="00FD12DE">
        <w:t>to read as follows:</w:t>
      </w:r>
    </w:p>
    <w:p w:rsidR="00755EFF" w:rsidP="00755EFF" w14:paraId="4204E6F6" w14:textId="77777777"/>
    <w:p w:rsidR="00755EFF" w:rsidRPr="00C03F28" w:rsidP="00755EFF" w14:paraId="511D3C10" w14:textId="77777777">
      <w:r w:rsidRPr="00BC1318">
        <w:rPr>
          <w:b/>
        </w:rPr>
        <w:t xml:space="preserve">§1.80 </w:t>
      </w:r>
      <w:r>
        <w:rPr>
          <w:b/>
        </w:rPr>
        <w:t xml:space="preserve"> </w:t>
      </w:r>
      <w:r w:rsidRPr="00BC1318">
        <w:rPr>
          <w:b/>
        </w:rPr>
        <w:t xml:space="preserve"> Forfeiture proceedings</w:t>
      </w:r>
      <w:r w:rsidRPr="00C03F28">
        <w:t>.</w:t>
      </w:r>
    </w:p>
    <w:p w:rsidR="00755EFF" w:rsidRPr="00FD12DE" w:rsidP="00755EFF" w14:paraId="699623B4" w14:textId="77777777"/>
    <w:p w:rsidR="00755EFF" w:rsidP="00755EFF" w14:paraId="3FE48DD4" w14:textId="77777777">
      <w:pPr>
        <w:shd w:val="clear" w:color="auto" w:fill="FFFFFF"/>
      </w:pPr>
      <w:r w:rsidRPr="00BC1318">
        <w:t>* * * * *</w:t>
      </w:r>
    </w:p>
    <w:p w:rsidR="00755EFF" w:rsidRPr="00BC1318" w:rsidP="00755EFF" w14:paraId="3E21C4E6" w14:textId="77777777">
      <w:pPr>
        <w:shd w:val="clear" w:color="auto" w:fill="FFFFFF"/>
      </w:pPr>
    </w:p>
    <w:p w:rsidR="00755EFF" w:rsidP="00755EFF" w14:paraId="308B7EF3" w14:textId="77777777">
      <w:pPr>
        <w:pStyle w:val="Default"/>
        <w:widowControl w:val="0"/>
        <w:rPr>
          <w:rFonts w:ascii="Times New Roman" w:hAnsi="Times New Roman" w:cs="Times New Roman"/>
          <w:color w:val="auto"/>
          <w:sz w:val="22"/>
          <w:szCs w:val="22"/>
        </w:rPr>
      </w:pPr>
      <w:r w:rsidRPr="00465A2F">
        <w:rPr>
          <w:rFonts w:ascii="Times New Roman" w:hAnsi="Times New Roman" w:cs="Times New Roman"/>
          <w:color w:val="auto"/>
          <w:sz w:val="22"/>
          <w:szCs w:val="22"/>
        </w:rPr>
        <w:t xml:space="preserve">(b) </w:t>
      </w:r>
      <w:r>
        <w:rPr>
          <w:rFonts w:ascii="Times New Roman" w:hAnsi="Times New Roman" w:cs="Times New Roman"/>
          <w:color w:val="auto"/>
          <w:sz w:val="22"/>
          <w:szCs w:val="22"/>
        </w:rPr>
        <w:t>* * *</w:t>
      </w:r>
    </w:p>
    <w:p w:rsidR="00755EFF" w:rsidP="00755EFF" w14:paraId="7292107C" w14:textId="77777777">
      <w:pPr>
        <w:pStyle w:val="Default"/>
        <w:widowControl w:val="0"/>
        <w:rPr>
          <w:rFonts w:ascii="Times New Roman" w:hAnsi="Times New Roman" w:cs="Times New Roman"/>
          <w:color w:val="auto"/>
          <w:sz w:val="22"/>
          <w:szCs w:val="22"/>
        </w:rPr>
      </w:pPr>
    </w:p>
    <w:p w:rsidR="00755EFF" w:rsidRPr="00B65EF7" w:rsidP="00755EFF" w14:paraId="688F4793" w14:textId="77777777">
      <w:pPr>
        <w:pStyle w:val="Default"/>
        <w:widowControl w:val="0"/>
        <w:rPr>
          <w:rFonts w:ascii="Times New Roman" w:hAnsi="Times New Roman" w:cs="Times New Roman"/>
          <w:color w:val="auto"/>
          <w:sz w:val="22"/>
          <w:szCs w:val="22"/>
        </w:rPr>
      </w:pPr>
      <w:r w:rsidRPr="00B65EF7">
        <w:rPr>
          <w:rFonts w:ascii="Times New Roman" w:hAnsi="Times New Roman" w:cs="Times New Roman"/>
          <w:color w:val="auto"/>
          <w:sz w:val="22"/>
          <w:szCs w:val="22"/>
        </w:rPr>
        <w:t>(1)</w:t>
      </w:r>
      <w:r w:rsidRPr="00B65EF7">
        <w:rPr>
          <w:rFonts w:ascii="Times New Roman" w:hAnsi="Times New Roman" w:cs="Times New Roman"/>
          <w:b/>
          <w:bCs/>
          <w:color w:val="auto"/>
          <w:sz w:val="22"/>
          <w:szCs w:val="22"/>
        </w:rPr>
        <w:t xml:space="preserve"> </w:t>
      </w:r>
      <w:r w:rsidRPr="007023D3">
        <w:rPr>
          <w:rFonts w:ascii="Times New Roman" w:hAnsi="Times New Roman" w:cs="Times New Roman"/>
          <w:bCs/>
          <w:i/>
          <w:color w:val="auto"/>
          <w:sz w:val="22"/>
          <w:szCs w:val="22"/>
        </w:rPr>
        <w:t>Forfeiture penalty for a broadcast station licensee, permittee, cable television operator, or applicant</w:t>
      </w:r>
      <w:r w:rsidRPr="007023D3">
        <w:rPr>
          <w:rFonts w:ascii="Times New Roman" w:hAnsi="Times New Roman" w:cs="Times New Roman"/>
          <w:bCs/>
          <w:color w:val="auto"/>
          <w:sz w:val="22"/>
          <w:szCs w:val="22"/>
        </w:rPr>
        <w:t>.</w:t>
      </w:r>
      <w:r>
        <w:rPr>
          <w:rFonts w:ascii="Times New Roman" w:hAnsi="Times New Roman" w:cs="Times New Roman"/>
          <w:b/>
          <w:bCs/>
          <w:color w:val="auto"/>
          <w:sz w:val="22"/>
          <w:szCs w:val="22"/>
        </w:rPr>
        <w:t xml:space="preserve">  </w:t>
      </w:r>
      <w:r w:rsidRPr="00B65EF7">
        <w:rPr>
          <w:rFonts w:ascii="Times New Roman" w:hAnsi="Times New Roman" w:cs="Times New Roman"/>
          <w:color w:val="auto"/>
          <w:sz w:val="22"/>
          <w:szCs w:val="22"/>
        </w:rPr>
        <w:t>If the violator is a broadcast station licensee or permittee, a cable television operator, or an applicant for any broadcast or cable television operator license, permit, certificate, or other instrument of authorization issued by the Commission, except as otherwise noted in this paragraph</w:t>
      </w:r>
      <w:r>
        <w:rPr>
          <w:rFonts w:ascii="Times New Roman" w:hAnsi="Times New Roman" w:cs="Times New Roman"/>
          <w:color w:val="auto"/>
          <w:sz w:val="22"/>
          <w:szCs w:val="22"/>
        </w:rPr>
        <w:t xml:space="preserve"> (b)(1)</w:t>
      </w:r>
      <w:r w:rsidRPr="00B65EF7">
        <w:rPr>
          <w:rFonts w:ascii="Times New Roman" w:hAnsi="Times New Roman" w:cs="Times New Roman"/>
          <w:color w:val="auto"/>
          <w:sz w:val="22"/>
          <w:szCs w:val="22"/>
        </w:rPr>
        <w:t xml:space="preserve">, the forfeiture penalty under this section shall not exceed </w:t>
      </w:r>
      <w:r w:rsidRPr="00B208D1">
        <w:rPr>
          <w:rFonts w:ascii="Times New Roman" w:hAnsi="Times New Roman" w:cs="Times New Roman"/>
          <w:color w:val="auto"/>
          <w:sz w:val="22"/>
          <w:szCs w:val="22"/>
        </w:rPr>
        <w:t>$51</w:t>
      </w:r>
      <w:r>
        <w:rPr>
          <w:rFonts w:ascii="Times New Roman" w:hAnsi="Times New Roman" w:cs="Times New Roman"/>
          <w:color w:val="auto"/>
          <w:sz w:val="22"/>
          <w:szCs w:val="22"/>
        </w:rPr>
        <w:t>,827</w:t>
      </w:r>
      <w:r w:rsidRPr="000352C0">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 xml:space="preserve">for each violation or each day of a continuing violation, except that the amount assessed for any continuing violation shall not exceed a total of </w:t>
      </w:r>
      <w:r w:rsidRPr="00B208D1">
        <w:rPr>
          <w:rFonts w:ascii="Times New Roman" w:hAnsi="Times New Roman" w:cs="Times New Roman"/>
          <w:color w:val="auto"/>
          <w:sz w:val="22"/>
          <w:szCs w:val="22"/>
        </w:rPr>
        <w:t>$</w:t>
      </w:r>
      <w:r>
        <w:rPr>
          <w:rFonts w:ascii="Times New Roman" w:hAnsi="Times New Roman" w:cs="Times New Roman"/>
          <w:color w:val="auto"/>
          <w:sz w:val="22"/>
          <w:szCs w:val="22"/>
        </w:rPr>
        <w:t>518,283</w:t>
      </w:r>
      <w:r w:rsidRPr="000352C0">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 xml:space="preserve">for any single act or failure to act described in paragraph (a) of this section.  There is no limit on forfeiture assessments for EEO violations by cable operators that occur after notification by the Commission of a potential violation. See section 634(f)(2) of the Communications Act.  Notwithstanding the foregoing in this section, if the violator is a broadcast station licensee or permittee or an applicant for any broadcast license, permit, certificate, or other instrument of authorization issued by the Commission, and if the violator is determined by the Commission to have broadcast obscene, indecent, or profane material, the forfeiture penalty under this section shall not exceed </w:t>
      </w:r>
      <w:r w:rsidRPr="00B208D1">
        <w:rPr>
          <w:rFonts w:ascii="Times New Roman" w:hAnsi="Times New Roman" w:cs="Times New Roman"/>
          <w:color w:val="auto"/>
          <w:sz w:val="22"/>
          <w:szCs w:val="22"/>
        </w:rPr>
        <w:t>$</w:t>
      </w:r>
      <w:r>
        <w:rPr>
          <w:rFonts w:ascii="Times New Roman" w:hAnsi="Times New Roman" w:cs="Times New Roman"/>
          <w:color w:val="auto"/>
          <w:sz w:val="22"/>
          <w:szCs w:val="22"/>
        </w:rPr>
        <w:t>419,353</w:t>
      </w:r>
      <w:r w:rsidRPr="000352C0">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 xml:space="preserve">for each violation or each day of a continuing violation, except that the amount assessed for any continuing violation shall not exceed a total of </w:t>
      </w:r>
      <w:r w:rsidRPr="00B208D1">
        <w:rPr>
          <w:rFonts w:ascii="Times New Roman" w:hAnsi="Times New Roman" w:cs="Times New Roman"/>
          <w:color w:val="auto"/>
          <w:sz w:val="22"/>
          <w:szCs w:val="22"/>
        </w:rPr>
        <w:t>$3,</w:t>
      </w:r>
      <w:r>
        <w:rPr>
          <w:rFonts w:ascii="Times New Roman" w:hAnsi="Times New Roman" w:cs="Times New Roman"/>
          <w:color w:val="auto"/>
          <w:sz w:val="22"/>
          <w:szCs w:val="22"/>
        </w:rPr>
        <w:t>870,946</w:t>
      </w:r>
      <w:r w:rsidRPr="000352C0">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for any single act or failure to act described in paragraph (a) of this section.</w:t>
      </w:r>
    </w:p>
    <w:p w:rsidR="00755EFF" w:rsidP="00755EFF" w14:paraId="5BB9CD35" w14:textId="77777777">
      <w:pPr>
        <w:pStyle w:val="Default"/>
        <w:widowControl w:val="0"/>
        <w:rPr>
          <w:rFonts w:ascii="Times New Roman" w:hAnsi="Times New Roman" w:cs="Times New Roman"/>
          <w:color w:val="auto"/>
          <w:sz w:val="22"/>
          <w:szCs w:val="22"/>
        </w:rPr>
      </w:pPr>
    </w:p>
    <w:p w:rsidR="00755EFF" w:rsidRPr="00B65EF7" w:rsidP="00755EFF" w14:paraId="02025F4C" w14:textId="77777777">
      <w:pPr>
        <w:pStyle w:val="Default"/>
        <w:widowControl w:val="0"/>
        <w:rPr>
          <w:rFonts w:ascii="Times New Roman" w:hAnsi="Times New Roman" w:cs="Times New Roman"/>
          <w:color w:val="auto"/>
          <w:sz w:val="22"/>
          <w:szCs w:val="22"/>
        </w:rPr>
      </w:pPr>
      <w:r w:rsidRPr="00B65EF7">
        <w:rPr>
          <w:rFonts w:ascii="Times New Roman" w:hAnsi="Times New Roman" w:cs="Times New Roman"/>
          <w:color w:val="auto"/>
          <w:sz w:val="22"/>
          <w:szCs w:val="22"/>
        </w:rPr>
        <w:t>(2)</w:t>
      </w:r>
      <w:r w:rsidRPr="00B65EF7">
        <w:rPr>
          <w:rFonts w:ascii="Times New Roman" w:hAnsi="Times New Roman" w:cs="Times New Roman"/>
          <w:b/>
          <w:bCs/>
          <w:color w:val="auto"/>
          <w:sz w:val="22"/>
          <w:szCs w:val="22"/>
        </w:rPr>
        <w:t xml:space="preserve"> </w:t>
      </w:r>
      <w:r w:rsidRPr="007023D3">
        <w:rPr>
          <w:rFonts w:ascii="Times New Roman" w:hAnsi="Times New Roman" w:cs="Times New Roman"/>
          <w:bCs/>
          <w:i/>
          <w:color w:val="auto"/>
          <w:sz w:val="22"/>
          <w:szCs w:val="22"/>
        </w:rPr>
        <w:t>Forfeiture penalty for a common carrier or applicant</w:t>
      </w:r>
      <w:r w:rsidRPr="007023D3">
        <w:rPr>
          <w:rFonts w:ascii="Times New Roman" w:hAnsi="Times New Roman" w:cs="Times New Roman"/>
          <w:bCs/>
          <w:color w:val="auto"/>
          <w:sz w:val="22"/>
          <w:szCs w:val="22"/>
        </w:rPr>
        <w:t>.</w:t>
      </w:r>
      <w:r w:rsidRPr="0001687F">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sidRPr="00B65EF7">
        <w:rPr>
          <w:rFonts w:ascii="Times New Roman" w:hAnsi="Times New Roman" w:cs="Times New Roman"/>
          <w:color w:val="auto"/>
          <w:sz w:val="22"/>
          <w:szCs w:val="22"/>
        </w:rPr>
        <w:t xml:space="preserve">If the violator is a common carrier subject to the provisions of the Communications Act or an applicant for any common carrier license, permit, certificate, or other instrument of authorization issued by the Commission, the amount of any forfeiture penalty determined under this section shall not exceed </w:t>
      </w:r>
      <w:r w:rsidRPr="00B208D1">
        <w:rPr>
          <w:rFonts w:ascii="Times New Roman" w:hAnsi="Times New Roman" w:cs="Times New Roman"/>
          <w:color w:val="auto"/>
          <w:sz w:val="22"/>
          <w:szCs w:val="22"/>
        </w:rPr>
        <w:t>$</w:t>
      </w:r>
      <w:r>
        <w:rPr>
          <w:rFonts w:ascii="Times New Roman" w:hAnsi="Times New Roman" w:cs="Times New Roman"/>
          <w:color w:val="auto"/>
          <w:sz w:val="22"/>
          <w:szCs w:val="22"/>
        </w:rPr>
        <w:t>207,314</w:t>
      </w:r>
      <w:r w:rsidRPr="000352C0">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 xml:space="preserve">for each violation or each day of a continuing violation, except that the amount assessed for any continuing violation shall not exceed a total </w:t>
      </w:r>
      <w:r w:rsidRPr="00B208D1">
        <w:rPr>
          <w:rFonts w:ascii="Times New Roman" w:hAnsi="Times New Roman" w:cs="Times New Roman"/>
          <w:color w:val="auto"/>
          <w:sz w:val="22"/>
          <w:szCs w:val="22"/>
        </w:rPr>
        <w:t>of $</w:t>
      </w:r>
      <w:r>
        <w:rPr>
          <w:rFonts w:ascii="Times New Roman" w:hAnsi="Times New Roman" w:cs="Times New Roman"/>
          <w:color w:val="auto"/>
          <w:sz w:val="22"/>
          <w:szCs w:val="22"/>
        </w:rPr>
        <w:t>2,073,133</w:t>
      </w:r>
      <w:r w:rsidRPr="000352C0">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for any single act or failure to act described in paragraph (a) of this section.</w:t>
      </w:r>
    </w:p>
    <w:p w:rsidR="00755EFF" w:rsidP="00755EFF" w14:paraId="300E8F72" w14:textId="77777777">
      <w:pPr>
        <w:pStyle w:val="Default"/>
        <w:widowControl w:val="0"/>
        <w:rPr>
          <w:rFonts w:ascii="Times New Roman" w:hAnsi="Times New Roman" w:cs="Times New Roman"/>
          <w:color w:val="auto"/>
          <w:sz w:val="22"/>
          <w:szCs w:val="22"/>
        </w:rPr>
      </w:pPr>
    </w:p>
    <w:p w:rsidR="00755EFF" w:rsidRPr="00B65EF7" w:rsidP="00755EFF" w14:paraId="39A1E208" w14:textId="77777777">
      <w:pPr>
        <w:pStyle w:val="Default"/>
        <w:widowControl w:val="0"/>
        <w:rPr>
          <w:rFonts w:ascii="Times New Roman" w:hAnsi="Times New Roman" w:cs="Times New Roman"/>
          <w:color w:val="auto"/>
          <w:sz w:val="22"/>
          <w:szCs w:val="22"/>
        </w:rPr>
      </w:pPr>
      <w:r w:rsidRPr="00B65EF7">
        <w:rPr>
          <w:rFonts w:ascii="Times New Roman" w:hAnsi="Times New Roman" w:cs="Times New Roman"/>
          <w:color w:val="auto"/>
          <w:sz w:val="22"/>
          <w:szCs w:val="22"/>
        </w:rPr>
        <w:t>(3)</w:t>
      </w:r>
      <w:r w:rsidRPr="00B65EF7">
        <w:rPr>
          <w:rFonts w:ascii="Times New Roman" w:hAnsi="Times New Roman" w:cs="Times New Roman"/>
          <w:b/>
          <w:bCs/>
          <w:color w:val="auto"/>
          <w:sz w:val="22"/>
          <w:szCs w:val="22"/>
        </w:rPr>
        <w:t xml:space="preserve"> </w:t>
      </w:r>
      <w:r w:rsidRPr="007023D3">
        <w:rPr>
          <w:rFonts w:ascii="Times New Roman" w:hAnsi="Times New Roman" w:cs="Times New Roman"/>
          <w:bCs/>
          <w:i/>
          <w:color w:val="auto"/>
          <w:sz w:val="22"/>
          <w:szCs w:val="22"/>
        </w:rPr>
        <w:t>Forfeiture penalty for a manufacturer or service provider</w:t>
      </w:r>
      <w:r w:rsidRPr="007023D3">
        <w:rPr>
          <w:rFonts w:ascii="Times New Roman" w:hAnsi="Times New Roman" w:cs="Times New Roman"/>
          <w:bCs/>
          <w:color w:val="auto"/>
          <w:sz w:val="22"/>
          <w:szCs w:val="22"/>
        </w:rPr>
        <w:t>.</w:t>
      </w:r>
      <w:r>
        <w:rPr>
          <w:rFonts w:ascii="Times New Roman" w:hAnsi="Times New Roman" w:cs="Times New Roman"/>
          <w:bCs/>
          <w:color w:val="auto"/>
          <w:sz w:val="22"/>
          <w:szCs w:val="22"/>
        </w:rPr>
        <w:t xml:space="preserve"> </w:t>
      </w:r>
      <w:r w:rsidRPr="0001687F">
        <w:rPr>
          <w:rFonts w:ascii="Times New Roman" w:hAnsi="Times New Roman" w:cs="Times New Roman"/>
          <w:b/>
          <w:bCs/>
          <w:color w:val="auto"/>
          <w:sz w:val="22"/>
          <w:szCs w:val="22"/>
        </w:rPr>
        <w:t xml:space="preserve"> </w:t>
      </w:r>
      <w:r w:rsidRPr="00B65EF7">
        <w:rPr>
          <w:rFonts w:ascii="Times New Roman" w:hAnsi="Times New Roman" w:cs="Times New Roman"/>
          <w:color w:val="auto"/>
          <w:sz w:val="22"/>
          <w:szCs w:val="22"/>
        </w:rPr>
        <w:t xml:space="preserve">If the violator is a manufacturer or service provider subject to the requirements of section 255, 716, or 718 of the Communications Act, and is determined by the Commission to have violated any such requirement, the manufacturer or service provider shall be liable to the United States for a forfeiture penalty of not more than </w:t>
      </w:r>
      <w:r w:rsidRPr="00B208D1">
        <w:rPr>
          <w:rFonts w:ascii="Times New Roman" w:hAnsi="Times New Roman" w:cs="Times New Roman"/>
          <w:color w:val="auto"/>
          <w:sz w:val="22"/>
          <w:szCs w:val="22"/>
        </w:rPr>
        <w:t>$119</w:t>
      </w:r>
      <w:r>
        <w:rPr>
          <w:rFonts w:ascii="Times New Roman" w:hAnsi="Times New Roman" w:cs="Times New Roman"/>
          <w:color w:val="auto"/>
          <w:sz w:val="22"/>
          <w:szCs w:val="22"/>
        </w:rPr>
        <w:t>,055</w:t>
      </w:r>
      <w:r w:rsidRPr="000352C0">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 xml:space="preserve">for each violation or each day of a continuing violation, except that the amount assessed for any continuing violation shall not exceed a total </w:t>
      </w:r>
      <w:r w:rsidRPr="00B208D1">
        <w:rPr>
          <w:rFonts w:ascii="Times New Roman" w:hAnsi="Times New Roman" w:cs="Times New Roman"/>
          <w:color w:val="auto"/>
          <w:sz w:val="22"/>
          <w:szCs w:val="22"/>
        </w:rPr>
        <w:t>of $1,</w:t>
      </w:r>
      <w:r>
        <w:rPr>
          <w:rFonts w:ascii="Times New Roman" w:hAnsi="Times New Roman" w:cs="Times New Roman"/>
          <w:color w:val="auto"/>
          <w:sz w:val="22"/>
          <w:szCs w:val="22"/>
        </w:rPr>
        <w:t>190,546</w:t>
      </w:r>
      <w:r w:rsidRPr="000352C0">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for any single act or failure to act.</w:t>
      </w:r>
    </w:p>
    <w:p w:rsidR="00755EFF" w:rsidP="00755EFF" w14:paraId="126920AE" w14:textId="77777777">
      <w:pPr>
        <w:pStyle w:val="Default"/>
        <w:widowControl w:val="0"/>
        <w:rPr>
          <w:rFonts w:ascii="Times New Roman" w:hAnsi="Times New Roman" w:cs="Times New Roman"/>
          <w:color w:val="auto"/>
          <w:sz w:val="22"/>
          <w:szCs w:val="22"/>
        </w:rPr>
      </w:pPr>
    </w:p>
    <w:p w:rsidR="00755EFF" w:rsidRPr="00B65EF7" w:rsidP="00755EFF" w14:paraId="66176988" w14:textId="77777777">
      <w:pPr>
        <w:pStyle w:val="Default"/>
        <w:widowControl w:val="0"/>
        <w:rPr>
          <w:rFonts w:ascii="Times New Roman" w:hAnsi="Times New Roman" w:cs="Times New Roman"/>
          <w:color w:val="auto"/>
          <w:sz w:val="22"/>
          <w:szCs w:val="22"/>
        </w:rPr>
      </w:pPr>
      <w:r w:rsidRPr="00B65EF7">
        <w:rPr>
          <w:rFonts w:ascii="Times New Roman" w:hAnsi="Times New Roman" w:cs="Times New Roman"/>
          <w:color w:val="auto"/>
          <w:sz w:val="22"/>
          <w:szCs w:val="22"/>
        </w:rPr>
        <w:t>(4)</w:t>
      </w:r>
      <w:r w:rsidRPr="00B65EF7">
        <w:rPr>
          <w:rFonts w:ascii="Times New Roman" w:hAnsi="Times New Roman" w:cs="Times New Roman"/>
          <w:b/>
          <w:bCs/>
          <w:color w:val="auto"/>
          <w:sz w:val="22"/>
          <w:szCs w:val="22"/>
        </w:rPr>
        <w:t xml:space="preserve"> </w:t>
      </w:r>
      <w:r w:rsidRPr="007023D3">
        <w:rPr>
          <w:rFonts w:ascii="Times New Roman" w:hAnsi="Times New Roman" w:cs="Times New Roman"/>
          <w:bCs/>
          <w:i/>
          <w:color w:val="auto"/>
          <w:sz w:val="22"/>
          <w:szCs w:val="22"/>
        </w:rPr>
        <w:t>Forfeiture penalty for a 227(e) violation</w:t>
      </w:r>
      <w:r w:rsidRPr="007023D3">
        <w:rPr>
          <w:rFonts w:ascii="Times New Roman" w:hAnsi="Times New Roman" w:cs="Times New Roman"/>
          <w:bCs/>
          <w:color w:val="auto"/>
          <w:sz w:val="22"/>
          <w:szCs w:val="22"/>
        </w:rPr>
        <w:t>.</w:t>
      </w:r>
      <w:r>
        <w:rPr>
          <w:rFonts w:ascii="Times New Roman" w:hAnsi="Times New Roman" w:cs="Times New Roman"/>
          <w:bCs/>
          <w:color w:val="auto"/>
          <w:sz w:val="22"/>
          <w:szCs w:val="22"/>
        </w:rPr>
        <w:t xml:space="preserve"> </w:t>
      </w:r>
      <w:r w:rsidRPr="0001687F">
        <w:rPr>
          <w:rFonts w:ascii="Times New Roman" w:hAnsi="Times New Roman" w:cs="Times New Roman"/>
          <w:b/>
          <w:bCs/>
          <w:color w:val="auto"/>
          <w:sz w:val="22"/>
          <w:szCs w:val="22"/>
        </w:rPr>
        <w:t xml:space="preserve"> </w:t>
      </w:r>
      <w:r w:rsidRPr="00B65EF7">
        <w:rPr>
          <w:rFonts w:ascii="Times New Roman" w:hAnsi="Times New Roman" w:cs="Times New Roman"/>
          <w:color w:val="auto"/>
          <w:sz w:val="22"/>
          <w:szCs w:val="22"/>
        </w:rPr>
        <w:t xml:space="preserve">Any person determined to have violated section 227(e) of the Communications Act or the rules issued by the Commission under section227(e) of the Communications Act shall be liable to the United States fora forfeiture penalty of not more </w:t>
      </w:r>
      <w:r w:rsidRPr="00B208D1">
        <w:rPr>
          <w:rFonts w:ascii="Times New Roman" w:hAnsi="Times New Roman" w:cs="Times New Roman"/>
          <w:color w:val="auto"/>
          <w:sz w:val="22"/>
          <w:szCs w:val="22"/>
        </w:rPr>
        <w:t>than $11</w:t>
      </w:r>
      <w:r>
        <w:rPr>
          <w:rFonts w:ascii="Times New Roman" w:hAnsi="Times New Roman" w:cs="Times New Roman"/>
          <w:color w:val="auto"/>
          <w:sz w:val="22"/>
          <w:szCs w:val="22"/>
        </w:rPr>
        <w:t>,905</w:t>
      </w:r>
      <w:r w:rsidRPr="00B65EF7">
        <w:rPr>
          <w:rFonts w:ascii="Times New Roman" w:hAnsi="Times New Roman" w:cs="Times New Roman"/>
          <w:color w:val="auto"/>
          <w:sz w:val="22"/>
          <w:szCs w:val="22"/>
        </w:rPr>
        <w:t xml:space="preserve"> for each violation or three times that amount for each day of a continuing violation, except that the </w:t>
      </w:r>
      <w:r w:rsidRPr="00B65EF7">
        <w:rPr>
          <w:rFonts w:ascii="Times New Roman" w:hAnsi="Times New Roman" w:cs="Times New Roman"/>
          <w:color w:val="auto"/>
          <w:sz w:val="22"/>
          <w:szCs w:val="22"/>
        </w:rPr>
        <w:t>amount assessed for any continuing violation shall not exceed a total of</w:t>
      </w:r>
      <w:r>
        <w:rPr>
          <w:rFonts w:ascii="Times New Roman" w:hAnsi="Times New Roman" w:cs="Times New Roman"/>
          <w:color w:val="auto"/>
          <w:sz w:val="22"/>
          <w:szCs w:val="22"/>
        </w:rPr>
        <w:t xml:space="preserve"> </w:t>
      </w:r>
      <w:r w:rsidRPr="00B208D1">
        <w:rPr>
          <w:rFonts w:ascii="Times New Roman" w:hAnsi="Times New Roman" w:cs="Times New Roman"/>
          <w:color w:val="auto"/>
          <w:sz w:val="22"/>
          <w:szCs w:val="22"/>
        </w:rPr>
        <w:t>$1,</w:t>
      </w:r>
      <w:r>
        <w:rPr>
          <w:rFonts w:ascii="Times New Roman" w:hAnsi="Times New Roman" w:cs="Times New Roman"/>
          <w:color w:val="auto"/>
          <w:sz w:val="22"/>
          <w:szCs w:val="22"/>
        </w:rPr>
        <w:t>190,546</w:t>
      </w:r>
      <w:r w:rsidRPr="00B65EF7">
        <w:rPr>
          <w:rFonts w:ascii="Times New Roman" w:hAnsi="Times New Roman" w:cs="Times New Roman"/>
          <w:color w:val="auto"/>
          <w:sz w:val="22"/>
          <w:szCs w:val="22"/>
        </w:rPr>
        <w:t xml:space="preserve"> for any single act or failure to act. Such penalty shall be in addition to any other forfeiture penalty provided for by the Communications Act.</w:t>
      </w:r>
    </w:p>
    <w:p w:rsidR="00755EFF" w:rsidP="00755EFF" w14:paraId="2B387AB2" w14:textId="77777777">
      <w:pPr>
        <w:pStyle w:val="Default"/>
        <w:widowControl w:val="0"/>
        <w:rPr>
          <w:rFonts w:ascii="Times New Roman" w:hAnsi="Times New Roman" w:cs="Times New Roman"/>
          <w:color w:val="auto"/>
          <w:sz w:val="22"/>
          <w:szCs w:val="22"/>
        </w:rPr>
      </w:pPr>
    </w:p>
    <w:p w:rsidR="00755EFF" w:rsidRPr="00B65EF7" w:rsidP="00755EFF" w14:paraId="30C7D4E8" w14:textId="77777777">
      <w:pPr>
        <w:pStyle w:val="Default"/>
        <w:widowControl w:val="0"/>
        <w:rPr>
          <w:rFonts w:ascii="Times New Roman" w:hAnsi="Times New Roman" w:cs="Times New Roman"/>
          <w:color w:val="auto"/>
          <w:sz w:val="22"/>
          <w:szCs w:val="22"/>
        </w:rPr>
      </w:pPr>
      <w:r w:rsidRPr="00B65EF7">
        <w:rPr>
          <w:rFonts w:ascii="Times New Roman" w:hAnsi="Times New Roman" w:cs="Times New Roman"/>
          <w:color w:val="auto"/>
          <w:sz w:val="22"/>
          <w:szCs w:val="22"/>
        </w:rPr>
        <w:t>(5)</w:t>
      </w:r>
      <w:r w:rsidRPr="00B65EF7">
        <w:rPr>
          <w:rFonts w:ascii="Times New Roman" w:hAnsi="Times New Roman" w:cs="Times New Roman"/>
          <w:b/>
          <w:bCs/>
          <w:color w:val="auto"/>
          <w:sz w:val="22"/>
          <w:szCs w:val="22"/>
        </w:rPr>
        <w:t xml:space="preserve"> </w:t>
      </w:r>
      <w:r w:rsidRPr="007023D3">
        <w:rPr>
          <w:rFonts w:ascii="Times New Roman" w:hAnsi="Times New Roman" w:cs="Times New Roman"/>
          <w:bCs/>
          <w:i/>
          <w:color w:val="auto"/>
          <w:sz w:val="22"/>
          <w:szCs w:val="22"/>
        </w:rPr>
        <w:t>Forfeiture penalty for a 227(b)(4)(B) violation</w:t>
      </w:r>
      <w:r w:rsidRPr="007023D3">
        <w:rPr>
          <w:rFonts w:ascii="Times New Roman" w:hAnsi="Times New Roman" w:cs="Times New Roman"/>
          <w:bCs/>
          <w:color w:val="auto"/>
          <w:sz w:val="22"/>
          <w:szCs w:val="22"/>
        </w:rPr>
        <w:t>.</w:t>
      </w:r>
      <w:r>
        <w:rPr>
          <w:rFonts w:ascii="Times New Roman" w:hAnsi="Times New Roman" w:cs="Times New Roman"/>
          <w:bCs/>
          <w:color w:val="auto"/>
          <w:sz w:val="22"/>
          <w:szCs w:val="22"/>
        </w:rPr>
        <w:t xml:space="preserve"> </w:t>
      </w:r>
      <w:r w:rsidRPr="00FA449B">
        <w:rPr>
          <w:rFonts w:ascii="Times New Roman" w:hAnsi="Times New Roman" w:cs="Times New Roman"/>
          <w:b/>
          <w:bCs/>
          <w:color w:val="auto"/>
          <w:sz w:val="22"/>
          <w:szCs w:val="22"/>
        </w:rPr>
        <w:t xml:space="preserve"> </w:t>
      </w:r>
      <w:r w:rsidRPr="00B65EF7">
        <w:rPr>
          <w:rFonts w:ascii="Times New Roman" w:hAnsi="Times New Roman" w:cs="Times New Roman"/>
          <w:color w:val="auto"/>
          <w:sz w:val="22"/>
          <w:szCs w:val="22"/>
        </w:rPr>
        <w:t>Any person determined to have violated section 227(b)(4)(B) of the Communications Act or the rules</w:t>
      </w:r>
      <w:r>
        <w:rPr>
          <w:rFonts w:ascii="Times New Roman" w:hAnsi="Times New Roman" w:cs="Times New Roman"/>
          <w:color w:val="auto"/>
          <w:sz w:val="22"/>
          <w:szCs w:val="22"/>
        </w:rPr>
        <w:t xml:space="preserve"> in 47 CFR part 64</w:t>
      </w:r>
      <w:r w:rsidRPr="00B65EF7">
        <w:rPr>
          <w:rFonts w:ascii="Times New Roman" w:hAnsi="Times New Roman" w:cs="Times New Roman"/>
          <w:color w:val="auto"/>
          <w:sz w:val="22"/>
          <w:szCs w:val="22"/>
        </w:rPr>
        <w:t xml:space="preserve"> issued by the Commission under section</w:t>
      </w:r>
      <w:r>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 xml:space="preserve">227(b)(4)(B) of the Communications Act shall be liable to the United States for a forfeiture penalty determined in accordance with paragraphs(A)-(F) of section 503(b)(2) plus an additional penalty not to </w:t>
      </w:r>
      <w:r w:rsidRPr="00B208D1">
        <w:rPr>
          <w:rFonts w:ascii="Times New Roman" w:hAnsi="Times New Roman" w:cs="Times New Roman"/>
          <w:color w:val="auto"/>
          <w:sz w:val="22"/>
          <w:szCs w:val="22"/>
        </w:rPr>
        <w:t>exceed $10</w:t>
      </w:r>
      <w:r>
        <w:rPr>
          <w:rFonts w:ascii="Times New Roman" w:hAnsi="Times New Roman" w:cs="Times New Roman"/>
          <w:color w:val="auto"/>
          <w:sz w:val="22"/>
          <w:szCs w:val="22"/>
        </w:rPr>
        <w:t>,118</w:t>
      </w:r>
      <w:r w:rsidRPr="00B65EF7">
        <w:rPr>
          <w:rFonts w:ascii="Times New Roman" w:hAnsi="Times New Roman" w:cs="Times New Roman"/>
          <w:color w:val="auto"/>
          <w:sz w:val="22"/>
          <w:szCs w:val="22"/>
        </w:rPr>
        <w:t>.</w:t>
      </w:r>
    </w:p>
    <w:p w:rsidR="00755EFF" w:rsidP="00755EFF" w14:paraId="7D3FA4BD" w14:textId="77777777">
      <w:pPr>
        <w:pStyle w:val="Default"/>
        <w:widowControl w:val="0"/>
        <w:rPr>
          <w:rFonts w:ascii="Times New Roman" w:hAnsi="Times New Roman" w:cs="Times New Roman"/>
          <w:color w:val="auto"/>
          <w:sz w:val="22"/>
          <w:szCs w:val="22"/>
        </w:rPr>
      </w:pPr>
    </w:p>
    <w:p w:rsidR="00755EFF" w:rsidRPr="00B65EF7" w:rsidP="00755EFF" w14:paraId="0D9FEC69" w14:textId="77777777">
      <w:pPr>
        <w:pStyle w:val="Default"/>
        <w:widowControl w:val="0"/>
        <w:rPr>
          <w:rFonts w:ascii="Times New Roman" w:hAnsi="Times New Roman" w:cs="Times New Roman"/>
          <w:color w:val="auto"/>
          <w:sz w:val="22"/>
          <w:szCs w:val="22"/>
        </w:rPr>
      </w:pPr>
      <w:r w:rsidRPr="00B65EF7">
        <w:rPr>
          <w:rFonts w:ascii="Times New Roman" w:hAnsi="Times New Roman" w:cs="Times New Roman"/>
          <w:color w:val="auto"/>
          <w:sz w:val="22"/>
          <w:szCs w:val="22"/>
        </w:rPr>
        <w:t>(6)</w:t>
      </w:r>
      <w:r w:rsidRPr="00B65EF7">
        <w:rPr>
          <w:rFonts w:ascii="Times New Roman" w:hAnsi="Times New Roman" w:cs="Times New Roman"/>
          <w:b/>
          <w:bCs/>
          <w:color w:val="auto"/>
          <w:sz w:val="22"/>
          <w:szCs w:val="22"/>
        </w:rPr>
        <w:t xml:space="preserve"> </w:t>
      </w:r>
      <w:r w:rsidRPr="007023D3">
        <w:rPr>
          <w:rFonts w:ascii="Times New Roman" w:hAnsi="Times New Roman" w:cs="Times New Roman"/>
          <w:bCs/>
          <w:i/>
          <w:color w:val="auto"/>
          <w:sz w:val="22"/>
          <w:szCs w:val="22"/>
        </w:rPr>
        <w:t>Forfeiture penalty for a section 6507(b)(4) Tax Relief Act violation</w:t>
      </w:r>
      <w:r w:rsidRPr="007023D3">
        <w:rPr>
          <w:rFonts w:ascii="Times New Roman" w:hAnsi="Times New Roman" w:cs="Times New Roman"/>
          <w:bCs/>
          <w:color w:val="auto"/>
          <w:sz w:val="22"/>
          <w:szCs w:val="22"/>
        </w:rPr>
        <w:t>.</w:t>
      </w:r>
      <w:r>
        <w:rPr>
          <w:rFonts w:ascii="Times New Roman" w:hAnsi="Times New Roman" w:cs="Times New Roman"/>
          <w:bCs/>
          <w:color w:val="auto"/>
          <w:sz w:val="22"/>
          <w:szCs w:val="22"/>
        </w:rPr>
        <w:t xml:space="preserve"> </w:t>
      </w:r>
      <w:r w:rsidRPr="00FA449B">
        <w:rPr>
          <w:rFonts w:ascii="Times New Roman" w:hAnsi="Times New Roman" w:cs="Times New Roman"/>
          <w:b/>
          <w:bCs/>
          <w:color w:val="auto"/>
          <w:sz w:val="22"/>
          <w:szCs w:val="22"/>
        </w:rPr>
        <w:t xml:space="preserve"> </w:t>
      </w:r>
      <w:r w:rsidRPr="00B65EF7">
        <w:rPr>
          <w:rFonts w:ascii="Times New Roman" w:hAnsi="Times New Roman" w:cs="Times New Roman"/>
          <w:color w:val="auto"/>
          <w:sz w:val="22"/>
          <w:szCs w:val="22"/>
        </w:rPr>
        <w:t>If a violator who is granted access to the Do-Not-Call registry of public safety answering points discloses or disseminates any registered telephone number without authorization, in violation of section 6507(b)(4) of the Middle Class Tax Relief and Job Creation Act of 2012 or the Commission's implementing rules</w:t>
      </w:r>
      <w:r>
        <w:rPr>
          <w:rFonts w:ascii="Times New Roman" w:hAnsi="Times New Roman" w:cs="Times New Roman"/>
          <w:color w:val="auto"/>
          <w:sz w:val="22"/>
          <w:szCs w:val="22"/>
        </w:rPr>
        <w:t xml:space="preserve"> in 47 CFR part 64</w:t>
      </w:r>
      <w:r w:rsidRPr="00B65EF7">
        <w:rPr>
          <w:rFonts w:ascii="Times New Roman" w:hAnsi="Times New Roman" w:cs="Times New Roman"/>
          <w:color w:val="auto"/>
          <w:sz w:val="22"/>
          <w:szCs w:val="22"/>
        </w:rPr>
        <w:t xml:space="preserve">, the monetary penalty for such </w:t>
      </w:r>
      <w:r w:rsidRPr="00B208D1">
        <w:rPr>
          <w:rFonts w:ascii="Times New Roman" w:hAnsi="Times New Roman" w:cs="Times New Roman"/>
          <w:color w:val="auto"/>
          <w:sz w:val="22"/>
          <w:szCs w:val="22"/>
        </w:rPr>
        <w:t>unauthorized disclosure or dissemination of a telephone number from the registry shall be not less than $1</w:t>
      </w:r>
      <w:r>
        <w:rPr>
          <w:rFonts w:ascii="Times New Roman" w:hAnsi="Times New Roman" w:cs="Times New Roman"/>
          <w:color w:val="auto"/>
          <w:sz w:val="22"/>
          <w:szCs w:val="22"/>
        </w:rPr>
        <w:t>11,493</w:t>
      </w:r>
      <w:r w:rsidRPr="00B65EF7">
        <w:rPr>
          <w:rFonts w:ascii="Times New Roman" w:hAnsi="Times New Roman" w:cs="Times New Roman"/>
          <w:color w:val="auto"/>
          <w:sz w:val="22"/>
          <w:szCs w:val="22"/>
        </w:rPr>
        <w:t xml:space="preserve"> per incident nor more than</w:t>
      </w:r>
      <w:r>
        <w:rPr>
          <w:rFonts w:ascii="Times New Roman" w:hAnsi="Times New Roman" w:cs="Times New Roman"/>
          <w:color w:val="auto"/>
          <w:sz w:val="22"/>
          <w:szCs w:val="22"/>
        </w:rPr>
        <w:t xml:space="preserve"> </w:t>
      </w:r>
      <w:r w:rsidRPr="00B208D1">
        <w:rPr>
          <w:rFonts w:ascii="Times New Roman" w:hAnsi="Times New Roman" w:cs="Times New Roman"/>
          <w:color w:val="auto"/>
          <w:sz w:val="22"/>
          <w:szCs w:val="22"/>
        </w:rPr>
        <w:t>$1,</w:t>
      </w:r>
      <w:r>
        <w:rPr>
          <w:rFonts w:ascii="Times New Roman" w:hAnsi="Times New Roman" w:cs="Times New Roman"/>
          <w:color w:val="auto"/>
          <w:sz w:val="22"/>
          <w:szCs w:val="22"/>
        </w:rPr>
        <w:t>114,929</w:t>
      </w:r>
      <w:r w:rsidRPr="00B65EF7">
        <w:rPr>
          <w:rFonts w:ascii="Times New Roman" w:hAnsi="Times New Roman" w:cs="Times New Roman"/>
          <w:color w:val="auto"/>
          <w:sz w:val="22"/>
          <w:szCs w:val="22"/>
        </w:rPr>
        <w:t xml:space="preserve"> per incident depending upon whether the conduct leading to the violation was negligent, grossly negligent, reckless, or willful, and depending on whether the violation was a first or subsequent offense.</w:t>
      </w:r>
    </w:p>
    <w:p w:rsidR="00755EFF" w:rsidP="00755EFF" w14:paraId="4B3D3476" w14:textId="77777777">
      <w:pPr>
        <w:rPr>
          <w:szCs w:val="22"/>
        </w:rPr>
      </w:pPr>
    </w:p>
    <w:p w:rsidR="00755EFF" w:rsidRPr="00B65EF7" w:rsidP="00755EFF" w14:paraId="0612752D" w14:textId="77777777">
      <w:pPr>
        <w:rPr>
          <w:szCs w:val="22"/>
        </w:rPr>
      </w:pPr>
      <w:r w:rsidRPr="00B65EF7">
        <w:rPr>
          <w:szCs w:val="22"/>
        </w:rPr>
        <w:t>(7)</w:t>
      </w:r>
      <w:r w:rsidRPr="00B65EF7">
        <w:rPr>
          <w:b/>
          <w:bCs/>
          <w:szCs w:val="22"/>
        </w:rPr>
        <w:t xml:space="preserve"> </w:t>
      </w:r>
      <w:r w:rsidRPr="007023D3">
        <w:rPr>
          <w:bCs/>
          <w:i/>
          <w:szCs w:val="22"/>
        </w:rPr>
        <w:t>Forfeiture penalty for a section 6507(b)(5) Tax Relief Act violation</w:t>
      </w:r>
      <w:r w:rsidRPr="007023D3">
        <w:rPr>
          <w:bCs/>
          <w:szCs w:val="22"/>
        </w:rPr>
        <w:t>.</w:t>
      </w:r>
      <w:r>
        <w:rPr>
          <w:bCs/>
          <w:szCs w:val="22"/>
        </w:rPr>
        <w:t xml:space="preserve"> </w:t>
      </w:r>
      <w:r w:rsidRPr="007023D3">
        <w:rPr>
          <w:bCs/>
          <w:szCs w:val="22"/>
        </w:rPr>
        <w:t xml:space="preserve"> </w:t>
      </w:r>
      <w:r w:rsidRPr="00B65EF7">
        <w:rPr>
          <w:szCs w:val="22"/>
        </w:rPr>
        <w:t>If a violator uses automatic dialing equipment to contact a telephone number on the Do-Not-Call registry of public safety answering points, in violation of section 6507(b)(5) of the Middle Class Tax Relief and Job Creation Act of 2012 or the Commission's implementing rules</w:t>
      </w:r>
      <w:r>
        <w:rPr>
          <w:szCs w:val="22"/>
        </w:rPr>
        <w:t xml:space="preserve"> in 47 CFR part 64</w:t>
      </w:r>
      <w:r w:rsidRPr="00B65EF7">
        <w:rPr>
          <w:szCs w:val="22"/>
        </w:rPr>
        <w:t xml:space="preserve">, the monetary penalty for contacting such a telephone number shall be not less </w:t>
      </w:r>
      <w:r w:rsidRPr="00B208D1">
        <w:rPr>
          <w:szCs w:val="22"/>
        </w:rPr>
        <w:t>than $1</w:t>
      </w:r>
      <w:r>
        <w:rPr>
          <w:szCs w:val="22"/>
        </w:rPr>
        <w:t>1,149</w:t>
      </w:r>
      <w:r w:rsidRPr="00B65EF7">
        <w:rPr>
          <w:szCs w:val="22"/>
        </w:rPr>
        <w:t xml:space="preserve"> per call nor more </w:t>
      </w:r>
      <w:r w:rsidRPr="00B208D1">
        <w:rPr>
          <w:szCs w:val="22"/>
        </w:rPr>
        <w:t>than $1</w:t>
      </w:r>
      <w:r>
        <w:rPr>
          <w:szCs w:val="22"/>
        </w:rPr>
        <w:t>11,493</w:t>
      </w:r>
      <w:r w:rsidRPr="00B65EF7">
        <w:rPr>
          <w:szCs w:val="22"/>
        </w:rPr>
        <w:t xml:space="preserve"> per call depending on whether the violation was negligent, grossly negligent, reckless, or willful, and depending on whether the violation was a first or subsequent offense.</w:t>
      </w:r>
    </w:p>
    <w:p w:rsidR="00755EFF" w:rsidP="00755EFF" w14:paraId="0D25FED1" w14:textId="77777777">
      <w:pPr>
        <w:rPr>
          <w:szCs w:val="22"/>
        </w:rPr>
      </w:pPr>
    </w:p>
    <w:p w:rsidR="00755EFF" w:rsidRPr="00B65EF7" w:rsidP="00755EFF" w14:paraId="05AD45A3" w14:textId="77777777">
      <w:pPr>
        <w:rPr>
          <w:szCs w:val="22"/>
        </w:rPr>
      </w:pPr>
      <w:r w:rsidRPr="00B65EF7">
        <w:rPr>
          <w:szCs w:val="22"/>
        </w:rPr>
        <w:t xml:space="preserve">(8) </w:t>
      </w:r>
      <w:r w:rsidRPr="007023D3">
        <w:rPr>
          <w:i/>
          <w:szCs w:val="22"/>
        </w:rPr>
        <w:t>Maximum forfeiture penalty for any case not previously covered</w:t>
      </w:r>
      <w:r w:rsidRPr="00FA449B">
        <w:rPr>
          <w:szCs w:val="22"/>
        </w:rPr>
        <w:t>.</w:t>
      </w:r>
      <w:r>
        <w:rPr>
          <w:szCs w:val="22"/>
        </w:rPr>
        <w:t xml:space="preserve">  </w:t>
      </w:r>
      <w:r w:rsidRPr="00B65EF7">
        <w:rPr>
          <w:szCs w:val="22"/>
        </w:rPr>
        <w:t>In any case not covered in paragraphs (b)(1) through (</w:t>
      </w:r>
      <w:r>
        <w:rPr>
          <w:szCs w:val="22"/>
        </w:rPr>
        <w:t>7</w:t>
      </w:r>
      <w:r w:rsidRPr="00B65EF7">
        <w:rPr>
          <w:szCs w:val="22"/>
        </w:rPr>
        <w:t xml:space="preserve">) of this section, the amount of any forfeiture penalty determined under this section shall not </w:t>
      </w:r>
      <w:r w:rsidRPr="00B208D1">
        <w:rPr>
          <w:szCs w:val="22"/>
        </w:rPr>
        <w:t>exceed $20</w:t>
      </w:r>
      <w:r>
        <w:rPr>
          <w:szCs w:val="22"/>
        </w:rPr>
        <w:t>,731</w:t>
      </w:r>
      <w:r w:rsidRPr="00B65EF7">
        <w:rPr>
          <w:szCs w:val="22"/>
        </w:rPr>
        <w:t xml:space="preserve"> for each violation or each day of a continuing violation, except that the amount assessed for any continuing violation shall not exceed a total of </w:t>
      </w:r>
      <w:r w:rsidRPr="00B208D1">
        <w:rPr>
          <w:szCs w:val="22"/>
        </w:rPr>
        <w:t>$155</w:t>
      </w:r>
      <w:r>
        <w:rPr>
          <w:szCs w:val="22"/>
        </w:rPr>
        <w:t>,485</w:t>
      </w:r>
      <w:r w:rsidRPr="00B65EF7">
        <w:rPr>
          <w:szCs w:val="22"/>
        </w:rPr>
        <w:t xml:space="preserve"> for any single act or failure to act described in paragraph (a) of this section.</w:t>
      </w:r>
    </w:p>
    <w:p w:rsidR="00755EFF" w:rsidP="00755EFF" w14:paraId="63552A0C" w14:textId="77777777"/>
    <w:p w:rsidR="00755EFF" w:rsidRPr="00BC1318" w:rsidP="00755EFF" w14:paraId="553AF22A" w14:textId="77777777">
      <w:pPr>
        <w:rPr>
          <w:szCs w:val="22"/>
        </w:rPr>
      </w:pPr>
      <w:r w:rsidRPr="00BC1318">
        <w:rPr>
          <w:szCs w:val="22"/>
        </w:rPr>
        <w:t>* * * * *</w:t>
      </w:r>
    </w:p>
    <w:p w:rsidR="00755EFF" w:rsidP="00755EFF" w14:paraId="51690D00" w14:textId="77777777">
      <w:pPr>
        <w:rPr>
          <w:b/>
          <w:bCs/>
          <w:szCs w:val="22"/>
        </w:rPr>
      </w:pPr>
    </w:p>
    <w:p w:rsidR="00755EFF" w:rsidRPr="0055677C" w:rsidP="00755EFF" w14:paraId="46248760" w14:textId="77777777">
      <w:pPr>
        <w:rPr>
          <w:szCs w:val="22"/>
        </w:rPr>
      </w:pPr>
      <w:r>
        <w:rPr>
          <w:szCs w:val="22"/>
        </w:rPr>
        <w:t>Note to paragraph (b)(8): * * *</w:t>
      </w:r>
    </w:p>
    <w:p w:rsidR="00755EFF" w:rsidP="00755EFF" w14:paraId="026A4791" w14:textId="77777777">
      <w:pPr>
        <w:shd w:val="clear" w:color="auto" w:fill="FFFFFF"/>
        <w:rPr>
          <w:b/>
          <w:bCs/>
        </w:rPr>
      </w:pPr>
    </w:p>
    <w:p w:rsidR="00755EFF" w:rsidP="00755EFF" w14:paraId="42484969" w14:textId="77777777">
      <w:pPr>
        <w:shd w:val="clear" w:color="auto" w:fill="FFFFFF"/>
      </w:pPr>
      <w:r w:rsidRPr="00BC1318">
        <w:t>* * * * *</w:t>
      </w:r>
    </w:p>
    <w:p w:rsidR="00755EFF" w:rsidRPr="00BC1318" w:rsidP="00755EFF" w14:paraId="6A3522C7" w14:textId="77777777">
      <w:pPr>
        <w:shd w:val="clear" w:color="auto" w:fill="FFFFFF"/>
      </w:pPr>
    </w:p>
    <w:p w:rsidR="00755EFF" w:rsidRPr="00686DE5" w:rsidP="00755EFF" w14:paraId="138410C6" w14:textId="77777777">
      <w:pPr>
        <w:shd w:val="clear" w:color="auto" w:fill="FFFFFF"/>
        <w:rPr>
          <w:bCs/>
        </w:rPr>
      </w:pPr>
      <w:r w:rsidRPr="00686DE5">
        <w:rPr>
          <w:bCs/>
        </w:rPr>
        <w:t>Section III. Non-Section 503 Forfeitures That Are Affected by the Downward Adjustment Factors</w:t>
      </w:r>
    </w:p>
    <w:p w:rsidR="00755EFF" w:rsidRPr="00686DE5" w:rsidP="00755EFF" w14:paraId="4C8445A9" w14:textId="77777777">
      <w:pPr>
        <w:shd w:val="clear" w:color="auto" w:fill="FFFFFF"/>
        <w:rPr>
          <w:b/>
          <w:bCs/>
          <w:u w:val="single"/>
        </w:rPr>
      </w:pPr>
    </w:p>
    <w:p w:rsidR="00755EFF" w:rsidRPr="00BC1318" w:rsidP="00755EFF" w14:paraId="0971340C" w14:textId="77777777">
      <w:pPr>
        <w:shd w:val="clear" w:color="auto" w:fill="FFFFFF"/>
      </w:pPr>
      <w:r w:rsidRPr="00BC1318">
        <w:t>* * * * *</w:t>
      </w:r>
    </w:p>
    <w:p w:rsidR="00755EFF" w:rsidRPr="00FD12DE" w:rsidP="00755EFF" w14:paraId="56E6670E" w14:textId="77777777">
      <w:pPr>
        <w:shd w:val="clear" w:color="auto" w:fill="FFFFFF"/>
      </w:pPr>
      <w:r w:rsidRPr="00FD12DE">
        <w:t>-------------------------------------------------------------</w:t>
      </w:r>
    </w:p>
    <w:p w:rsidR="00755EFF" w:rsidRPr="00FD12DE" w:rsidP="00755EFF" w14:paraId="600C74DA" w14:textId="77777777">
      <w:pPr>
        <w:shd w:val="clear" w:color="auto" w:fill="FFFFFF"/>
      </w:pPr>
    </w:p>
    <w:tbl>
      <w:tblPr>
        <w:tblStyle w:val="PlainTable41"/>
        <w:tblW w:w="0" w:type="auto"/>
        <w:tblLook w:val="04A0"/>
      </w:tblPr>
      <w:tblGrid>
        <w:gridCol w:w="4675"/>
        <w:gridCol w:w="4675"/>
      </w:tblGrid>
      <w:tr w14:paraId="604773A7" w14:textId="77777777" w:rsidTr="009C4890">
        <w:tblPrEx>
          <w:tblW w:w="0" w:type="auto"/>
          <w:tblLook w:val="04A0"/>
        </w:tblPrEx>
        <w:tc>
          <w:tcPr>
            <w:tcW w:w="4675" w:type="dxa"/>
          </w:tcPr>
          <w:p w:rsidR="00755EFF" w:rsidRPr="00034E73" w:rsidP="009C4890" w14:paraId="58EBB732" w14:textId="77777777">
            <w:pPr>
              <w:spacing w:line="315" w:lineRule="atLeast"/>
              <w:jc w:val="center"/>
            </w:pPr>
            <w:r w:rsidRPr="00034E73">
              <w:t>Violation</w:t>
            </w:r>
          </w:p>
        </w:tc>
        <w:tc>
          <w:tcPr>
            <w:tcW w:w="4675" w:type="dxa"/>
          </w:tcPr>
          <w:p w:rsidR="00755EFF" w:rsidRPr="006B73E8" w:rsidP="009C4890" w14:paraId="65DFD77F" w14:textId="77777777">
            <w:pPr>
              <w:spacing w:line="315" w:lineRule="atLeast"/>
            </w:pPr>
            <w:r w:rsidRPr="006B73E8">
              <w:t>Statutory</w:t>
            </w:r>
          </w:p>
          <w:p w:rsidR="00755EFF" w:rsidRPr="006B73E8" w:rsidP="009C4890" w14:paraId="575B1746" w14:textId="77777777">
            <w:pPr>
              <w:spacing w:line="315" w:lineRule="atLeast"/>
            </w:pPr>
            <w:r w:rsidRPr="006B73E8">
              <w:t>Amount</w:t>
            </w:r>
          </w:p>
          <w:p w:rsidR="00755EFF" w:rsidRPr="00FD12DE" w:rsidP="009C4890" w14:paraId="5C98C719" w14:textId="77777777">
            <w:pPr>
              <w:spacing w:line="315" w:lineRule="atLeast"/>
            </w:pPr>
            <w:r>
              <w:t>After 2021 Annual Inflation Adjustment</w:t>
            </w:r>
          </w:p>
          <w:p w:rsidR="00755EFF" w:rsidRPr="00FD12DE" w:rsidP="009C4890" w14:paraId="6C1AEEC9" w14:textId="77777777">
            <w:pPr>
              <w:spacing w:line="315" w:lineRule="atLeast"/>
            </w:pPr>
          </w:p>
        </w:tc>
      </w:tr>
      <w:tr w14:paraId="769B2927" w14:textId="77777777" w:rsidTr="009C4890">
        <w:tblPrEx>
          <w:tblW w:w="0" w:type="auto"/>
          <w:tblLook w:val="04A0"/>
        </w:tblPrEx>
        <w:tc>
          <w:tcPr>
            <w:tcW w:w="4675" w:type="dxa"/>
            <w:shd w:val="clear" w:color="auto" w:fill="auto"/>
          </w:tcPr>
          <w:p w:rsidR="00755EFF" w:rsidRPr="00FD12DE" w:rsidP="009C4890" w14:paraId="302CB765" w14:textId="77777777">
            <w:pPr>
              <w:shd w:val="clear" w:color="auto" w:fill="FFFFFF"/>
              <w:spacing w:line="315" w:lineRule="atLeast"/>
            </w:pPr>
            <w:bookmarkStart w:id="1" w:name="_Hlk27997813"/>
            <w:r w:rsidRPr="00FD12DE">
              <w:rPr>
                <w:b w:val="0"/>
              </w:rPr>
              <w:t xml:space="preserve">Sec. 202(c) Common Carrier Discrimination …… </w:t>
            </w:r>
          </w:p>
          <w:p w:rsidR="00755EFF" w:rsidRPr="00FD12DE" w:rsidP="009C4890" w14:paraId="3E845C7B" w14:textId="77777777">
            <w:pPr>
              <w:shd w:val="clear" w:color="auto" w:fill="FFFFFF"/>
              <w:spacing w:line="315" w:lineRule="atLeast"/>
            </w:pPr>
            <w:r w:rsidRPr="00FD12DE">
              <w:rPr>
                <w:b w:val="0"/>
              </w:rPr>
              <w:t>Sec. 203(e) Common Carrier Tariffs …………….</w:t>
            </w:r>
          </w:p>
          <w:p w:rsidR="00755EFF" w:rsidRPr="00FD12DE" w:rsidP="009C4890" w14:paraId="76DCBCC3" w14:textId="77777777">
            <w:pPr>
              <w:shd w:val="clear" w:color="auto" w:fill="FFFFFF"/>
              <w:spacing w:line="315" w:lineRule="atLeast"/>
            </w:pPr>
            <w:r w:rsidRPr="00FD12DE">
              <w:rPr>
                <w:b w:val="0"/>
              </w:rPr>
              <w:t>Sec. 205(b) Common Carrier Prescriptions ……...</w:t>
            </w:r>
          </w:p>
          <w:p w:rsidR="00755EFF" w:rsidRPr="00FD12DE" w:rsidP="009C4890" w14:paraId="0D427C21" w14:textId="77777777">
            <w:pPr>
              <w:shd w:val="clear" w:color="auto" w:fill="FFFFFF"/>
              <w:spacing w:line="315" w:lineRule="atLeast"/>
            </w:pPr>
            <w:r w:rsidRPr="00FD12DE">
              <w:rPr>
                <w:b w:val="0"/>
              </w:rPr>
              <w:t xml:space="preserve">Sec. 214(d) Common Carrier Line Extensions …. </w:t>
            </w:r>
          </w:p>
          <w:p w:rsidR="00755EFF" w:rsidRPr="00FD12DE" w:rsidP="009C4890" w14:paraId="4AA0B80F" w14:textId="77777777">
            <w:pPr>
              <w:shd w:val="clear" w:color="auto" w:fill="FFFFFF"/>
              <w:spacing w:line="315" w:lineRule="atLeast"/>
            </w:pPr>
            <w:r w:rsidRPr="00FD12DE">
              <w:rPr>
                <w:b w:val="0"/>
              </w:rPr>
              <w:t>Sec. 219(b) Common Carrier Reports …………</w:t>
            </w:r>
            <w:r>
              <w:rPr>
                <w:b w:val="0"/>
              </w:rPr>
              <w:t>...</w:t>
            </w:r>
          </w:p>
          <w:p w:rsidR="00755EFF" w:rsidRPr="00FD12DE" w:rsidP="009C4890" w14:paraId="12C1E886" w14:textId="77777777">
            <w:pPr>
              <w:shd w:val="clear" w:color="auto" w:fill="FFFFFF"/>
              <w:spacing w:line="315" w:lineRule="atLeast"/>
            </w:pPr>
            <w:r w:rsidRPr="00FD12DE">
              <w:rPr>
                <w:b w:val="0"/>
              </w:rPr>
              <w:t xml:space="preserve">Sec. 220(d) Common Carrier Records &amp; Accounts </w:t>
            </w:r>
          </w:p>
          <w:p w:rsidR="00755EFF" w:rsidRPr="00FD12DE" w:rsidP="009C4890" w14:paraId="340224B0" w14:textId="77777777">
            <w:pPr>
              <w:shd w:val="clear" w:color="auto" w:fill="FFFFFF"/>
              <w:spacing w:line="315" w:lineRule="atLeast"/>
            </w:pPr>
            <w:r w:rsidRPr="00FD12DE">
              <w:rPr>
                <w:b w:val="0"/>
              </w:rPr>
              <w:t>Sec. 223(b) Dial-a-Porn ………………………….</w:t>
            </w:r>
          </w:p>
          <w:p w:rsidR="00755EFF" w:rsidRPr="00FD12DE" w:rsidP="009C4890" w14:paraId="51463CC4" w14:textId="77777777">
            <w:pPr>
              <w:shd w:val="clear" w:color="auto" w:fill="FFFFFF"/>
              <w:spacing w:line="315" w:lineRule="atLeast"/>
            </w:pPr>
            <w:r w:rsidRPr="00FD12DE">
              <w:rPr>
                <w:b w:val="0"/>
              </w:rPr>
              <w:t>Sec. 227(e) Caller Identification ………………....</w:t>
            </w:r>
          </w:p>
          <w:p w:rsidR="00755EFF" w:rsidRPr="00FD12DE" w:rsidP="009C4890" w14:paraId="0E961A53" w14:textId="77777777">
            <w:pPr>
              <w:shd w:val="clear" w:color="auto" w:fill="FFFFFF"/>
              <w:spacing w:line="315" w:lineRule="atLeast"/>
            </w:pPr>
          </w:p>
          <w:p w:rsidR="00755EFF" w:rsidP="009C4890" w14:paraId="2F7CA3F1" w14:textId="77777777">
            <w:pPr>
              <w:shd w:val="clear" w:color="auto" w:fill="FFFFFF"/>
              <w:spacing w:line="315" w:lineRule="atLeast"/>
            </w:pPr>
          </w:p>
          <w:p w:rsidR="00755EFF" w:rsidP="009C4890" w14:paraId="5BAA1A75" w14:textId="77777777">
            <w:pPr>
              <w:shd w:val="clear" w:color="auto" w:fill="FFFFFF"/>
              <w:spacing w:line="315" w:lineRule="atLeast"/>
            </w:pPr>
          </w:p>
          <w:p w:rsidR="00755EFF" w:rsidRPr="00FD12DE" w:rsidP="009C4890" w14:paraId="27C5E667" w14:textId="77777777">
            <w:pPr>
              <w:shd w:val="clear" w:color="auto" w:fill="FFFFFF"/>
              <w:spacing w:line="315" w:lineRule="atLeast"/>
            </w:pPr>
            <w:r w:rsidRPr="00FD12DE">
              <w:rPr>
                <w:b w:val="0"/>
              </w:rPr>
              <w:t>Sec. 36</w:t>
            </w:r>
            <w:r>
              <w:rPr>
                <w:b w:val="0"/>
              </w:rPr>
              <w:t>4</w:t>
            </w:r>
            <w:r w:rsidRPr="00FD12DE">
              <w:rPr>
                <w:b w:val="0"/>
              </w:rPr>
              <w:t>(a) Forfeitures (Ships) ………………</w:t>
            </w:r>
            <w:r w:rsidRPr="00FD12DE">
              <w:rPr>
                <w:b w:val="0"/>
              </w:rPr>
              <w:t>…..</w:t>
            </w:r>
            <w:r w:rsidRPr="00FD12DE">
              <w:rPr>
                <w:b w:val="0"/>
              </w:rPr>
              <w:t xml:space="preserve"> </w:t>
            </w:r>
          </w:p>
          <w:p w:rsidR="00755EFF" w:rsidRPr="00FD12DE" w:rsidP="009C4890" w14:paraId="6E24C678" w14:textId="77777777">
            <w:pPr>
              <w:shd w:val="clear" w:color="auto" w:fill="FFFFFF"/>
              <w:spacing w:line="315" w:lineRule="atLeast"/>
            </w:pPr>
            <w:r w:rsidRPr="00FD12DE">
              <w:rPr>
                <w:b w:val="0"/>
              </w:rPr>
              <w:t>Sec. 36</w:t>
            </w:r>
            <w:r>
              <w:rPr>
                <w:b w:val="0"/>
              </w:rPr>
              <w:t>4</w:t>
            </w:r>
            <w:r w:rsidRPr="00FD12DE">
              <w:rPr>
                <w:b w:val="0"/>
              </w:rPr>
              <w:t xml:space="preserve">(b) Forfeitures (Ships) …………………. </w:t>
            </w:r>
          </w:p>
          <w:p w:rsidR="00755EFF" w:rsidRPr="00FD12DE" w:rsidP="009C4890" w14:paraId="13DEED9F" w14:textId="77777777">
            <w:pPr>
              <w:shd w:val="clear" w:color="auto" w:fill="FFFFFF"/>
              <w:spacing w:line="315" w:lineRule="atLeast"/>
            </w:pPr>
            <w:r w:rsidRPr="00FD12DE">
              <w:rPr>
                <w:b w:val="0"/>
              </w:rPr>
              <w:t xml:space="preserve">Sec. 386(a) Forfeitures (Ships) …………………. </w:t>
            </w:r>
          </w:p>
          <w:p w:rsidR="00755EFF" w:rsidRPr="00FD12DE" w:rsidP="009C4890" w14:paraId="6A4EA255" w14:textId="77777777">
            <w:pPr>
              <w:shd w:val="clear" w:color="auto" w:fill="FFFFFF"/>
              <w:spacing w:line="315" w:lineRule="atLeast"/>
            </w:pPr>
            <w:r w:rsidRPr="00FD12DE">
              <w:rPr>
                <w:b w:val="0"/>
              </w:rPr>
              <w:t xml:space="preserve">Sec. 386(b) Forfeitures (Ships) …………………. </w:t>
            </w:r>
          </w:p>
          <w:p w:rsidR="00755EFF" w:rsidRPr="005707A0" w:rsidP="009C4890" w14:paraId="65B69235" w14:textId="77777777">
            <w:pPr>
              <w:shd w:val="clear" w:color="auto" w:fill="FFFFFF"/>
              <w:spacing w:line="315" w:lineRule="atLeast"/>
            </w:pPr>
            <w:r>
              <w:rPr>
                <w:b w:val="0"/>
              </w:rPr>
              <w:t>Sec. 511 Pirate Radio Broadcasting …………</w:t>
            </w:r>
            <w:r>
              <w:rPr>
                <w:b w:val="0"/>
              </w:rPr>
              <w:t>…..</w:t>
            </w:r>
          </w:p>
          <w:p w:rsidR="00755EFF" w:rsidRPr="00FD12DE" w:rsidP="009C4890" w14:paraId="2813FAB5" w14:textId="77777777">
            <w:pPr>
              <w:shd w:val="clear" w:color="auto" w:fill="FFFFFF"/>
              <w:spacing w:line="315" w:lineRule="atLeast"/>
            </w:pPr>
            <w:r>
              <w:rPr>
                <w:b w:val="0"/>
              </w:rPr>
              <w:t>Sec. 634</w:t>
            </w:r>
            <w:r w:rsidRPr="00FD12DE">
              <w:rPr>
                <w:b w:val="0"/>
              </w:rPr>
              <w:t xml:space="preserve"> Cable EEO ………………………….…. </w:t>
            </w:r>
          </w:p>
          <w:p w:rsidR="00755EFF" w:rsidRPr="00FD12DE" w:rsidP="009C4890" w14:paraId="2185CA79" w14:textId="77777777">
            <w:pPr>
              <w:spacing w:line="315" w:lineRule="atLeast"/>
            </w:pPr>
          </w:p>
        </w:tc>
        <w:tc>
          <w:tcPr>
            <w:tcW w:w="4675" w:type="dxa"/>
            <w:shd w:val="clear" w:color="auto" w:fill="auto"/>
          </w:tcPr>
          <w:p w:rsidR="00755EFF" w:rsidRPr="00FD12DE" w:rsidP="009C4890" w14:paraId="24B539D5" w14:textId="77777777">
            <w:pPr>
              <w:spacing w:line="315" w:lineRule="atLeast"/>
            </w:pPr>
            <w:r>
              <w:t>$12,439</w:t>
            </w:r>
            <w:r w:rsidRPr="00FD12DE">
              <w:t>, $</w:t>
            </w:r>
            <w:r>
              <w:t>622</w:t>
            </w:r>
            <w:r w:rsidRPr="00FD12DE">
              <w:t>/day</w:t>
            </w:r>
          </w:p>
          <w:p w:rsidR="00755EFF" w:rsidRPr="00FD12DE" w:rsidP="009C4890" w14:paraId="57786ADB" w14:textId="77777777">
            <w:pPr>
              <w:spacing w:line="315" w:lineRule="atLeast"/>
            </w:pPr>
            <w:r>
              <w:t>$12,439, $622</w:t>
            </w:r>
            <w:r w:rsidRPr="00FD12DE">
              <w:t>/day</w:t>
            </w:r>
          </w:p>
          <w:p w:rsidR="00755EFF" w:rsidRPr="00FD12DE" w:rsidP="009C4890" w14:paraId="41A84287" w14:textId="77777777">
            <w:pPr>
              <w:spacing w:line="315" w:lineRule="atLeast"/>
            </w:pPr>
            <w:r w:rsidRPr="00FD12DE">
              <w:t>$2</w:t>
            </w:r>
            <w:r>
              <w:t>4,877</w:t>
            </w:r>
          </w:p>
          <w:p w:rsidR="00755EFF" w:rsidRPr="00FD12DE" w:rsidP="009C4890" w14:paraId="6F0D0F41" w14:textId="77777777">
            <w:pPr>
              <w:spacing w:line="315" w:lineRule="atLeast"/>
            </w:pPr>
            <w:r w:rsidRPr="00FD12DE">
              <w:t>$2,</w:t>
            </w:r>
            <w:r>
              <w:t>487</w:t>
            </w:r>
            <w:r w:rsidRPr="00FD12DE">
              <w:t>/day</w:t>
            </w:r>
          </w:p>
          <w:p w:rsidR="00755EFF" w:rsidRPr="00FD12DE" w:rsidP="009C4890" w14:paraId="630F2520" w14:textId="77777777">
            <w:pPr>
              <w:spacing w:line="315" w:lineRule="atLeast"/>
            </w:pPr>
            <w:r w:rsidRPr="00FD12DE">
              <w:t>$2,</w:t>
            </w:r>
            <w:r>
              <w:t>487/day</w:t>
            </w:r>
          </w:p>
          <w:p w:rsidR="00755EFF" w:rsidRPr="00FD12DE" w:rsidP="009C4890" w14:paraId="571027D9" w14:textId="77777777">
            <w:pPr>
              <w:spacing w:line="315" w:lineRule="atLeast"/>
            </w:pPr>
            <w:r>
              <w:t>$12,439</w:t>
            </w:r>
            <w:r w:rsidRPr="00FD12DE">
              <w:t>/day</w:t>
            </w:r>
          </w:p>
          <w:p w:rsidR="00755EFF" w:rsidRPr="00FD12DE" w:rsidP="009C4890" w14:paraId="21D586E7" w14:textId="77777777">
            <w:pPr>
              <w:spacing w:line="315" w:lineRule="atLeast"/>
            </w:pPr>
            <w:r>
              <w:t>$128,904/day</w:t>
            </w:r>
          </w:p>
          <w:p w:rsidR="00755EFF" w:rsidRPr="00FD12DE" w:rsidP="009C4890" w14:paraId="17A501F2" w14:textId="77777777">
            <w:pPr>
              <w:spacing w:line="315" w:lineRule="atLeast"/>
            </w:pPr>
            <w:r w:rsidRPr="00FD12DE">
              <w:t>$</w:t>
            </w:r>
            <w:r>
              <w:t>11,905</w:t>
            </w:r>
            <w:r w:rsidRPr="00FD12DE">
              <w:t>/violation</w:t>
            </w:r>
          </w:p>
          <w:p w:rsidR="00755EFF" w:rsidRPr="00FD12DE" w:rsidP="009C4890" w14:paraId="304852F8" w14:textId="77777777">
            <w:pPr>
              <w:spacing w:line="315" w:lineRule="atLeast"/>
            </w:pPr>
            <w:r w:rsidRPr="00FD12DE">
              <w:t>$</w:t>
            </w:r>
            <w:r>
              <w:t>35,715</w:t>
            </w:r>
            <w:r w:rsidRPr="00FD12DE">
              <w:t>/day for each day of continuing violation,</w:t>
            </w:r>
          </w:p>
          <w:p w:rsidR="00755EFF" w:rsidP="009C4890" w14:paraId="61A3B475" w14:textId="77777777">
            <w:pPr>
              <w:spacing w:line="315" w:lineRule="atLeast"/>
            </w:pPr>
            <w:r w:rsidRPr="00FD12DE">
              <w:t>up to $1,</w:t>
            </w:r>
            <w:r>
              <w:t xml:space="preserve">190,546 </w:t>
            </w:r>
            <w:r w:rsidRPr="00FD12DE">
              <w:t>for any single act or failure to act</w:t>
            </w:r>
          </w:p>
          <w:p w:rsidR="00755EFF" w:rsidRPr="00FD12DE" w:rsidP="009C4890" w14:paraId="604EC777" w14:textId="77777777">
            <w:pPr>
              <w:spacing w:line="315" w:lineRule="atLeast"/>
            </w:pPr>
            <w:r>
              <w:t>$10,366/day</w:t>
            </w:r>
            <w:r w:rsidRPr="00FD12DE">
              <w:t xml:space="preserve"> (owner)</w:t>
            </w:r>
          </w:p>
          <w:p w:rsidR="00755EFF" w:rsidRPr="00FD12DE" w:rsidP="009C4890" w14:paraId="49470DB3" w14:textId="77777777">
            <w:pPr>
              <w:spacing w:line="315" w:lineRule="atLeast"/>
            </w:pPr>
            <w:r>
              <w:t>$2,074</w:t>
            </w:r>
            <w:r w:rsidRPr="00FD12DE">
              <w:t xml:space="preserve"> (vessel master)</w:t>
            </w:r>
          </w:p>
          <w:p w:rsidR="00755EFF" w:rsidRPr="00FD12DE" w:rsidP="009C4890" w14:paraId="45E57454" w14:textId="77777777">
            <w:pPr>
              <w:spacing w:line="315" w:lineRule="atLeast"/>
            </w:pPr>
            <w:r>
              <w:t>$10,366/day</w:t>
            </w:r>
            <w:r w:rsidRPr="00FD12DE">
              <w:t xml:space="preserve"> (owner)</w:t>
            </w:r>
          </w:p>
          <w:p w:rsidR="00755EFF" w:rsidRPr="00FD12DE" w:rsidP="009C4890" w14:paraId="0EAC8E5D" w14:textId="77777777">
            <w:pPr>
              <w:spacing w:line="315" w:lineRule="atLeast"/>
            </w:pPr>
            <w:r>
              <w:t>$2,074</w:t>
            </w:r>
            <w:r w:rsidRPr="00FD12DE">
              <w:t xml:space="preserve"> (vessel master)</w:t>
            </w:r>
          </w:p>
          <w:p w:rsidR="00755EFF" w:rsidP="009C4890" w14:paraId="0CDE4314" w14:textId="77777777">
            <w:pPr>
              <w:spacing w:line="315" w:lineRule="atLeast"/>
            </w:pPr>
            <w:r>
              <w:t>$2,023,640, $101,182/day</w:t>
            </w:r>
          </w:p>
          <w:p w:rsidR="00755EFF" w:rsidRPr="00FD12DE" w:rsidP="009C4890" w14:paraId="45C02012" w14:textId="77777777">
            <w:pPr>
              <w:spacing w:line="315" w:lineRule="atLeast"/>
            </w:pPr>
            <w:r>
              <w:t>$919/day</w:t>
            </w:r>
          </w:p>
        </w:tc>
      </w:tr>
    </w:tbl>
    <w:p w:rsidR="00755EFF" w:rsidP="00755EFF" w14:paraId="3986BC79" w14:textId="77777777">
      <w:pPr>
        <w:shd w:val="clear" w:color="auto" w:fill="FFFFFF"/>
        <w:rPr>
          <w:rStyle w:val="enumxml"/>
          <w:bCs/>
        </w:rPr>
      </w:pPr>
      <w:bookmarkStart w:id="2" w:name="b_7"/>
      <w:bookmarkEnd w:id="1"/>
      <w:bookmarkEnd w:id="2"/>
    </w:p>
    <w:p w:rsidR="00755EFF" w:rsidP="00755EFF" w14:paraId="00F938D1" w14:textId="77777777">
      <w:pPr>
        <w:shd w:val="clear" w:color="auto" w:fill="FFFFFF"/>
        <w:rPr>
          <w:rStyle w:val="enumxml"/>
          <w:bCs/>
        </w:rPr>
      </w:pPr>
      <w:r>
        <w:rPr>
          <w:rStyle w:val="enumxml"/>
          <w:bCs/>
        </w:rPr>
        <w:t>* * * * *</w:t>
      </w:r>
    </w:p>
    <w:p w:rsidR="00755EFF" w:rsidP="00755EFF" w14:paraId="740548A5" w14:textId="77777777">
      <w:pPr>
        <w:shd w:val="clear" w:color="auto" w:fill="FFFFFF"/>
        <w:rPr>
          <w:rStyle w:val="enumxml"/>
          <w:bCs/>
        </w:rPr>
      </w:pPr>
    </w:p>
    <w:p w:rsidR="00755EFF" w:rsidRPr="00777FD8" w:rsidP="00755EFF" w14:paraId="09C0CDEB" w14:textId="77777777">
      <w:pPr>
        <w:shd w:val="clear" w:color="auto" w:fill="FFFFFF"/>
        <w:rPr>
          <w:rStyle w:val="Emphasis"/>
          <w:bCs/>
          <w:i w:val="0"/>
          <w:iCs w:val="0"/>
        </w:rPr>
      </w:pPr>
      <w:r w:rsidRPr="008D7157">
        <w:rPr>
          <w:rStyle w:val="enumxml"/>
          <w:bCs/>
        </w:rPr>
        <w:t>(</w:t>
      </w:r>
      <w:r>
        <w:rPr>
          <w:rStyle w:val="enumxml"/>
          <w:bCs/>
        </w:rPr>
        <w:t>10</w:t>
      </w:r>
      <w:r w:rsidRPr="00777FD8">
        <w:rPr>
          <w:rStyle w:val="enumxml"/>
          <w:bCs/>
        </w:rPr>
        <w:t>)</w:t>
      </w:r>
      <w:r>
        <w:rPr>
          <w:rStyle w:val="apple-converted-space"/>
          <w:bCs/>
          <w:iCs/>
        </w:rPr>
        <w:t xml:space="preserve"> </w:t>
      </w:r>
      <w:r w:rsidRPr="00BC1318">
        <w:rPr>
          <w:bCs/>
          <w:szCs w:val="22"/>
        </w:rPr>
        <w:t>* * *</w:t>
      </w:r>
    </w:p>
    <w:p w:rsidR="00755EFF" w:rsidRPr="00FD12DE" w:rsidP="00755EFF" w14:paraId="44A865A5" w14:textId="77777777">
      <w:pPr>
        <w:shd w:val="clear" w:color="auto" w:fill="FFFFFF"/>
      </w:pPr>
      <w:bookmarkStart w:id="3" w:name="b_7_i"/>
      <w:bookmarkStart w:id="4" w:name="b_7_ii"/>
      <w:bookmarkEnd w:id="3"/>
      <w:bookmarkEnd w:id="4"/>
    </w:p>
    <w:p w:rsidR="00755EFF" w:rsidP="00755EFF" w14:paraId="0B504A67" w14:textId="77777777">
      <w:pPr>
        <w:shd w:val="clear" w:color="auto" w:fill="FFFFFF"/>
        <w:rPr>
          <w:rStyle w:val="ptext-3"/>
        </w:rPr>
      </w:pPr>
      <w:bookmarkStart w:id="5" w:name="b_7_iii"/>
      <w:bookmarkEnd w:id="5"/>
      <w:r w:rsidRPr="00FD12DE">
        <w:rPr>
          <w:rStyle w:val="enumxml"/>
          <w:bCs/>
        </w:rPr>
        <w:t>(ii)</w:t>
      </w:r>
      <w:r w:rsidRPr="00FD12DE">
        <w:rPr>
          <w:rStyle w:val="apple-converted-space"/>
        </w:rPr>
        <w:t> </w:t>
      </w:r>
      <w:r w:rsidRPr="00FD12DE">
        <w:rPr>
          <w:rStyle w:val="ptext-3"/>
        </w:rPr>
        <w:t xml:space="preserve">The application of the </w:t>
      </w:r>
      <w:r>
        <w:rPr>
          <w:rStyle w:val="ptext-3"/>
        </w:rPr>
        <w:t xml:space="preserve">annual </w:t>
      </w:r>
      <w:r w:rsidRPr="00FD12DE">
        <w:rPr>
          <w:rStyle w:val="ptext-3"/>
        </w:rPr>
        <w:t xml:space="preserve">inflation adjustment required by the </w:t>
      </w:r>
      <w:r>
        <w:rPr>
          <w:rStyle w:val="ptext-3"/>
        </w:rPr>
        <w:t xml:space="preserve">foregoing Federal Civil Penalties </w:t>
      </w:r>
      <w:r w:rsidRPr="00FD12DE">
        <w:rPr>
          <w:rStyle w:val="ptext-3"/>
        </w:rPr>
        <w:t>Inflation Adjustment Act</w:t>
      </w:r>
      <w:r>
        <w:rPr>
          <w:rStyle w:val="ptext-3"/>
        </w:rPr>
        <w:t xml:space="preserve"> Improvements Act of 2015</w:t>
      </w:r>
      <w:r w:rsidRPr="00FD12DE">
        <w:rPr>
          <w:rStyle w:val="ptext-3"/>
        </w:rPr>
        <w:t xml:space="preserve"> results in the following adjusted statutory maximum forfeitures authorized by the Communications Act:</w:t>
      </w:r>
    </w:p>
    <w:p w:rsidR="00755EFF" w:rsidP="00755EFF" w14:paraId="224314A1" w14:textId="77777777">
      <w:pPr>
        <w:shd w:val="clear" w:color="auto" w:fill="FFFFFF"/>
        <w:rPr>
          <w:rStyle w:val="ptext-3"/>
        </w:rPr>
      </w:pPr>
    </w:p>
    <w:p w:rsidR="00755EFF" w:rsidRPr="00FD12DE" w:rsidP="00755EFF" w14:paraId="027B3BB5" w14:textId="77777777">
      <w:pPr>
        <w:shd w:val="clear" w:color="auto" w:fill="FFFFFF"/>
        <w:jc w:val="center"/>
        <w:rPr>
          <w:rStyle w:val="ptext-3"/>
        </w:rPr>
      </w:pPr>
      <w:r w:rsidRPr="008251D0">
        <w:rPr>
          <w:rStyle w:val="ptext-3"/>
        </w:rPr>
        <w:t xml:space="preserve">Table </w:t>
      </w:r>
      <w:r>
        <w:rPr>
          <w:rStyle w:val="ptext-3"/>
        </w:rPr>
        <w:t>4</w:t>
      </w:r>
      <w:r w:rsidRPr="008251D0">
        <w:rPr>
          <w:rStyle w:val="ptext-3"/>
        </w:rPr>
        <w:t xml:space="preserve"> to Paragraph (b)(</w:t>
      </w:r>
      <w:r>
        <w:rPr>
          <w:rStyle w:val="ptext-3"/>
        </w:rPr>
        <w:t>10</w:t>
      </w:r>
      <w:r w:rsidRPr="008251D0">
        <w:rPr>
          <w:rStyle w:val="ptext-3"/>
        </w:rPr>
        <w:t>)(ii)</w:t>
      </w:r>
    </w:p>
    <w:p w:rsidR="00755EFF" w:rsidRPr="00FD12DE" w:rsidP="00755EFF" w14:paraId="4CAE52B7" w14:textId="77777777">
      <w:pPr>
        <w:rPr>
          <w:rStyle w:val="ptext-3"/>
        </w:rPr>
      </w:pPr>
    </w:p>
    <w:tbl>
      <w:tblPr>
        <w:tblStyle w:val="PlainTable41"/>
        <w:tblW w:w="0" w:type="auto"/>
        <w:tblLook w:val="04A0"/>
      </w:tblPr>
      <w:tblGrid>
        <w:gridCol w:w="4675"/>
        <w:gridCol w:w="4675"/>
      </w:tblGrid>
      <w:tr w14:paraId="7ED2474A" w14:textId="77777777" w:rsidTr="009C4890">
        <w:tblPrEx>
          <w:tblW w:w="0" w:type="auto"/>
          <w:tblLook w:val="04A0"/>
        </w:tblPrEx>
        <w:tc>
          <w:tcPr>
            <w:tcW w:w="4675" w:type="dxa"/>
          </w:tcPr>
          <w:p w:rsidR="00755EFF" w:rsidRPr="00FD12DE" w:rsidP="009C4890" w14:paraId="56A806A8" w14:textId="77777777">
            <w:pPr>
              <w:spacing w:line="315" w:lineRule="atLeast"/>
              <w:jc w:val="center"/>
            </w:pPr>
            <w:r w:rsidRPr="00FD12DE">
              <w:rPr>
                <w:b w:val="0"/>
              </w:rPr>
              <w:t>U.S. Code citation</w:t>
            </w:r>
          </w:p>
        </w:tc>
        <w:tc>
          <w:tcPr>
            <w:tcW w:w="4675" w:type="dxa"/>
          </w:tcPr>
          <w:p w:rsidR="00755EFF" w:rsidRPr="00FD12DE" w:rsidP="009C4890" w14:paraId="07143327" w14:textId="77777777">
            <w:pPr>
              <w:spacing w:line="315" w:lineRule="atLeast"/>
            </w:pPr>
            <w:r w:rsidRPr="00FD12DE">
              <w:rPr>
                <w:b w:val="0"/>
              </w:rPr>
              <w:t>Maximum Penalty after</w:t>
            </w:r>
          </w:p>
          <w:p w:rsidR="00755EFF" w:rsidRPr="00FD12DE" w:rsidP="009C4890" w14:paraId="2CFB03A9" w14:textId="77777777">
            <w:pPr>
              <w:spacing w:line="315" w:lineRule="atLeast"/>
            </w:pPr>
            <w:r w:rsidRPr="00FD12DE">
              <w:rPr>
                <w:b w:val="0"/>
              </w:rPr>
              <w:t>20</w:t>
            </w:r>
            <w:r>
              <w:rPr>
                <w:b w:val="0"/>
              </w:rPr>
              <w:t xml:space="preserve">21 Annual </w:t>
            </w:r>
            <w:r w:rsidRPr="00FD12DE">
              <w:rPr>
                <w:b w:val="0"/>
              </w:rPr>
              <w:t xml:space="preserve">Inflation Adjustment </w:t>
            </w:r>
          </w:p>
          <w:p w:rsidR="00755EFF" w:rsidRPr="00FD12DE" w:rsidP="009C4890" w14:paraId="34C82F7B" w14:textId="77777777">
            <w:pPr>
              <w:spacing w:line="315" w:lineRule="atLeast"/>
            </w:pPr>
          </w:p>
        </w:tc>
      </w:tr>
      <w:tr w14:paraId="6661963A" w14:textId="77777777" w:rsidTr="009C4890">
        <w:tblPrEx>
          <w:tblW w:w="0" w:type="auto"/>
          <w:tblLook w:val="04A0"/>
        </w:tblPrEx>
        <w:tc>
          <w:tcPr>
            <w:tcW w:w="4675" w:type="dxa"/>
            <w:shd w:val="clear" w:color="auto" w:fill="auto"/>
          </w:tcPr>
          <w:p w:rsidR="00755EFF" w:rsidRPr="00FD12DE" w:rsidP="009C4890" w14:paraId="6405D845" w14:textId="77777777">
            <w:pPr>
              <w:shd w:val="clear" w:color="auto" w:fill="FFFFFF"/>
              <w:spacing w:line="315" w:lineRule="atLeast"/>
            </w:pPr>
            <w:r w:rsidRPr="00FD12DE">
              <w:rPr>
                <w:b w:val="0"/>
              </w:rPr>
              <w:t>47 U.S.C. 202(c) …………………………………</w:t>
            </w:r>
          </w:p>
          <w:p w:rsidR="00755EFF" w:rsidRPr="00FD12DE" w:rsidP="009C4890" w14:paraId="4F46A89B" w14:textId="77777777">
            <w:pPr>
              <w:shd w:val="clear" w:color="auto" w:fill="FFFFFF"/>
              <w:spacing w:line="315" w:lineRule="atLeast"/>
            </w:pPr>
          </w:p>
          <w:p w:rsidR="00755EFF" w:rsidRPr="00FD12DE" w:rsidP="009C4890" w14:paraId="64BF1E78" w14:textId="77777777">
            <w:pPr>
              <w:shd w:val="clear" w:color="auto" w:fill="FFFFFF"/>
              <w:spacing w:line="315" w:lineRule="atLeast"/>
            </w:pPr>
            <w:r w:rsidRPr="00FD12DE">
              <w:rPr>
                <w:b w:val="0"/>
              </w:rPr>
              <w:t>47 U.S.C. 203(e) …………………………………</w:t>
            </w:r>
          </w:p>
          <w:p w:rsidR="00755EFF" w:rsidRPr="00FD12DE" w:rsidP="009C4890" w14:paraId="1300CB78" w14:textId="77777777">
            <w:pPr>
              <w:shd w:val="clear" w:color="auto" w:fill="FFFFFF"/>
              <w:spacing w:line="315" w:lineRule="atLeast"/>
            </w:pPr>
          </w:p>
          <w:p w:rsidR="00755EFF" w:rsidRPr="00FD12DE" w:rsidP="009C4890" w14:paraId="208A8753" w14:textId="77777777">
            <w:pPr>
              <w:shd w:val="clear" w:color="auto" w:fill="FFFFFF"/>
              <w:spacing w:line="315" w:lineRule="atLeast"/>
            </w:pPr>
            <w:r w:rsidRPr="00FD12DE">
              <w:rPr>
                <w:b w:val="0"/>
              </w:rPr>
              <w:t>47 U.S.C. 205(b) ……............................................</w:t>
            </w:r>
          </w:p>
          <w:p w:rsidR="00755EFF" w:rsidRPr="00FD12DE" w:rsidP="009C4890" w14:paraId="7D762EA0" w14:textId="77777777">
            <w:pPr>
              <w:shd w:val="clear" w:color="auto" w:fill="FFFFFF"/>
              <w:spacing w:line="315" w:lineRule="atLeast"/>
            </w:pPr>
            <w:r w:rsidRPr="00FD12DE">
              <w:rPr>
                <w:b w:val="0"/>
              </w:rPr>
              <w:t xml:space="preserve">47 U.S.C. 214(d) </w:t>
            </w:r>
            <w:r w:rsidRPr="00FD12DE">
              <w:rPr>
                <w:b w:val="0"/>
              </w:rPr>
              <w:t>…..</w:t>
            </w:r>
            <w:r w:rsidRPr="00FD12DE">
              <w:rPr>
                <w:b w:val="0"/>
              </w:rPr>
              <w:t>…………………………….</w:t>
            </w:r>
          </w:p>
          <w:p w:rsidR="00755EFF" w:rsidRPr="00FD12DE" w:rsidP="009C4890" w14:paraId="39E7A829" w14:textId="77777777">
            <w:pPr>
              <w:shd w:val="clear" w:color="auto" w:fill="FFFFFF"/>
              <w:spacing w:line="315" w:lineRule="atLeast"/>
            </w:pPr>
            <w:r w:rsidRPr="00FD12DE">
              <w:rPr>
                <w:b w:val="0"/>
              </w:rPr>
              <w:t>47 U.S.C. 219(b) …………………………………</w:t>
            </w:r>
          </w:p>
          <w:p w:rsidR="00755EFF" w:rsidRPr="00FD12DE" w:rsidP="009C4890" w14:paraId="072B0670" w14:textId="77777777">
            <w:pPr>
              <w:shd w:val="clear" w:color="auto" w:fill="FFFFFF"/>
              <w:spacing w:line="315" w:lineRule="atLeast"/>
            </w:pPr>
            <w:r w:rsidRPr="00FD12DE">
              <w:rPr>
                <w:b w:val="0"/>
              </w:rPr>
              <w:t xml:space="preserve">47 U.S.C. 220(d) ………………………………… </w:t>
            </w:r>
          </w:p>
          <w:p w:rsidR="00755EFF" w:rsidRPr="00FD12DE" w:rsidP="009C4890" w14:paraId="18A2AC7D" w14:textId="77777777">
            <w:pPr>
              <w:shd w:val="clear" w:color="auto" w:fill="FFFFFF"/>
              <w:spacing w:line="315" w:lineRule="atLeast"/>
            </w:pPr>
            <w:r w:rsidRPr="00FD12DE">
              <w:rPr>
                <w:b w:val="0"/>
              </w:rPr>
              <w:t>47 U.S.C. 223(b) …………………………………</w:t>
            </w:r>
          </w:p>
          <w:p w:rsidR="00755EFF" w:rsidRPr="00FD12DE" w:rsidP="009C4890" w14:paraId="33BFFAEC" w14:textId="77777777">
            <w:pPr>
              <w:shd w:val="clear" w:color="auto" w:fill="FFFFFF"/>
              <w:spacing w:line="315" w:lineRule="atLeast"/>
            </w:pPr>
            <w:r w:rsidRPr="00FD12DE">
              <w:rPr>
                <w:b w:val="0"/>
              </w:rPr>
              <w:t>47 U.S.C. 227(e) …………………………………</w:t>
            </w:r>
          </w:p>
          <w:p w:rsidR="00755EFF" w:rsidRPr="00FD12DE" w:rsidP="009C4890" w14:paraId="6709FC75" w14:textId="77777777">
            <w:pPr>
              <w:shd w:val="clear" w:color="auto" w:fill="FFFFFF"/>
              <w:spacing w:line="315" w:lineRule="atLeast"/>
            </w:pPr>
          </w:p>
          <w:p w:rsidR="00755EFF" w:rsidRPr="00FD12DE" w:rsidP="009C4890" w14:paraId="052714B6" w14:textId="77777777">
            <w:pPr>
              <w:shd w:val="clear" w:color="auto" w:fill="FFFFFF"/>
              <w:spacing w:line="315" w:lineRule="atLeast"/>
            </w:pPr>
          </w:p>
          <w:p w:rsidR="00755EFF" w:rsidRPr="00FD12DE" w:rsidP="009C4890" w14:paraId="4752356D" w14:textId="77777777">
            <w:pPr>
              <w:shd w:val="clear" w:color="auto" w:fill="FFFFFF"/>
              <w:spacing w:line="315" w:lineRule="atLeast"/>
            </w:pPr>
            <w:r>
              <w:rPr>
                <w:b w:val="0"/>
              </w:rPr>
              <w:t>47 U.S.C. 362</w:t>
            </w:r>
            <w:r w:rsidRPr="00FD12DE">
              <w:rPr>
                <w:b w:val="0"/>
              </w:rPr>
              <w:t>(a) …………………………………</w:t>
            </w:r>
          </w:p>
          <w:p w:rsidR="00755EFF" w:rsidRPr="00FD12DE" w:rsidP="009C4890" w14:paraId="37D86FFD" w14:textId="77777777">
            <w:pPr>
              <w:shd w:val="clear" w:color="auto" w:fill="FFFFFF"/>
              <w:spacing w:line="315" w:lineRule="atLeast"/>
            </w:pPr>
            <w:r>
              <w:rPr>
                <w:b w:val="0"/>
              </w:rPr>
              <w:t>47 U.S.C. 362</w:t>
            </w:r>
            <w:r w:rsidRPr="00FD12DE">
              <w:rPr>
                <w:b w:val="0"/>
              </w:rPr>
              <w:t xml:space="preserve">(b) ………………………………… </w:t>
            </w:r>
          </w:p>
          <w:p w:rsidR="00755EFF" w:rsidRPr="00FD12DE" w:rsidP="009C4890" w14:paraId="054D0B24" w14:textId="77777777">
            <w:pPr>
              <w:shd w:val="clear" w:color="auto" w:fill="FFFFFF"/>
              <w:spacing w:line="315" w:lineRule="atLeast"/>
            </w:pPr>
            <w:r w:rsidRPr="00FD12DE">
              <w:rPr>
                <w:b w:val="0"/>
              </w:rPr>
              <w:t>47 U.S.C. 386(a) …………………. ……………..</w:t>
            </w:r>
          </w:p>
          <w:p w:rsidR="00755EFF" w:rsidRPr="00FD12DE" w:rsidP="009C4890" w14:paraId="77B10977" w14:textId="77777777">
            <w:pPr>
              <w:shd w:val="clear" w:color="auto" w:fill="FFFFFF"/>
              <w:spacing w:line="315" w:lineRule="atLeast"/>
            </w:pPr>
            <w:r w:rsidRPr="00FD12DE">
              <w:rPr>
                <w:b w:val="0"/>
              </w:rPr>
              <w:t>47 U.S.C. 386(b) …………………. ……………..</w:t>
            </w:r>
          </w:p>
          <w:p w:rsidR="00755EFF" w:rsidRPr="00FD12DE" w:rsidP="009C4890" w14:paraId="5DC50C92" w14:textId="77777777">
            <w:pPr>
              <w:shd w:val="clear" w:color="auto" w:fill="FFFFFF"/>
              <w:spacing w:line="315" w:lineRule="atLeast"/>
            </w:pPr>
            <w:r w:rsidRPr="00FD12DE">
              <w:rPr>
                <w:b w:val="0"/>
              </w:rPr>
              <w:t>47 U.S.C. 503(b)(2)(A) ………………………</w:t>
            </w:r>
            <w:r w:rsidRPr="00FD12DE">
              <w:rPr>
                <w:b w:val="0"/>
              </w:rPr>
              <w:t>…..</w:t>
            </w:r>
          </w:p>
          <w:p w:rsidR="00755EFF" w:rsidRPr="00FD12DE" w:rsidP="009C4890" w14:paraId="6B801E12" w14:textId="77777777">
            <w:pPr>
              <w:spacing w:line="315" w:lineRule="atLeast"/>
            </w:pPr>
          </w:p>
          <w:p w:rsidR="00755EFF" w:rsidRPr="00FD12DE" w:rsidP="009C4890" w14:paraId="2D0E7AFF" w14:textId="77777777">
            <w:pPr>
              <w:spacing w:line="315" w:lineRule="atLeast"/>
            </w:pPr>
            <w:r w:rsidRPr="00FD12DE">
              <w:rPr>
                <w:b w:val="0"/>
              </w:rPr>
              <w:t>47 U.S.C. 503(b)(2)(B) ………………...………...</w:t>
            </w:r>
          </w:p>
        </w:tc>
        <w:tc>
          <w:tcPr>
            <w:tcW w:w="4675" w:type="dxa"/>
            <w:shd w:val="clear" w:color="auto" w:fill="auto"/>
          </w:tcPr>
          <w:p w:rsidR="00755EFF" w:rsidRPr="00FD12DE" w:rsidP="009C4890" w14:paraId="1F915631" w14:textId="77777777">
            <w:pPr>
              <w:spacing w:line="315" w:lineRule="atLeast"/>
            </w:pPr>
            <w:r>
              <w:t>$12,439</w:t>
            </w:r>
          </w:p>
          <w:p w:rsidR="00755EFF" w:rsidRPr="00FD12DE" w:rsidP="009C4890" w14:paraId="25A44934" w14:textId="77777777">
            <w:pPr>
              <w:spacing w:line="315" w:lineRule="atLeast"/>
            </w:pPr>
            <w:r w:rsidRPr="00FD12DE">
              <w:t>$</w:t>
            </w:r>
            <w:r>
              <w:t>622</w:t>
            </w:r>
          </w:p>
          <w:p w:rsidR="00755EFF" w:rsidRPr="00FD12DE" w:rsidP="009C4890" w14:paraId="2A991A99" w14:textId="77777777">
            <w:pPr>
              <w:spacing w:line="315" w:lineRule="atLeast"/>
            </w:pPr>
            <w:r>
              <w:t>$12,439</w:t>
            </w:r>
          </w:p>
          <w:p w:rsidR="00755EFF" w:rsidRPr="00FD12DE" w:rsidP="009C4890" w14:paraId="4E9E16BB" w14:textId="77777777">
            <w:pPr>
              <w:spacing w:line="315" w:lineRule="atLeast"/>
            </w:pPr>
            <w:r w:rsidRPr="00FD12DE">
              <w:t>$</w:t>
            </w:r>
            <w:r>
              <w:t>622</w:t>
            </w:r>
          </w:p>
          <w:p w:rsidR="00755EFF" w:rsidRPr="00FD12DE" w:rsidP="009C4890" w14:paraId="21DAD1C9" w14:textId="77777777">
            <w:pPr>
              <w:spacing w:line="315" w:lineRule="atLeast"/>
            </w:pPr>
            <w:r w:rsidRPr="00FD12DE">
              <w:t>$</w:t>
            </w:r>
            <w:r>
              <w:t>24,877</w:t>
            </w:r>
          </w:p>
          <w:p w:rsidR="00755EFF" w:rsidRPr="00FD12DE" w:rsidP="009C4890" w14:paraId="62AEDB4B" w14:textId="77777777">
            <w:pPr>
              <w:spacing w:line="315" w:lineRule="atLeast"/>
            </w:pPr>
            <w:r w:rsidRPr="00FD12DE">
              <w:t>$2,</w:t>
            </w:r>
            <w:r>
              <w:t>487</w:t>
            </w:r>
          </w:p>
          <w:p w:rsidR="00755EFF" w:rsidRPr="00FD12DE" w:rsidP="009C4890" w14:paraId="691FACD4" w14:textId="77777777">
            <w:pPr>
              <w:spacing w:line="315" w:lineRule="atLeast"/>
            </w:pPr>
            <w:r w:rsidRPr="00FD12DE">
              <w:t>$2,</w:t>
            </w:r>
            <w:r>
              <w:t>487</w:t>
            </w:r>
          </w:p>
          <w:p w:rsidR="00755EFF" w:rsidRPr="00FD12DE" w:rsidP="009C4890" w14:paraId="7F362005" w14:textId="77777777">
            <w:pPr>
              <w:spacing w:line="315" w:lineRule="atLeast"/>
            </w:pPr>
            <w:r>
              <w:t>$12,439</w:t>
            </w:r>
          </w:p>
          <w:p w:rsidR="00755EFF" w:rsidRPr="00FD12DE" w:rsidP="009C4890" w14:paraId="5A776C4E" w14:textId="77777777">
            <w:pPr>
              <w:spacing w:line="315" w:lineRule="atLeast"/>
            </w:pPr>
            <w:r w:rsidRPr="00FD12DE">
              <w:t>$</w:t>
            </w:r>
            <w:r>
              <w:t>128,904</w:t>
            </w:r>
          </w:p>
          <w:p w:rsidR="00755EFF" w:rsidRPr="00FD12DE" w:rsidP="009C4890" w14:paraId="3282DC5B" w14:textId="77777777">
            <w:pPr>
              <w:spacing w:line="315" w:lineRule="atLeast"/>
            </w:pPr>
            <w:r w:rsidRPr="00FD12DE">
              <w:t>$</w:t>
            </w:r>
            <w:r>
              <w:t>11,905</w:t>
            </w:r>
          </w:p>
          <w:p w:rsidR="00755EFF" w:rsidRPr="00FD12DE" w:rsidP="009C4890" w14:paraId="614C57BD" w14:textId="77777777">
            <w:pPr>
              <w:spacing w:line="315" w:lineRule="atLeast"/>
            </w:pPr>
            <w:r w:rsidRPr="00FD12DE">
              <w:t>$</w:t>
            </w:r>
            <w:r>
              <w:t>35,715</w:t>
            </w:r>
          </w:p>
          <w:p w:rsidR="00755EFF" w:rsidRPr="00FD12DE" w:rsidP="009C4890" w14:paraId="48CECED8" w14:textId="77777777">
            <w:pPr>
              <w:spacing w:line="315" w:lineRule="atLeast"/>
            </w:pPr>
            <w:r w:rsidRPr="00FD12DE">
              <w:t>$1,</w:t>
            </w:r>
            <w:r>
              <w:t>190,546</w:t>
            </w:r>
          </w:p>
          <w:p w:rsidR="00755EFF" w:rsidRPr="00FD12DE" w:rsidP="009C4890" w14:paraId="40E1FE80" w14:textId="77777777">
            <w:pPr>
              <w:spacing w:line="315" w:lineRule="atLeast"/>
            </w:pPr>
            <w:r>
              <w:t>$10,366</w:t>
            </w:r>
          </w:p>
          <w:p w:rsidR="00755EFF" w:rsidRPr="00FD12DE" w:rsidP="009C4890" w14:paraId="38ED39A9" w14:textId="77777777">
            <w:pPr>
              <w:spacing w:line="315" w:lineRule="atLeast"/>
            </w:pPr>
            <w:r>
              <w:t>$2,074</w:t>
            </w:r>
          </w:p>
          <w:p w:rsidR="00755EFF" w:rsidRPr="00FD12DE" w:rsidP="009C4890" w14:paraId="7FC9D4F8" w14:textId="77777777">
            <w:pPr>
              <w:spacing w:line="315" w:lineRule="atLeast"/>
            </w:pPr>
            <w:r>
              <w:t>$10,366</w:t>
            </w:r>
          </w:p>
          <w:p w:rsidR="00755EFF" w:rsidRPr="00FD12DE" w:rsidP="009C4890" w14:paraId="7CFC205B" w14:textId="77777777">
            <w:pPr>
              <w:spacing w:line="315" w:lineRule="atLeast"/>
            </w:pPr>
            <w:r>
              <w:t>$2,074</w:t>
            </w:r>
          </w:p>
          <w:p w:rsidR="00755EFF" w:rsidRPr="00FD12DE" w:rsidP="009C4890" w14:paraId="6F724368" w14:textId="77777777">
            <w:pPr>
              <w:spacing w:line="315" w:lineRule="atLeast"/>
            </w:pPr>
            <w:r w:rsidRPr="00FD12DE">
              <w:t>$</w:t>
            </w:r>
            <w:r>
              <w:t>51,827</w:t>
            </w:r>
          </w:p>
          <w:p w:rsidR="00755EFF" w:rsidRPr="00FD12DE" w:rsidP="009C4890" w14:paraId="0D90F2D5" w14:textId="77777777">
            <w:pPr>
              <w:spacing w:line="315" w:lineRule="atLeast"/>
            </w:pPr>
            <w:r w:rsidRPr="00FD12DE">
              <w:t>$</w:t>
            </w:r>
            <w:r>
              <w:t>518,283</w:t>
            </w:r>
          </w:p>
          <w:p w:rsidR="00755EFF" w:rsidRPr="00FD12DE" w:rsidP="009C4890" w14:paraId="0CC08736" w14:textId="77777777">
            <w:pPr>
              <w:spacing w:line="315" w:lineRule="atLeast"/>
            </w:pPr>
            <w:r w:rsidRPr="00FD12DE">
              <w:t>$</w:t>
            </w:r>
            <w:r>
              <w:t>207,314</w:t>
            </w:r>
          </w:p>
          <w:p w:rsidR="00755EFF" w:rsidRPr="00FD12DE" w:rsidP="009C4890" w14:paraId="510FCE13" w14:textId="77777777">
            <w:pPr>
              <w:spacing w:line="315" w:lineRule="atLeast"/>
            </w:pPr>
            <w:r>
              <w:t>$2,073,133</w:t>
            </w:r>
          </w:p>
        </w:tc>
      </w:tr>
      <w:tr w14:paraId="772BBBCE" w14:textId="77777777" w:rsidTr="009C4890">
        <w:tblPrEx>
          <w:tblW w:w="0" w:type="auto"/>
          <w:tblLook w:val="04A0"/>
        </w:tblPrEx>
        <w:tc>
          <w:tcPr>
            <w:tcW w:w="4675" w:type="dxa"/>
          </w:tcPr>
          <w:p w:rsidR="00755EFF" w:rsidRPr="00FD12DE" w:rsidP="009C4890" w14:paraId="48CD1B6B" w14:textId="77777777">
            <w:pPr>
              <w:shd w:val="clear" w:color="auto" w:fill="FFFFFF"/>
              <w:spacing w:line="315" w:lineRule="atLeast"/>
            </w:pPr>
            <w:r w:rsidRPr="00FD12DE">
              <w:rPr>
                <w:b w:val="0"/>
              </w:rPr>
              <w:t>47 U.S.C. 503(b)(2)(C) ………………………</w:t>
            </w:r>
            <w:r w:rsidRPr="00FD12DE">
              <w:rPr>
                <w:b w:val="0"/>
              </w:rPr>
              <w:t>…..</w:t>
            </w:r>
          </w:p>
        </w:tc>
        <w:tc>
          <w:tcPr>
            <w:tcW w:w="4675" w:type="dxa"/>
          </w:tcPr>
          <w:p w:rsidR="00755EFF" w:rsidRPr="00FD12DE" w:rsidP="009C4890" w14:paraId="7FA1A45F" w14:textId="77777777">
            <w:pPr>
              <w:spacing w:line="315" w:lineRule="atLeast"/>
            </w:pPr>
            <w:r>
              <w:t>$419,353</w:t>
            </w:r>
          </w:p>
        </w:tc>
      </w:tr>
      <w:tr w14:paraId="4D6DF7BA" w14:textId="77777777" w:rsidTr="009C4890">
        <w:tblPrEx>
          <w:tblW w:w="0" w:type="auto"/>
          <w:tblLook w:val="04A0"/>
        </w:tblPrEx>
        <w:tc>
          <w:tcPr>
            <w:tcW w:w="4675" w:type="dxa"/>
            <w:shd w:val="clear" w:color="auto" w:fill="auto"/>
          </w:tcPr>
          <w:p w:rsidR="00755EFF" w:rsidRPr="00FD12DE" w:rsidP="009C4890" w14:paraId="63D0D23B" w14:textId="77777777">
            <w:pPr>
              <w:shd w:val="clear" w:color="auto" w:fill="FFFFFF"/>
              <w:spacing w:line="315" w:lineRule="atLeast"/>
            </w:pPr>
          </w:p>
          <w:p w:rsidR="00755EFF" w:rsidRPr="00FD12DE" w:rsidP="009C4890" w14:paraId="5D1E2023" w14:textId="77777777">
            <w:pPr>
              <w:shd w:val="clear" w:color="auto" w:fill="FFFFFF"/>
              <w:spacing w:line="315" w:lineRule="atLeast"/>
            </w:pPr>
            <w:r w:rsidRPr="00FD12DE">
              <w:rPr>
                <w:b w:val="0"/>
              </w:rPr>
              <w:t>47 U.S.C. 503(b)(2)(D) ………………………</w:t>
            </w:r>
            <w:r w:rsidRPr="00FD12DE">
              <w:rPr>
                <w:b w:val="0"/>
              </w:rPr>
              <w:t>…..</w:t>
            </w:r>
          </w:p>
        </w:tc>
        <w:tc>
          <w:tcPr>
            <w:tcW w:w="4675" w:type="dxa"/>
            <w:shd w:val="clear" w:color="auto" w:fill="auto"/>
          </w:tcPr>
          <w:p w:rsidR="00755EFF" w:rsidRPr="00FD12DE" w:rsidP="009C4890" w14:paraId="67C3BE79" w14:textId="77777777">
            <w:pPr>
              <w:spacing w:line="315" w:lineRule="atLeast"/>
            </w:pPr>
            <w:r w:rsidRPr="00FD12DE">
              <w:t>$3,</w:t>
            </w:r>
            <w:r>
              <w:t>870,946</w:t>
            </w:r>
          </w:p>
          <w:p w:rsidR="00755EFF" w:rsidRPr="00FD12DE" w:rsidP="009C4890" w14:paraId="5B6F070A" w14:textId="77777777">
            <w:pPr>
              <w:spacing w:line="315" w:lineRule="atLeast"/>
            </w:pPr>
            <w:r>
              <w:t>$20,731</w:t>
            </w:r>
          </w:p>
        </w:tc>
      </w:tr>
      <w:tr w14:paraId="3596D5B8" w14:textId="77777777" w:rsidTr="009C4890">
        <w:tblPrEx>
          <w:tblW w:w="0" w:type="auto"/>
          <w:tblLook w:val="04A0"/>
        </w:tblPrEx>
        <w:tc>
          <w:tcPr>
            <w:tcW w:w="4675" w:type="dxa"/>
          </w:tcPr>
          <w:p w:rsidR="00755EFF" w:rsidRPr="00FD12DE" w:rsidP="009C4890" w14:paraId="0EC58665" w14:textId="77777777">
            <w:pPr>
              <w:shd w:val="clear" w:color="auto" w:fill="FFFFFF"/>
              <w:spacing w:line="315" w:lineRule="atLeast"/>
            </w:pPr>
          </w:p>
          <w:p w:rsidR="00755EFF" w:rsidRPr="00FD12DE" w:rsidP="009C4890" w14:paraId="4AC192C7" w14:textId="77777777">
            <w:pPr>
              <w:shd w:val="clear" w:color="auto" w:fill="FFFFFF"/>
              <w:spacing w:line="315" w:lineRule="atLeast"/>
            </w:pPr>
            <w:r w:rsidRPr="00FD12DE">
              <w:rPr>
                <w:b w:val="0"/>
              </w:rPr>
              <w:t>47 U.S.C. 503(b)(2)(F)</w:t>
            </w:r>
          </w:p>
          <w:p w:rsidR="00755EFF" w:rsidRPr="00FD12DE" w:rsidP="009C4890" w14:paraId="7F28BE12" w14:textId="77777777">
            <w:pPr>
              <w:shd w:val="clear" w:color="auto" w:fill="FFFFFF"/>
              <w:spacing w:line="315" w:lineRule="atLeast"/>
            </w:pPr>
          </w:p>
          <w:p w:rsidR="00755EFF" w:rsidRPr="00FD12DE" w:rsidP="009C4890" w14:paraId="5910BA50" w14:textId="77777777">
            <w:pPr>
              <w:shd w:val="clear" w:color="auto" w:fill="FFFFFF"/>
              <w:spacing w:line="315" w:lineRule="atLeast"/>
            </w:pPr>
            <w:r w:rsidRPr="00FD12DE">
              <w:rPr>
                <w:b w:val="0"/>
              </w:rPr>
              <w:t>47 U.S.C. 507(a) ………………...……………….</w:t>
            </w:r>
          </w:p>
        </w:tc>
        <w:tc>
          <w:tcPr>
            <w:tcW w:w="4675" w:type="dxa"/>
          </w:tcPr>
          <w:p w:rsidR="00755EFF" w:rsidRPr="00FD12DE" w:rsidP="009C4890" w14:paraId="71C87FFA" w14:textId="77777777">
            <w:pPr>
              <w:spacing w:line="315" w:lineRule="atLeast"/>
            </w:pPr>
            <w:r>
              <w:t>$155,485</w:t>
            </w:r>
          </w:p>
          <w:p w:rsidR="00755EFF" w:rsidRPr="00FD12DE" w:rsidP="009C4890" w14:paraId="33E28FC2" w14:textId="77777777">
            <w:pPr>
              <w:spacing w:line="315" w:lineRule="atLeast"/>
            </w:pPr>
            <w:r w:rsidRPr="00FD12DE">
              <w:t>$</w:t>
            </w:r>
            <w:r>
              <w:t>119,055</w:t>
            </w:r>
          </w:p>
          <w:p w:rsidR="00755EFF" w:rsidRPr="00FD12DE" w:rsidP="009C4890" w14:paraId="15B1DBB9" w14:textId="77777777">
            <w:pPr>
              <w:spacing w:line="315" w:lineRule="atLeast"/>
            </w:pPr>
            <w:r w:rsidRPr="00FD12DE">
              <w:t>$1,</w:t>
            </w:r>
            <w:r>
              <w:t>190,546</w:t>
            </w:r>
          </w:p>
          <w:p w:rsidR="00755EFF" w:rsidRPr="00FD12DE" w:rsidP="009C4890" w14:paraId="6346FE4E" w14:textId="77777777">
            <w:pPr>
              <w:spacing w:line="315" w:lineRule="atLeast"/>
            </w:pPr>
            <w:r w:rsidRPr="00FD12DE">
              <w:t>$</w:t>
            </w:r>
            <w:r>
              <w:t>2</w:t>
            </w:r>
            <w:r w:rsidRPr="00FD12DE">
              <w:t>,</w:t>
            </w:r>
            <w:r>
              <w:t>053</w:t>
            </w:r>
          </w:p>
        </w:tc>
      </w:tr>
      <w:tr w14:paraId="59E8A38F" w14:textId="77777777" w:rsidTr="009C4890">
        <w:tblPrEx>
          <w:tblW w:w="0" w:type="auto"/>
          <w:tblLook w:val="04A0"/>
        </w:tblPrEx>
        <w:tc>
          <w:tcPr>
            <w:tcW w:w="4675" w:type="dxa"/>
            <w:shd w:val="clear" w:color="auto" w:fill="auto"/>
          </w:tcPr>
          <w:p w:rsidR="00755EFF" w:rsidRPr="00FD12DE" w:rsidP="009C4890" w14:paraId="7691D672" w14:textId="77777777">
            <w:pPr>
              <w:shd w:val="clear" w:color="auto" w:fill="FFFFFF"/>
              <w:spacing w:line="315" w:lineRule="atLeast"/>
            </w:pPr>
            <w:r w:rsidRPr="00FD12DE">
              <w:rPr>
                <w:b w:val="0"/>
              </w:rPr>
              <w:t>47 U.S.C. 507(b) ………………………………....</w:t>
            </w:r>
          </w:p>
        </w:tc>
        <w:tc>
          <w:tcPr>
            <w:tcW w:w="4675" w:type="dxa"/>
            <w:shd w:val="clear" w:color="auto" w:fill="auto"/>
          </w:tcPr>
          <w:p w:rsidR="00755EFF" w:rsidRPr="00FD12DE" w:rsidP="009C4890" w14:paraId="53DCD51D" w14:textId="77777777">
            <w:pPr>
              <w:spacing w:line="315" w:lineRule="atLeast"/>
            </w:pPr>
            <w:r w:rsidRPr="00FD12DE">
              <w:t>$</w:t>
            </w:r>
            <w:r>
              <w:t>301</w:t>
            </w:r>
          </w:p>
        </w:tc>
      </w:tr>
      <w:tr w14:paraId="155FE6EB" w14:textId="77777777" w:rsidTr="009C4890">
        <w:tblPrEx>
          <w:tblW w:w="0" w:type="auto"/>
          <w:tblLook w:val="04A0"/>
        </w:tblPrEx>
        <w:tc>
          <w:tcPr>
            <w:tcW w:w="4675" w:type="dxa"/>
          </w:tcPr>
          <w:p w:rsidR="00755EFF" w:rsidRPr="00610873" w:rsidP="009C4890" w14:paraId="4CD77F9D" w14:textId="77777777">
            <w:pPr>
              <w:shd w:val="clear" w:color="auto" w:fill="FFFFFF"/>
              <w:spacing w:line="315" w:lineRule="atLeast"/>
            </w:pPr>
            <w:r w:rsidRPr="00610873">
              <w:rPr>
                <w:b w:val="0"/>
              </w:rPr>
              <w:t>47 U.S.C.</w:t>
            </w:r>
            <w:r>
              <w:rPr>
                <w:b w:val="0"/>
              </w:rPr>
              <w:t xml:space="preserve"> 511 …………………………………….</w:t>
            </w:r>
          </w:p>
          <w:p w:rsidR="00755EFF" w:rsidRPr="00610873" w:rsidP="009C4890" w14:paraId="02477BA3" w14:textId="77777777">
            <w:pPr>
              <w:shd w:val="clear" w:color="auto" w:fill="FFFFFF"/>
              <w:spacing w:line="315" w:lineRule="atLeast"/>
            </w:pPr>
          </w:p>
          <w:p w:rsidR="00755EFF" w:rsidRPr="00FD12DE" w:rsidP="009C4890" w14:paraId="0B5EC847" w14:textId="77777777">
            <w:pPr>
              <w:shd w:val="clear" w:color="auto" w:fill="FFFFFF"/>
              <w:spacing w:line="315" w:lineRule="atLeast"/>
            </w:pPr>
            <w:r w:rsidRPr="00FD12DE">
              <w:rPr>
                <w:b w:val="0"/>
              </w:rPr>
              <w:t>47 U.S.C. 554 …………………………………….</w:t>
            </w:r>
          </w:p>
        </w:tc>
        <w:tc>
          <w:tcPr>
            <w:tcW w:w="4675" w:type="dxa"/>
          </w:tcPr>
          <w:p w:rsidR="00755EFF" w:rsidP="009C4890" w14:paraId="4E35F7C7" w14:textId="77777777">
            <w:pPr>
              <w:spacing w:line="315" w:lineRule="atLeast"/>
            </w:pPr>
            <w:r>
              <w:t>$2,023,640</w:t>
            </w:r>
          </w:p>
          <w:p w:rsidR="00755EFF" w:rsidP="009C4890" w14:paraId="076F6FAB" w14:textId="77777777">
            <w:pPr>
              <w:spacing w:line="315" w:lineRule="atLeast"/>
            </w:pPr>
            <w:r>
              <w:t>$101,182</w:t>
            </w:r>
          </w:p>
          <w:p w:rsidR="00755EFF" w:rsidRPr="00FD12DE" w:rsidP="009C4890" w14:paraId="591BAA44" w14:textId="77777777">
            <w:pPr>
              <w:spacing w:line="315" w:lineRule="atLeast"/>
            </w:pPr>
            <w:r w:rsidRPr="00FD12DE">
              <w:t>$</w:t>
            </w:r>
            <w:r>
              <w:t>919</w:t>
            </w:r>
          </w:p>
        </w:tc>
      </w:tr>
    </w:tbl>
    <w:p w:rsidR="00755EFF" w:rsidP="00755EFF" w14:paraId="1B2A94A6" w14:textId="77777777">
      <w:pPr>
        <w:rPr>
          <w:rStyle w:val="ptext-3"/>
        </w:rPr>
      </w:pPr>
    </w:p>
    <w:p w:rsidR="00B61D02" w:rsidRPr="00B61D02" w:rsidP="00755EFF" w14:paraId="0A075ADE" w14:textId="4B955E86">
      <w:pPr>
        <w:pStyle w:val="ParaNum"/>
        <w:numPr>
          <w:ilvl w:val="0"/>
          <w:numId w:val="0"/>
        </w:numPr>
      </w:pPr>
      <w:r w:rsidRPr="0066179B">
        <w:rPr>
          <w:rStyle w:val="ptext-3"/>
        </w:rPr>
        <w:t>* * * * *</w:t>
      </w:r>
    </w:p>
    <w:sectPr w:rsidSect="00AA29E6">
      <w:headerReference w:type="default" r:id="rId4"/>
      <w:footerReference w:type="even" r:id="rId5"/>
      <w:footerReference w:type="default" r:id="rId6"/>
      <w:headerReference w:type="first" r:id="rId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B724F" w14:paraId="2F841C8B" w14:textId="77777777">
    <w:pPr>
      <w:pStyle w:val="Footer"/>
      <w:framePr w:wrap="around" w:vAnchor="text" w:hAnchor="margin" w:xAlign="center" w:y="1"/>
    </w:pPr>
    <w:r>
      <w:fldChar w:fldCharType="begin"/>
    </w:r>
    <w:r>
      <w:instrText xml:space="preserve">PAGE  </w:instrText>
    </w:r>
    <w:r>
      <w:fldChar w:fldCharType="separate"/>
    </w:r>
    <w:r>
      <w:fldChar w:fldCharType="end"/>
    </w:r>
  </w:p>
  <w:p w:rsidR="00FB724F" w14:paraId="7A47D1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B724F" w14:paraId="59526BB3" w14:textId="77777777">
    <w:pPr>
      <w:pStyle w:val="Footer"/>
      <w:framePr w:wrap="around" w:vAnchor="text" w:hAnchor="margin" w:xAlign="center" w:y="1"/>
    </w:pPr>
    <w:r>
      <w:fldChar w:fldCharType="begin"/>
    </w:r>
    <w:r>
      <w:instrText xml:space="preserve">PAGE  </w:instrText>
    </w:r>
    <w:r>
      <w:fldChar w:fldCharType="separate"/>
    </w:r>
    <w:r w:rsidR="007A414A">
      <w:rPr>
        <w:noProof/>
      </w:rPr>
      <w:t>2</w:t>
    </w:r>
    <w:r>
      <w:rPr>
        <w:noProof/>
      </w:rPr>
      <w:fldChar w:fldCharType="end"/>
    </w:r>
  </w:p>
  <w:p w:rsidR="00FB724F" w14:paraId="49FAA69E" w14:textId="77777777">
    <w:pPr>
      <w:spacing w:before="140" w:line="100" w:lineRule="exac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DE3F76" w:rsidRPr="001B048F" w:rsidP="00DE3F76" w14:paraId="7ADE692E" w14:textId="1EB91E3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t xml:space="preserve">DA </w:t>
    </w:r>
    <w:r w:rsidR="00755EFF">
      <w:t>21</w:t>
    </w:r>
    <w:r>
      <w:t>-</w:t>
    </w:r>
    <w:r w:rsidR="00041D3A">
      <w:t>110</w:t>
    </w:r>
  </w:p>
  <w:p w:rsidR="00FB724F" w:rsidRPr="001B048F" w:rsidP="001B048F" w14:paraId="7E035586" w14:textId="4175FAEE">
    <w:pPr>
      <w:pStyle w:val="Header"/>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B724F" w:rsidRPr="001B048F" w:rsidP="001B048F" w14:paraId="5DA2EF25" w14:textId="314D831E">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DE3F76">
      <w:t xml:space="preserve">DA </w:t>
    </w:r>
    <w:r w:rsidR="00755EFF">
      <w:t>21</w:t>
    </w:r>
    <w:r w:rsidR="00DE3F76">
      <w:t>-</w:t>
    </w:r>
    <w:r w:rsidR="00041D3A">
      <w:t>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FFFFFFFE"/>
    <w:multiLevelType w:val="singleLevel"/>
    <w:tmpl w:val="5428EE0A"/>
    <w:lvl w:ilvl="0">
      <w:start w:val="0"/>
      <w:numFmt w:val="bullet"/>
      <w:pStyle w:val="par1"/>
      <w:lvlText w:val="*"/>
      <w:lvlJc w:val="left"/>
    </w:lvl>
  </w:abstractNum>
  <w:abstractNum w:abstractNumId="1">
    <w:nsid w:val="03673889"/>
    <w:multiLevelType w:val="hybridMultilevel"/>
    <w:tmpl w:val="CBDE9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4"/>
      <w:numFmt w:val="bullet"/>
      <w:lvlText w:val="—"/>
      <w:lvlJc w:val="left"/>
      <w:pPr>
        <w:ind w:left="2160" w:hanging="360"/>
      </w:pPr>
      <w:rPr>
        <w:rFonts w:ascii="Times New Roman" w:eastAsia="Times New Roman" w:hAnsi="Times New Roman" w:cs="Times New Roman" w:hint="default"/>
        <w:b/>
        <w:i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9DD5F99"/>
    <w:multiLevelType w:val="hybridMultilevel"/>
    <w:tmpl w:val="6A0EF3DE"/>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3A211C"/>
    <w:multiLevelType w:val="hybridMultilevel"/>
    <w:tmpl w:val="E690D6BC"/>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811A5A"/>
    <w:multiLevelType w:val="hybridMultilevel"/>
    <w:tmpl w:val="6DF235CA"/>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897705A"/>
    <w:multiLevelType w:val="hybridMultilevel"/>
    <w:tmpl w:val="E0268EC4"/>
    <w:lvl w:ilvl="0">
      <w:start w:val="1"/>
      <w:numFmt w:val="bullet"/>
      <w:lvlText w:val=""/>
      <w:lvlJc w:val="left"/>
      <w:pPr>
        <w:ind w:left="72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4AF544C"/>
    <w:multiLevelType w:val="hybridMultilevel"/>
    <w:tmpl w:val="5EB001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9A64A1F"/>
    <w:multiLevelType w:val="hybridMultilevel"/>
    <w:tmpl w:val="92101E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9F80DFB"/>
    <w:multiLevelType w:val="hybridMultilevel"/>
    <w:tmpl w:val="2BD01C2E"/>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8A06A1F"/>
    <w:multiLevelType w:val="hybridMultilevel"/>
    <w:tmpl w:val="F26E0C7E"/>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10B5443"/>
    <w:multiLevelType w:val="hybridMultilevel"/>
    <w:tmpl w:val="15A481E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1E163B5"/>
    <w:multiLevelType w:val="hybridMultilevel"/>
    <w:tmpl w:val="E2325D3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8">
    <w:nsid w:val="584B7726"/>
    <w:multiLevelType w:val="hybridMultilevel"/>
    <w:tmpl w:val="BE041EF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8C663B7"/>
    <w:multiLevelType w:val="hybridMultilevel"/>
    <w:tmpl w:val="81FAB5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2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nsid w:val="62FA5539"/>
    <w:multiLevelType w:val="hybridMultilevel"/>
    <w:tmpl w:val="4330FC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7EA3B75"/>
    <w:multiLevelType w:val="hybridMultilevel"/>
    <w:tmpl w:val="0B2E5F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BD17B64"/>
    <w:multiLevelType w:val="hybridMultilevel"/>
    <w:tmpl w:val="8B04B83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36F436A"/>
    <w:multiLevelType w:val="hybridMultilevel"/>
    <w:tmpl w:val="CB0AF52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7AA7CF2"/>
    <w:multiLevelType w:val="hybridMultilevel"/>
    <w:tmpl w:val="FC52A0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90171E5"/>
    <w:multiLevelType w:val="hybridMultilevel"/>
    <w:tmpl w:val="EF7285F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2"/>
  </w:num>
  <w:num w:numId="2">
    <w:abstractNumId w:val="7"/>
  </w:num>
  <w:num w:numId="3">
    <w:abstractNumId w:val="1"/>
  </w:num>
  <w:num w:numId="4">
    <w:abstractNumId w:val="10"/>
  </w:num>
  <w:num w:numId="5">
    <w:abstractNumId w:val="0"/>
    <w:lvlOverride w:ilvl="0">
      <w:lvl w:ilvl="0">
        <w:start w:val="0"/>
        <w:numFmt w:val="bullet"/>
        <w:pStyle w:val="par1"/>
        <w:lvlText w:val=""/>
        <w:legacy w:legacy="1" w:legacySpace="0" w:legacyIndent="360"/>
        <w:lvlJc w:val="left"/>
        <w:rPr>
          <w:rFonts w:ascii="Symbol" w:hAnsi="Symbol" w:hint="default"/>
        </w:rPr>
      </w:lvl>
    </w:lvlOverride>
  </w:num>
  <w:num w:numId="6">
    <w:abstractNumId w:val="17"/>
  </w:num>
  <w:num w:numId="7">
    <w:abstractNumId w:val="21"/>
  </w:num>
  <w:num w:numId="8">
    <w:abstractNumId w:val="20"/>
  </w:num>
  <w:num w:numId="9">
    <w:abstractNumId w:val="27"/>
  </w:num>
  <w:num w:numId="10">
    <w:abstractNumId w:val="26"/>
  </w:num>
  <w:num w:numId="11">
    <w:abstractNumId w:val="16"/>
  </w:num>
  <w:num w:numId="12">
    <w:abstractNumId w:val="19"/>
  </w:num>
  <w:num w:numId="13">
    <w:abstractNumId w:val="18"/>
  </w:num>
  <w:num w:numId="14">
    <w:abstractNumId w:val="25"/>
  </w:num>
  <w:num w:numId="15">
    <w:abstractNumId w:val="12"/>
  </w:num>
  <w:num w:numId="16">
    <w:abstractNumId w:val="24"/>
  </w:num>
  <w:num w:numId="17">
    <w:abstractNumId w:val="23"/>
  </w:num>
  <w:num w:numId="18">
    <w:abstractNumId w:val="28"/>
  </w:num>
  <w:num w:numId="19">
    <w:abstractNumId w:val="5"/>
  </w:num>
  <w:num w:numId="20">
    <w:abstractNumId w:val="15"/>
  </w:num>
  <w:num w:numId="21">
    <w:abstractNumId w:val="6"/>
  </w:num>
  <w:num w:numId="22">
    <w:abstractNumId w:val="2"/>
  </w:num>
  <w:num w:numId="23">
    <w:abstractNumId w:val="22"/>
    <w:lvlOverride w:ilvl="0">
      <w:startOverride w:val="1"/>
    </w:lvlOverride>
  </w:num>
  <w:num w:numId="24">
    <w:abstractNumId w:val="7"/>
  </w:num>
  <w:num w:numId="25">
    <w:abstractNumId w:val="7"/>
  </w:num>
  <w:num w:numId="26">
    <w:abstractNumId w:val="7"/>
  </w:num>
  <w:num w:numId="27">
    <w:abstractNumId w:val="7"/>
  </w:num>
  <w:num w:numId="28">
    <w:abstractNumId w:val="7"/>
  </w:num>
  <w:num w:numId="29">
    <w:abstractNumId w:val="22"/>
  </w:num>
  <w:num w:numId="30">
    <w:abstractNumId w:val="22"/>
    <w:lvlOverride w:ilvl="0">
      <w:startOverride w:val="1"/>
    </w:lvlOverride>
  </w:num>
  <w:num w:numId="31">
    <w:abstractNumId w:val="11"/>
  </w:num>
  <w:num w:numId="32">
    <w:abstractNumId w:val="9"/>
  </w:num>
  <w:num w:numId="33">
    <w:abstractNumId w:val="14"/>
  </w:num>
  <w:num w:numId="34">
    <w:abstractNumId w:val="13"/>
  </w:num>
  <w:num w:numId="35">
    <w:abstractNumId w:val="3"/>
  </w:num>
  <w:num w:numId="36">
    <w:abstractNumId w:val="8"/>
  </w:num>
  <w:num w:numId="37">
    <w:abstractNumId w:val="4"/>
  </w:num>
  <w:num w:numId="38">
    <w:abstractNumId w:val="22"/>
    <w:lvlOverride w:ilvl="0">
      <w:startOverride w:val="1"/>
    </w:lvlOverride>
  </w:num>
  <w:num w:numId="39">
    <w:abstractNumId w:val="22"/>
  </w:num>
  <w:num w:numId="40">
    <w:abstractNumId w:val="22"/>
  </w:num>
  <w:num w:numId="41">
    <w:abstractNumId w:val="22"/>
  </w:num>
  <w:num w:numId="42">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0768"/>
    <w:rsid w:val="000024CA"/>
    <w:rsid w:val="00004FE5"/>
    <w:rsid w:val="00005148"/>
    <w:rsid w:val="0000624E"/>
    <w:rsid w:val="00006915"/>
    <w:rsid w:val="00012CA5"/>
    <w:rsid w:val="00014462"/>
    <w:rsid w:val="000145C6"/>
    <w:rsid w:val="0001687F"/>
    <w:rsid w:val="000174F9"/>
    <w:rsid w:val="00023B56"/>
    <w:rsid w:val="000264B4"/>
    <w:rsid w:val="00027841"/>
    <w:rsid w:val="00031AE8"/>
    <w:rsid w:val="00034556"/>
    <w:rsid w:val="00034E73"/>
    <w:rsid w:val="000352C0"/>
    <w:rsid w:val="00036D58"/>
    <w:rsid w:val="00037CBA"/>
    <w:rsid w:val="000411BC"/>
    <w:rsid w:val="00041961"/>
    <w:rsid w:val="00041D3A"/>
    <w:rsid w:val="00041EDE"/>
    <w:rsid w:val="00043671"/>
    <w:rsid w:val="00043C9B"/>
    <w:rsid w:val="00046801"/>
    <w:rsid w:val="000475D4"/>
    <w:rsid w:val="0005543D"/>
    <w:rsid w:val="0005640B"/>
    <w:rsid w:val="000578A2"/>
    <w:rsid w:val="000604EB"/>
    <w:rsid w:val="00060C2C"/>
    <w:rsid w:val="00062C44"/>
    <w:rsid w:val="000649FE"/>
    <w:rsid w:val="00067B0D"/>
    <w:rsid w:val="00067FB7"/>
    <w:rsid w:val="00070C61"/>
    <w:rsid w:val="000717FA"/>
    <w:rsid w:val="000719E3"/>
    <w:rsid w:val="00071E3F"/>
    <w:rsid w:val="000727DB"/>
    <w:rsid w:val="00072A5F"/>
    <w:rsid w:val="00072D7D"/>
    <w:rsid w:val="0007308B"/>
    <w:rsid w:val="00074717"/>
    <w:rsid w:val="000751E8"/>
    <w:rsid w:val="0007571D"/>
    <w:rsid w:val="000765D1"/>
    <w:rsid w:val="00080490"/>
    <w:rsid w:val="00080535"/>
    <w:rsid w:val="000814A2"/>
    <w:rsid w:val="000818FB"/>
    <w:rsid w:val="00082744"/>
    <w:rsid w:val="00082931"/>
    <w:rsid w:val="00084705"/>
    <w:rsid w:val="0008506F"/>
    <w:rsid w:val="000853AD"/>
    <w:rsid w:val="00086824"/>
    <w:rsid w:val="00090FC9"/>
    <w:rsid w:val="00091AE4"/>
    <w:rsid w:val="00092506"/>
    <w:rsid w:val="00092603"/>
    <w:rsid w:val="000951D8"/>
    <w:rsid w:val="0009522B"/>
    <w:rsid w:val="000962DF"/>
    <w:rsid w:val="0009737E"/>
    <w:rsid w:val="00097F4B"/>
    <w:rsid w:val="00097F82"/>
    <w:rsid w:val="000A002B"/>
    <w:rsid w:val="000A3E68"/>
    <w:rsid w:val="000A425A"/>
    <w:rsid w:val="000A46B4"/>
    <w:rsid w:val="000A4776"/>
    <w:rsid w:val="000B14C3"/>
    <w:rsid w:val="000B1C2B"/>
    <w:rsid w:val="000B29ED"/>
    <w:rsid w:val="000B436D"/>
    <w:rsid w:val="000B4933"/>
    <w:rsid w:val="000B4B3B"/>
    <w:rsid w:val="000B7657"/>
    <w:rsid w:val="000B7A71"/>
    <w:rsid w:val="000C092B"/>
    <w:rsid w:val="000C1ABA"/>
    <w:rsid w:val="000C6050"/>
    <w:rsid w:val="000C74B0"/>
    <w:rsid w:val="000D03AE"/>
    <w:rsid w:val="000D1391"/>
    <w:rsid w:val="000D18CD"/>
    <w:rsid w:val="000D4742"/>
    <w:rsid w:val="000D48D6"/>
    <w:rsid w:val="000D497D"/>
    <w:rsid w:val="000D5F38"/>
    <w:rsid w:val="000D6B76"/>
    <w:rsid w:val="000E1951"/>
    <w:rsid w:val="000E2707"/>
    <w:rsid w:val="000E4892"/>
    <w:rsid w:val="000F1155"/>
    <w:rsid w:val="000F1EAD"/>
    <w:rsid w:val="000F1F38"/>
    <w:rsid w:val="000F203C"/>
    <w:rsid w:val="000F5EB0"/>
    <w:rsid w:val="00100646"/>
    <w:rsid w:val="00104C2C"/>
    <w:rsid w:val="00105A35"/>
    <w:rsid w:val="001067B6"/>
    <w:rsid w:val="00111866"/>
    <w:rsid w:val="00112B3F"/>
    <w:rsid w:val="0011337B"/>
    <w:rsid w:val="001156AB"/>
    <w:rsid w:val="001161E5"/>
    <w:rsid w:val="0011687C"/>
    <w:rsid w:val="00116E12"/>
    <w:rsid w:val="001175E1"/>
    <w:rsid w:val="00120299"/>
    <w:rsid w:val="001205FE"/>
    <w:rsid w:val="00121FB4"/>
    <w:rsid w:val="001235F0"/>
    <w:rsid w:val="001236A7"/>
    <w:rsid w:val="0012427E"/>
    <w:rsid w:val="00126C88"/>
    <w:rsid w:val="00127B1B"/>
    <w:rsid w:val="00130659"/>
    <w:rsid w:val="00130B32"/>
    <w:rsid w:val="00135E6C"/>
    <w:rsid w:val="00135F7F"/>
    <w:rsid w:val="00136476"/>
    <w:rsid w:val="00136E59"/>
    <w:rsid w:val="00137CE2"/>
    <w:rsid w:val="00140A01"/>
    <w:rsid w:val="00140ABB"/>
    <w:rsid w:val="00140C6A"/>
    <w:rsid w:val="001426F0"/>
    <w:rsid w:val="00143DA6"/>
    <w:rsid w:val="00145E08"/>
    <w:rsid w:val="00151BD8"/>
    <w:rsid w:val="001532B1"/>
    <w:rsid w:val="00153904"/>
    <w:rsid w:val="00153CE0"/>
    <w:rsid w:val="00153F98"/>
    <w:rsid w:val="00154A5C"/>
    <w:rsid w:val="00156205"/>
    <w:rsid w:val="00157B59"/>
    <w:rsid w:val="00162161"/>
    <w:rsid w:val="00163F9C"/>
    <w:rsid w:val="00164D9B"/>
    <w:rsid w:val="00167B0A"/>
    <w:rsid w:val="001709C5"/>
    <w:rsid w:val="00171471"/>
    <w:rsid w:val="001715BD"/>
    <w:rsid w:val="00172581"/>
    <w:rsid w:val="001740AF"/>
    <w:rsid w:val="001740BB"/>
    <w:rsid w:val="00175D51"/>
    <w:rsid w:val="00177C4A"/>
    <w:rsid w:val="00180026"/>
    <w:rsid w:val="001819AF"/>
    <w:rsid w:val="0018343F"/>
    <w:rsid w:val="00185F76"/>
    <w:rsid w:val="001922CB"/>
    <w:rsid w:val="00192446"/>
    <w:rsid w:val="00193C1D"/>
    <w:rsid w:val="00195B40"/>
    <w:rsid w:val="0019601B"/>
    <w:rsid w:val="00196E93"/>
    <w:rsid w:val="001A29EF"/>
    <w:rsid w:val="001A2F40"/>
    <w:rsid w:val="001A4573"/>
    <w:rsid w:val="001A69BA"/>
    <w:rsid w:val="001A79FB"/>
    <w:rsid w:val="001B048F"/>
    <w:rsid w:val="001B2D0C"/>
    <w:rsid w:val="001B3869"/>
    <w:rsid w:val="001B60D4"/>
    <w:rsid w:val="001C14E2"/>
    <w:rsid w:val="001C3156"/>
    <w:rsid w:val="001C3B35"/>
    <w:rsid w:val="001C42B3"/>
    <w:rsid w:val="001D1CEF"/>
    <w:rsid w:val="001D584E"/>
    <w:rsid w:val="001D5A8F"/>
    <w:rsid w:val="001E10E3"/>
    <w:rsid w:val="001E135C"/>
    <w:rsid w:val="001E1906"/>
    <w:rsid w:val="001E202B"/>
    <w:rsid w:val="001E24AE"/>
    <w:rsid w:val="001E3174"/>
    <w:rsid w:val="001E401B"/>
    <w:rsid w:val="001E5B66"/>
    <w:rsid w:val="001F2B76"/>
    <w:rsid w:val="001F570A"/>
    <w:rsid w:val="001F5AA4"/>
    <w:rsid w:val="001F7EE0"/>
    <w:rsid w:val="002017C4"/>
    <w:rsid w:val="002027D3"/>
    <w:rsid w:val="002037C2"/>
    <w:rsid w:val="002062DC"/>
    <w:rsid w:val="00206CE6"/>
    <w:rsid w:val="0021002E"/>
    <w:rsid w:val="0021103C"/>
    <w:rsid w:val="00212D11"/>
    <w:rsid w:val="0021315C"/>
    <w:rsid w:val="0021358A"/>
    <w:rsid w:val="002146E2"/>
    <w:rsid w:val="00214862"/>
    <w:rsid w:val="0021488E"/>
    <w:rsid w:val="00215429"/>
    <w:rsid w:val="00215B84"/>
    <w:rsid w:val="00215D1C"/>
    <w:rsid w:val="00215F25"/>
    <w:rsid w:val="00216277"/>
    <w:rsid w:val="00223173"/>
    <w:rsid w:val="00225854"/>
    <w:rsid w:val="00225C1A"/>
    <w:rsid w:val="00226191"/>
    <w:rsid w:val="0022665A"/>
    <w:rsid w:val="00234291"/>
    <w:rsid w:val="0023549E"/>
    <w:rsid w:val="00236820"/>
    <w:rsid w:val="00236D2C"/>
    <w:rsid w:val="00237137"/>
    <w:rsid w:val="00240740"/>
    <w:rsid w:val="00246222"/>
    <w:rsid w:val="00250EDF"/>
    <w:rsid w:val="002523B2"/>
    <w:rsid w:val="00252799"/>
    <w:rsid w:val="00256431"/>
    <w:rsid w:val="00256763"/>
    <w:rsid w:val="00256904"/>
    <w:rsid w:val="00256B42"/>
    <w:rsid w:val="00261538"/>
    <w:rsid w:val="00264450"/>
    <w:rsid w:val="002659F3"/>
    <w:rsid w:val="00265FC9"/>
    <w:rsid w:val="00270CD1"/>
    <w:rsid w:val="002710C5"/>
    <w:rsid w:val="002718D7"/>
    <w:rsid w:val="00275DAC"/>
    <w:rsid w:val="002800BF"/>
    <w:rsid w:val="00283E59"/>
    <w:rsid w:val="00287564"/>
    <w:rsid w:val="00287B03"/>
    <w:rsid w:val="00291D82"/>
    <w:rsid w:val="00293ACC"/>
    <w:rsid w:val="002966A1"/>
    <w:rsid w:val="00296A55"/>
    <w:rsid w:val="00297424"/>
    <w:rsid w:val="002A1963"/>
    <w:rsid w:val="002A1F48"/>
    <w:rsid w:val="002A3239"/>
    <w:rsid w:val="002A65EF"/>
    <w:rsid w:val="002B13BA"/>
    <w:rsid w:val="002B17E2"/>
    <w:rsid w:val="002B37C9"/>
    <w:rsid w:val="002B479B"/>
    <w:rsid w:val="002B6B03"/>
    <w:rsid w:val="002B7493"/>
    <w:rsid w:val="002C079C"/>
    <w:rsid w:val="002C0FE2"/>
    <w:rsid w:val="002C12AD"/>
    <w:rsid w:val="002C2A79"/>
    <w:rsid w:val="002C350F"/>
    <w:rsid w:val="002C42B9"/>
    <w:rsid w:val="002C6570"/>
    <w:rsid w:val="002C66A2"/>
    <w:rsid w:val="002C70F7"/>
    <w:rsid w:val="002D2163"/>
    <w:rsid w:val="002D3A88"/>
    <w:rsid w:val="002D4CD9"/>
    <w:rsid w:val="002D6A81"/>
    <w:rsid w:val="002D74C4"/>
    <w:rsid w:val="002E046E"/>
    <w:rsid w:val="002E1671"/>
    <w:rsid w:val="002E3856"/>
    <w:rsid w:val="002E43B6"/>
    <w:rsid w:val="002E6027"/>
    <w:rsid w:val="002F23D1"/>
    <w:rsid w:val="002F2ACB"/>
    <w:rsid w:val="002F3419"/>
    <w:rsid w:val="002F375B"/>
    <w:rsid w:val="00302A8A"/>
    <w:rsid w:val="003034C0"/>
    <w:rsid w:val="0030535C"/>
    <w:rsid w:val="00305794"/>
    <w:rsid w:val="00306C34"/>
    <w:rsid w:val="00306C50"/>
    <w:rsid w:val="003110E4"/>
    <w:rsid w:val="00312ED2"/>
    <w:rsid w:val="00314869"/>
    <w:rsid w:val="003163CF"/>
    <w:rsid w:val="00317F09"/>
    <w:rsid w:val="00317F0D"/>
    <w:rsid w:val="0032053D"/>
    <w:rsid w:val="00320E07"/>
    <w:rsid w:val="0032244D"/>
    <w:rsid w:val="00325463"/>
    <w:rsid w:val="00331B47"/>
    <w:rsid w:val="00331D4E"/>
    <w:rsid w:val="00332312"/>
    <w:rsid w:val="00332ECF"/>
    <w:rsid w:val="003330E9"/>
    <w:rsid w:val="003343CA"/>
    <w:rsid w:val="00335814"/>
    <w:rsid w:val="003365A8"/>
    <w:rsid w:val="003368A3"/>
    <w:rsid w:val="003368E2"/>
    <w:rsid w:val="003400E9"/>
    <w:rsid w:val="00340246"/>
    <w:rsid w:val="00341916"/>
    <w:rsid w:val="003433A9"/>
    <w:rsid w:val="00344871"/>
    <w:rsid w:val="00344C0B"/>
    <w:rsid w:val="00345F40"/>
    <w:rsid w:val="00346DCB"/>
    <w:rsid w:val="003472A7"/>
    <w:rsid w:val="00347397"/>
    <w:rsid w:val="003502E0"/>
    <w:rsid w:val="00350478"/>
    <w:rsid w:val="00353A74"/>
    <w:rsid w:val="00353BAA"/>
    <w:rsid w:val="00353E9D"/>
    <w:rsid w:val="00354AE0"/>
    <w:rsid w:val="00354BA1"/>
    <w:rsid w:val="003563C1"/>
    <w:rsid w:val="00361300"/>
    <w:rsid w:val="00361B43"/>
    <w:rsid w:val="003623B1"/>
    <w:rsid w:val="00362AFA"/>
    <w:rsid w:val="003644DB"/>
    <w:rsid w:val="00367F07"/>
    <w:rsid w:val="0037232B"/>
    <w:rsid w:val="003737C0"/>
    <w:rsid w:val="00374069"/>
    <w:rsid w:val="00377954"/>
    <w:rsid w:val="0038136A"/>
    <w:rsid w:val="00387141"/>
    <w:rsid w:val="00390E69"/>
    <w:rsid w:val="003918B8"/>
    <w:rsid w:val="00393C65"/>
    <w:rsid w:val="00394B51"/>
    <w:rsid w:val="00394DA1"/>
    <w:rsid w:val="0039768C"/>
    <w:rsid w:val="003A07BF"/>
    <w:rsid w:val="003A1412"/>
    <w:rsid w:val="003A1EB9"/>
    <w:rsid w:val="003A341A"/>
    <w:rsid w:val="003A4346"/>
    <w:rsid w:val="003A4767"/>
    <w:rsid w:val="003A5530"/>
    <w:rsid w:val="003A5869"/>
    <w:rsid w:val="003A6F0A"/>
    <w:rsid w:val="003A7EBD"/>
    <w:rsid w:val="003B14CC"/>
    <w:rsid w:val="003B4544"/>
    <w:rsid w:val="003B5341"/>
    <w:rsid w:val="003B5EF6"/>
    <w:rsid w:val="003B6421"/>
    <w:rsid w:val="003B6F75"/>
    <w:rsid w:val="003C0BCF"/>
    <w:rsid w:val="003C3013"/>
    <w:rsid w:val="003C5E8C"/>
    <w:rsid w:val="003C5EF1"/>
    <w:rsid w:val="003C6559"/>
    <w:rsid w:val="003C7211"/>
    <w:rsid w:val="003C744D"/>
    <w:rsid w:val="003D5B63"/>
    <w:rsid w:val="003D5BD6"/>
    <w:rsid w:val="003E36EC"/>
    <w:rsid w:val="003E4BA1"/>
    <w:rsid w:val="003E5AAA"/>
    <w:rsid w:val="003E5CB1"/>
    <w:rsid w:val="003E6724"/>
    <w:rsid w:val="003E7003"/>
    <w:rsid w:val="003E720E"/>
    <w:rsid w:val="003E7421"/>
    <w:rsid w:val="003E7992"/>
    <w:rsid w:val="003F2F66"/>
    <w:rsid w:val="003F502D"/>
    <w:rsid w:val="003F787D"/>
    <w:rsid w:val="004016AD"/>
    <w:rsid w:val="00403291"/>
    <w:rsid w:val="00403B86"/>
    <w:rsid w:val="0040410A"/>
    <w:rsid w:val="00405796"/>
    <w:rsid w:val="0041472F"/>
    <w:rsid w:val="0041491A"/>
    <w:rsid w:val="0041676B"/>
    <w:rsid w:val="00416F51"/>
    <w:rsid w:val="00417933"/>
    <w:rsid w:val="004200CE"/>
    <w:rsid w:val="0042056B"/>
    <w:rsid w:val="0042240C"/>
    <w:rsid w:val="004268C7"/>
    <w:rsid w:val="0042695A"/>
    <w:rsid w:val="00426BC0"/>
    <w:rsid w:val="00431572"/>
    <w:rsid w:val="004323CF"/>
    <w:rsid w:val="00435B05"/>
    <w:rsid w:val="00436A9E"/>
    <w:rsid w:val="00441CED"/>
    <w:rsid w:val="004438E9"/>
    <w:rsid w:val="00443921"/>
    <w:rsid w:val="0044510A"/>
    <w:rsid w:val="004466CA"/>
    <w:rsid w:val="00446AB0"/>
    <w:rsid w:val="00451E15"/>
    <w:rsid w:val="00452C14"/>
    <w:rsid w:val="00454EFD"/>
    <w:rsid w:val="004562C0"/>
    <w:rsid w:val="00457AE7"/>
    <w:rsid w:val="00457B6C"/>
    <w:rsid w:val="00461B46"/>
    <w:rsid w:val="00462CCC"/>
    <w:rsid w:val="00465A2F"/>
    <w:rsid w:val="00466CC6"/>
    <w:rsid w:val="004705E1"/>
    <w:rsid w:val="00471289"/>
    <w:rsid w:val="00471705"/>
    <w:rsid w:val="004736A1"/>
    <w:rsid w:val="004754D9"/>
    <w:rsid w:val="00476743"/>
    <w:rsid w:val="0048180C"/>
    <w:rsid w:val="00482912"/>
    <w:rsid w:val="004876D5"/>
    <w:rsid w:val="00490DBC"/>
    <w:rsid w:val="00493B4A"/>
    <w:rsid w:val="00493B9B"/>
    <w:rsid w:val="00493EB0"/>
    <w:rsid w:val="00494346"/>
    <w:rsid w:val="00494DA2"/>
    <w:rsid w:val="00495D13"/>
    <w:rsid w:val="004A2B03"/>
    <w:rsid w:val="004A3DD5"/>
    <w:rsid w:val="004A60E8"/>
    <w:rsid w:val="004B029E"/>
    <w:rsid w:val="004B5304"/>
    <w:rsid w:val="004C0831"/>
    <w:rsid w:val="004C1903"/>
    <w:rsid w:val="004C3EDB"/>
    <w:rsid w:val="004C4957"/>
    <w:rsid w:val="004C7C5C"/>
    <w:rsid w:val="004D0639"/>
    <w:rsid w:val="004D3EEF"/>
    <w:rsid w:val="004E218D"/>
    <w:rsid w:val="004E326C"/>
    <w:rsid w:val="004E4FD9"/>
    <w:rsid w:val="004E5D01"/>
    <w:rsid w:val="004E6EE5"/>
    <w:rsid w:val="004F0990"/>
    <w:rsid w:val="004F187C"/>
    <w:rsid w:val="004F1D43"/>
    <w:rsid w:val="004F66E9"/>
    <w:rsid w:val="005035AB"/>
    <w:rsid w:val="00505616"/>
    <w:rsid w:val="00506D4C"/>
    <w:rsid w:val="00510D10"/>
    <w:rsid w:val="005117B1"/>
    <w:rsid w:val="0051199D"/>
    <w:rsid w:val="00512A5C"/>
    <w:rsid w:val="00514466"/>
    <w:rsid w:val="0051478D"/>
    <w:rsid w:val="00514B5F"/>
    <w:rsid w:val="005150A8"/>
    <w:rsid w:val="00517579"/>
    <w:rsid w:val="0052001A"/>
    <w:rsid w:val="00521043"/>
    <w:rsid w:val="005214C9"/>
    <w:rsid w:val="00522727"/>
    <w:rsid w:val="00524A5A"/>
    <w:rsid w:val="00526086"/>
    <w:rsid w:val="00526174"/>
    <w:rsid w:val="00526BD6"/>
    <w:rsid w:val="0052737A"/>
    <w:rsid w:val="00527656"/>
    <w:rsid w:val="00535D18"/>
    <w:rsid w:val="0053754D"/>
    <w:rsid w:val="00537EE6"/>
    <w:rsid w:val="005414AB"/>
    <w:rsid w:val="005415C8"/>
    <w:rsid w:val="0054220C"/>
    <w:rsid w:val="005440C1"/>
    <w:rsid w:val="00545EF8"/>
    <w:rsid w:val="00546764"/>
    <w:rsid w:val="00547654"/>
    <w:rsid w:val="00552923"/>
    <w:rsid w:val="00553717"/>
    <w:rsid w:val="00553AA9"/>
    <w:rsid w:val="00556449"/>
    <w:rsid w:val="0055677C"/>
    <w:rsid w:val="00557BF1"/>
    <w:rsid w:val="00560703"/>
    <w:rsid w:val="00564C42"/>
    <w:rsid w:val="00565160"/>
    <w:rsid w:val="0056704D"/>
    <w:rsid w:val="00567C95"/>
    <w:rsid w:val="00567D8D"/>
    <w:rsid w:val="0057063D"/>
    <w:rsid w:val="005707A0"/>
    <w:rsid w:val="0057106C"/>
    <w:rsid w:val="0057107F"/>
    <w:rsid w:val="00573DA6"/>
    <w:rsid w:val="005777CF"/>
    <w:rsid w:val="00582C24"/>
    <w:rsid w:val="00584EAE"/>
    <w:rsid w:val="00585C79"/>
    <w:rsid w:val="00596645"/>
    <w:rsid w:val="0059732E"/>
    <w:rsid w:val="005A5412"/>
    <w:rsid w:val="005A5615"/>
    <w:rsid w:val="005A72DD"/>
    <w:rsid w:val="005B3158"/>
    <w:rsid w:val="005B402E"/>
    <w:rsid w:val="005B4196"/>
    <w:rsid w:val="005B4CEA"/>
    <w:rsid w:val="005B6757"/>
    <w:rsid w:val="005B67ED"/>
    <w:rsid w:val="005B7E05"/>
    <w:rsid w:val="005C2A5A"/>
    <w:rsid w:val="005C30D4"/>
    <w:rsid w:val="005C488E"/>
    <w:rsid w:val="005D250F"/>
    <w:rsid w:val="005D364B"/>
    <w:rsid w:val="005D4F7D"/>
    <w:rsid w:val="005D77A6"/>
    <w:rsid w:val="005E3D9F"/>
    <w:rsid w:val="005E612F"/>
    <w:rsid w:val="005E6AFE"/>
    <w:rsid w:val="005F6FE0"/>
    <w:rsid w:val="006020E8"/>
    <w:rsid w:val="00603106"/>
    <w:rsid w:val="006057C0"/>
    <w:rsid w:val="00610873"/>
    <w:rsid w:val="00612375"/>
    <w:rsid w:val="00613DF4"/>
    <w:rsid w:val="00614BBE"/>
    <w:rsid w:val="00615726"/>
    <w:rsid w:val="006168A4"/>
    <w:rsid w:val="00617286"/>
    <w:rsid w:val="00622396"/>
    <w:rsid w:val="00624EEA"/>
    <w:rsid w:val="0063026F"/>
    <w:rsid w:val="0063038A"/>
    <w:rsid w:val="006318F7"/>
    <w:rsid w:val="00631B0D"/>
    <w:rsid w:val="00631D7C"/>
    <w:rsid w:val="00633963"/>
    <w:rsid w:val="00634F84"/>
    <w:rsid w:val="0063734B"/>
    <w:rsid w:val="00637D3F"/>
    <w:rsid w:val="00640EAA"/>
    <w:rsid w:val="00644983"/>
    <w:rsid w:val="0064498D"/>
    <w:rsid w:val="006472F4"/>
    <w:rsid w:val="00650C92"/>
    <w:rsid w:val="006522DC"/>
    <w:rsid w:val="00653DFB"/>
    <w:rsid w:val="00654BBF"/>
    <w:rsid w:val="006557D7"/>
    <w:rsid w:val="00655845"/>
    <w:rsid w:val="00655B5D"/>
    <w:rsid w:val="00655D1B"/>
    <w:rsid w:val="0065677C"/>
    <w:rsid w:val="00657963"/>
    <w:rsid w:val="006606A3"/>
    <w:rsid w:val="0066179B"/>
    <w:rsid w:val="00661DE5"/>
    <w:rsid w:val="00662DA5"/>
    <w:rsid w:val="006650FD"/>
    <w:rsid w:val="00665162"/>
    <w:rsid w:val="0066537F"/>
    <w:rsid w:val="006661EB"/>
    <w:rsid w:val="00671666"/>
    <w:rsid w:val="0067184C"/>
    <w:rsid w:val="00672014"/>
    <w:rsid w:val="006733A8"/>
    <w:rsid w:val="00673674"/>
    <w:rsid w:val="00674B18"/>
    <w:rsid w:val="00681EE9"/>
    <w:rsid w:val="00683E53"/>
    <w:rsid w:val="00684B62"/>
    <w:rsid w:val="00685F2C"/>
    <w:rsid w:val="00686968"/>
    <w:rsid w:val="00686DE5"/>
    <w:rsid w:val="0068736A"/>
    <w:rsid w:val="006877E7"/>
    <w:rsid w:val="006908E6"/>
    <w:rsid w:val="00691F6C"/>
    <w:rsid w:val="00693530"/>
    <w:rsid w:val="0069586A"/>
    <w:rsid w:val="006A0976"/>
    <w:rsid w:val="006A3429"/>
    <w:rsid w:val="006A6FD0"/>
    <w:rsid w:val="006B080E"/>
    <w:rsid w:val="006B464B"/>
    <w:rsid w:val="006B481A"/>
    <w:rsid w:val="006B4985"/>
    <w:rsid w:val="006B683C"/>
    <w:rsid w:val="006B685D"/>
    <w:rsid w:val="006B70BE"/>
    <w:rsid w:val="006B7204"/>
    <w:rsid w:val="006B73E8"/>
    <w:rsid w:val="006C0109"/>
    <w:rsid w:val="006C20E0"/>
    <w:rsid w:val="006C67D9"/>
    <w:rsid w:val="006D2212"/>
    <w:rsid w:val="006D3524"/>
    <w:rsid w:val="006D550A"/>
    <w:rsid w:val="006D7FF3"/>
    <w:rsid w:val="006E37C9"/>
    <w:rsid w:val="006E3B0D"/>
    <w:rsid w:val="006E4521"/>
    <w:rsid w:val="006E51E0"/>
    <w:rsid w:val="006E6868"/>
    <w:rsid w:val="006E728E"/>
    <w:rsid w:val="006E78CE"/>
    <w:rsid w:val="006F1F13"/>
    <w:rsid w:val="007023D3"/>
    <w:rsid w:val="00704843"/>
    <w:rsid w:val="00706065"/>
    <w:rsid w:val="00706084"/>
    <w:rsid w:val="00710F66"/>
    <w:rsid w:val="00711232"/>
    <w:rsid w:val="007112FE"/>
    <w:rsid w:val="007115F7"/>
    <w:rsid w:val="00713B37"/>
    <w:rsid w:val="00714FD7"/>
    <w:rsid w:val="00715666"/>
    <w:rsid w:val="0071634D"/>
    <w:rsid w:val="0071714A"/>
    <w:rsid w:val="007171A3"/>
    <w:rsid w:val="00720733"/>
    <w:rsid w:val="0072250E"/>
    <w:rsid w:val="007230BE"/>
    <w:rsid w:val="00723CF2"/>
    <w:rsid w:val="00726A2F"/>
    <w:rsid w:val="0072776E"/>
    <w:rsid w:val="00731211"/>
    <w:rsid w:val="007325C3"/>
    <w:rsid w:val="0073326F"/>
    <w:rsid w:val="00734135"/>
    <w:rsid w:val="007358CE"/>
    <w:rsid w:val="00742D7D"/>
    <w:rsid w:val="00743531"/>
    <w:rsid w:val="00743885"/>
    <w:rsid w:val="00743CDB"/>
    <w:rsid w:val="00745AB4"/>
    <w:rsid w:val="007470E1"/>
    <w:rsid w:val="007479D6"/>
    <w:rsid w:val="00750AE6"/>
    <w:rsid w:val="00752D0E"/>
    <w:rsid w:val="00753CC6"/>
    <w:rsid w:val="0075485E"/>
    <w:rsid w:val="00755564"/>
    <w:rsid w:val="00755EFF"/>
    <w:rsid w:val="00755F3F"/>
    <w:rsid w:val="00756B79"/>
    <w:rsid w:val="00757E63"/>
    <w:rsid w:val="007625C0"/>
    <w:rsid w:val="00765619"/>
    <w:rsid w:val="00765BED"/>
    <w:rsid w:val="0077103F"/>
    <w:rsid w:val="0077291E"/>
    <w:rsid w:val="00775725"/>
    <w:rsid w:val="00777FD8"/>
    <w:rsid w:val="00781BFC"/>
    <w:rsid w:val="00782257"/>
    <w:rsid w:val="00783045"/>
    <w:rsid w:val="00784579"/>
    <w:rsid w:val="00785772"/>
    <w:rsid w:val="0078649E"/>
    <w:rsid w:val="00787DBC"/>
    <w:rsid w:val="00790B4B"/>
    <w:rsid w:val="00791577"/>
    <w:rsid w:val="00792AD9"/>
    <w:rsid w:val="007A1D03"/>
    <w:rsid w:val="007A2AF2"/>
    <w:rsid w:val="007A400F"/>
    <w:rsid w:val="007A414A"/>
    <w:rsid w:val="007A510A"/>
    <w:rsid w:val="007A6E47"/>
    <w:rsid w:val="007A7113"/>
    <w:rsid w:val="007A7D89"/>
    <w:rsid w:val="007B0B4A"/>
    <w:rsid w:val="007B1239"/>
    <w:rsid w:val="007B1B20"/>
    <w:rsid w:val="007B2282"/>
    <w:rsid w:val="007B25BE"/>
    <w:rsid w:val="007B5955"/>
    <w:rsid w:val="007B60DE"/>
    <w:rsid w:val="007B63EF"/>
    <w:rsid w:val="007C057E"/>
    <w:rsid w:val="007C18B2"/>
    <w:rsid w:val="007C197B"/>
    <w:rsid w:val="007C3802"/>
    <w:rsid w:val="007C3FB4"/>
    <w:rsid w:val="007C416C"/>
    <w:rsid w:val="007C487A"/>
    <w:rsid w:val="007C5D56"/>
    <w:rsid w:val="007C676A"/>
    <w:rsid w:val="007D13FC"/>
    <w:rsid w:val="007D1E92"/>
    <w:rsid w:val="007D1F18"/>
    <w:rsid w:val="007D2786"/>
    <w:rsid w:val="007D53BD"/>
    <w:rsid w:val="007D5BA0"/>
    <w:rsid w:val="007D7B06"/>
    <w:rsid w:val="007E10B6"/>
    <w:rsid w:val="007E39BB"/>
    <w:rsid w:val="007E7E2E"/>
    <w:rsid w:val="007F26E5"/>
    <w:rsid w:val="007F29BF"/>
    <w:rsid w:val="007F3C22"/>
    <w:rsid w:val="0080144D"/>
    <w:rsid w:val="008015A6"/>
    <w:rsid w:val="0080200D"/>
    <w:rsid w:val="00804316"/>
    <w:rsid w:val="00804AA7"/>
    <w:rsid w:val="00806AEF"/>
    <w:rsid w:val="00810253"/>
    <w:rsid w:val="00813F43"/>
    <w:rsid w:val="00816788"/>
    <w:rsid w:val="00817123"/>
    <w:rsid w:val="008206DF"/>
    <w:rsid w:val="008218CC"/>
    <w:rsid w:val="00823395"/>
    <w:rsid w:val="008251D0"/>
    <w:rsid w:val="00830D60"/>
    <w:rsid w:val="00836DF6"/>
    <w:rsid w:val="00840103"/>
    <w:rsid w:val="008469B5"/>
    <w:rsid w:val="00854197"/>
    <w:rsid w:val="0085755F"/>
    <w:rsid w:val="008579A2"/>
    <w:rsid w:val="00862B6D"/>
    <w:rsid w:val="00862E26"/>
    <w:rsid w:val="008635E6"/>
    <w:rsid w:val="008635E7"/>
    <w:rsid w:val="00865531"/>
    <w:rsid w:val="008666BC"/>
    <w:rsid w:val="00866D8F"/>
    <w:rsid w:val="00867A33"/>
    <w:rsid w:val="008731D2"/>
    <w:rsid w:val="008742A5"/>
    <w:rsid w:val="00874CFC"/>
    <w:rsid w:val="008756E6"/>
    <w:rsid w:val="00876FA4"/>
    <w:rsid w:val="00890DC3"/>
    <w:rsid w:val="00893627"/>
    <w:rsid w:val="00894233"/>
    <w:rsid w:val="008951C1"/>
    <w:rsid w:val="008A0636"/>
    <w:rsid w:val="008A0B16"/>
    <w:rsid w:val="008A1A2C"/>
    <w:rsid w:val="008A1E81"/>
    <w:rsid w:val="008A3602"/>
    <w:rsid w:val="008A759A"/>
    <w:rsid w:val="008A7E4B"/>
    <w:rsid w:val="008B1964"/>
    <w:rsid w:val="008B25EE"/>
    <w:rsid w:val="008B2AB9"/>
    <w:rsid w:val="008B7E7C"/>
    <w:rsid w:val="008C2DA4"/>
    <w:rsid w:val="008C66D4"/>
    <w:rsid w:val="008C6706"/>
    <w:rsid w:val="008D1BE7"/>
    <w:rsid w:val="008D30E7"/>
    <w:rsid w:val="008D6AFE"/>
    <w:rsid w:val="008D7157"/>
    <w:rsid w:val="008E0D87"/>
    <w:rsid w:val="008E20C2"/>
    <w:rsid w:val="008E323B"/>
    <w:rsid w:val="008E3D57"/>
    <w:rsid w:val="008E4411"/>
    <w:rsid w:val="008E4E13"/>
    <w:rsid w:val="008F02D7"/>
    <w:rsid w:val="008F0F79"/>
    <w:rsid w:val="008F22D2"/>
    <w:rsid w:val="008F2B3D"/>
    <w:rsid w:val="008F345D"/>
    <w:rsid w:val="008F5BE9"/>
    <w:rsid w:val="008F75BD"/>
    <w:rsid w:val="008F7FFA"/>
    <w:rsid w:val="00901145"/>
    <w:rsid w:val="009012DC"/>
    <w:rsid w:val="00901EA9"/>
    <w:rsid w:val="00902D79"/>
    <w:rsid w:val="009035FF"/>
    <w:rsid w:val="00904D8F"/>
    <w:rsid w:val="009053C9"/>
    <w:rsid w:val="00910008"/>
    <w:rsid w:val="0091234F"/>
    <w:rsid w:val="00913674"/>
    <w:rsid w:val="00913D43"/>
    <w:rsid w:val="00914F36"/>
    <w:rsid w:val="009150E9"/>
    <w:rsid w:val="00916A3A"/>
    <w:rsid w:val="00916E94"/>
    <w:rsid w:val="00920FB9"/>
    <w:rsid w:val="00921A2F"/>
    <w:rsid w:val="00922692"/>
    <w:rsid w:val="00922BC7"/>
    <w:rsid w:val="00924198"/>
    <w:rsid w:val="009244F0"/>
    <w:rsid w:val="00925E7D"/>
    <w:rsid w:val="00932FF9"/>
    <w:rsid w:val="00935232"/>
    <w:rsid w:val="0093638C"/>
    <w:rsid w:val="0093709D"/>
    <w:rsid w:val="00937758"/>
    <w:rsid w:val="0093782D"/>
    <w:rsid w:val="00937A4E"/>
    <w:rsid w:val="00946B85"/>
    <w:rsid w:val="0095552E"/>
    <w:rsid w:val="00955661"/>
    <w:rsid w:val="009558C2"/>
    <w:rsid w:val="00957805"/>
    <w:rsid w:val="00957948"/>
    <w:rsid w:val="00965CE6"/>
    <w:rsid w:val="00966093"/>
    <w:rsid w:val="009708B5"/>
    <w:rsid w:val="0097139C"/>
    <w:rsid w:val="009714F0"/>
    <w:rsid w:val="00974A8A"/>
    <w:rsid w:val="0097633D"/>
    <w:rsid w:val="00977906"/>
    <w:rsid w:val="009802B9"/>
    <w:rsid w:val="00980476"/>
    <w:rsid w:val="00980AA0"/>
    <w:rsid w:val="00980C98"/>
    <w:rsid w:val="009812BC"/>
    <w:rsid w:val="00981A39"/>
    <w:rsid w:val="009847FB"/>
    <w:rsid w:val="00985084"/>
    <w:rsid w:val="00986A45"/>
    <w:rsid w:val="0098700B"/>
    <w:rsid w:val="00987756"/>
    <w:rsid w:val="00990196"/>
    <w:rsid w:val="00992A29"/>
    <w:rsid w:val="00994033"/>
    <w:rsid w:val="00994260"/>
    <w:rsid w:val="009A09C6"/>
    <w:rsid w:val="009A21CB"/>
    <w:rsid w:val="009A2403"/>
    <w:rsid w:val="009A323D"/>
    <w:rsid w:val="009A34F7"/>
    <w:rsid w:val="009A3AE5"/>
    <w:rsid w:val="009A4C09"/>
    <w:rsid w:val="009A5554"/>
    <w:rsid w:val="009A595A"/>
    <w:rsid w:val="009B0223"/>
    <w:rsid w:val="009B0A49"/>
    <w:rsid w:val="009B1061"/>
    <w:rsid w:val="009B2C59"/>
    <w:rsid w:val="009B3E58"/>
    <w:rsid w:val="009B5289"/>
    <w:rsid w:val="009B6F4E"/>
    <w:rsid w:val="009B6F55"/>
    <w:rsid w:val="009C2411"/>
    <w:rsid w:val="009C3321"/>
    <w:rsid w:val="009C3CDC"/>
    <w:rsid w:val="009C46AB"/>
    <w:rsid w:val="009C4890"/>
    <w:rsid w:val="009C57F4"/>
    <w:rsid w:val="009C6AD9"/>
    <w:rsid w:val="009D0C63"/>
    <w:rsid w:val="009D17B9"/>
    <w:rsid w:val="009D1907"/>
    <w:rsid w:val="009D23CB"/>
    <w:rsid w:val="009D30C2"/>
    <w:rsid w:val="009D3BB9"/>
    <w:rsid w:val="009D4B3E"/>
    <w:rsid w:val="009D5355"/>
    <w:rsid w:val="009D7681"/>
    <w:rsid w:val="009E096B"/>
    <w:rsid w:val="009E3F25"/>
    <w:rsid w:val="009E44EE"/>
    <w:rsid w:val="009E708F"/>
    <w:rsid w:val="009F24FC"/>
    <w:rsid w:val="009F4322"/>
    <w:rsid w:val="009F557F"/>
    <w:rsid w:val="00A002F4"/>
    <w:rsid w:val="00A00AE0"/>
    <w:rsid w:val="00A01D1A"/>
    <w:rsid w:val="00A020A9"/>
    <w:rsid w:val="00A02148"/>
    <w:rsid w:val="00A0422F"/>
    <w:rsid w:val="00A047AF"/>
    <w:rsid w:val="00A049D8"/>
    <w:rsid w:val="00A0567A"/>
    <w:rsid w:val="00A068A8"/>
    <w:rsid w:val="00A07289"/>
    <w:rsid w:val="00A10460"/>
    <w:rsid w:val="00A11D30"/>
    <w:rsid w:val="00A14DFE"/>
    <w:rsid w:val="00A14E35"/>
    <w:rsid w:val="00A153C3"/>
    <w:rsid w:val="00A158A2"/>
    <w:rsid w:val="00A174D4"/>
    <w:rsid w:val="00A17E01"/>
    <w:rsid w:val="00A20325"/>
    <w:rsid w:val="00A204BA"/>
    <w:rsid w:val="00A20570"/>
    <w:rsid w:val="00A223C9"/>
    <w:rsid w:val="00A230E1"/>
    <w:rsid w:val="00A24324"/>
    <w:rsid w:val="00A24336"/>
    <w:rsid w:val="00A24CD1"/>
    <w:rsid w:val="00A26C54"/>
    <w:rsid w:val="00A32859"/>
    <w:rsid w:val="00A34096"/>
    <w:rsid w:val="00A3796D"/>
    <w:rsid w:val="00A40637"/>
    <w:rsid w:val="00A41565"/>
    <w:rsid w:val="00A42341"/>
    <w:rsid w:val="00A45420"/>
    <w:rsid w:val="00A45E90"/>
    <w:rsid w:val="00A47DE3"/>
    <w:rsid w:val="00A52CEE"/>
    <w:rsid w:val="00A547A0"/>
    <w:rsid w:val="00A60BEE"/>
    <w:rsid w:val="00A67221"/>
    <w:rsid w:val="00A7079E"/>
    <w:rsid w:val="00A727A7"/>
    <w:rsid w:val="00A76356"/>
    <w:rsid w:val="00A76611"/>
    <w:rsid w:val="00A808B1"/>
    <w:rsid w:val="00A8102E"/>
    <w:rsid w:val="00A823D7"/>
    <w:rsid w:val="00A8332D"/>
    <w:rsid w:val="00A8461B"/>
    <w:rsid w:val="00A90B52"/>
    <w:rsid w:val="00A94073"/>
    <w:rsid w:val="00A95983"/>
    <w:rsid w:val="00A965E2"/>
    <w:rsid w:val="00A96B7C"/>
    <w:rsid w:val="00A979AA"/>
    <w:rsid w:val="00AA19E7"/>
    <w:rsid w:val="00AA1C42"/>
    <w:rsid w:val="00AA2670"/>
    <w:rsid w:val="00AA29E6"/>
    <w:rsid w:val="00AA2EB9"/>
    <w:rsid w:val="00AA2FEA"/>
    <w:rsid w:val="00AA614F"/>
    <w:rsid w:val="00AA7E17"/>
    <w:rsid w:val="00AB2A27"/>
    <w:rsid w:val="00AB2A81"/>
    <w:rsid w:val="00AB3FF0"/>
    <w:rsid w:val="00AB64C3"/>
    <w:rsid w:val="00AC08EF"/>
    <w:rsid w:val="00AC0A30"/>
    <w:rsid w:val="00AC1491"/>
    <w:rsid w:val="00AC3601"/>
    <w:rsid w:val="00AC6009"/>
    <w:rsid w:val="00AC6048"/>
    <w:rsid w:val="00AC7682"/>
    <w:rsid w:val="00AC7905"/>
    <w:rsid w:val="00AC7F5C"/>
    <w:rsid w:val="00AD35D3"/>
    <w:rsid w:val="00AD4673"/>
    <w:rsid w:val="00AD525D"/>
    <w:rsid w:val="00AD77A2"/>
    <w:rsid w:val="00AE1BCE"/>
    <w:rsid w:val="00AE2651"/>
    <w:rsid w:val="00AE2AE1"/>
    <w:rsid w:val="00AE2CF2"/>
    <w:rsid w:val="00AE2F65"/>
    <w:rsid w:val="00AE4E71"/>
    <w:rsid w:val="00AE5183"/>
    <w:rsid w:val="00AE6CDF"/>
    <w:rsid w:val="00AE751A"/>
    <w:rsid w:val="00AE7E55"/>
    <w:rsid w:val="00AF2223"/>
    <w:rsid w:val="00AF2483"/>
    <w:rsid w:val="00AF6122"/>
    <w:rsid w:val="00AF79A5"/>
    <w:rsid w:val="00B0093E"/>
    <w:rsid w:val="00B0140F"/>
    <w:rsid w:val="00B02296"/>
    <w:rsid w:val="00B02AFF"/>
    <w:rsid w:val="00B03A3A"/>
    <w:rsid w:val="00B046DF"/>
    <w:rsid w:val="00B0601B"/>
    <w:rsid w:val="00B06CA0"/>
    <w:rsid w:val="00B074CA"/>
    <w:rsid w:val="00B102D9"/>
    <w:rsid w:val="00B106C6"/>
    <w:rsid w:val="00B13BCE"/>
    <w:rsid w:val="00B1643A"/>
    <w:rsid w:val="00B17C46"/>
    <w:rsid w:val="00B20811"/>
    <w:rsid w:val="00B208D1"/>
    <w:rsid w:val="00B21753"/>
    <w:rsid w:val="00B225EA"/>
    <w:rsid w:val="00B22E25"/>
    <w:rsid w:val="00B246DD"/>
    <w:rsid w:val="00B26603"/>
    <w:rsid w:val="00B307A4"/>
    <w:rsid w:val="00B32A34"/>
    <w:rsid w:val="00B34443"/>
    <w:rsid w:val="00B37975"/>
    <w:rsid w:val="00B37C31"/>
    <w:rsid w:val="00B42F1B"/>
    <w:rsid w:val="00B43934"/>
    <w:rsid w:val="00B44002"/>
    <w:rsid w:val="00B44569"/>
    <w:rsid w:val="00B509C3"/>
    <w:rsid w:val="00B5182F"/>
    <w:rsid w:val="00B525E1"/>
    <w:rsid w:val="00B52F5E"/>
    <w:rsid w:val="00B53C3A"/>
    <w:rsid w:val="00B611EA"/>
    <w:rsid w:val="00B61BD4"/>
    <w:rsid w:val="00B61D02"/>
    <w:rsid w:val="00B65EF7"/>
    <w:rsid w:val="00B661C1"/>
    <w:rsid w:val="00B70908"/>
    <w:rsid w:val="00B70A0B"/>
    <w:rsid w:val="00B7385F"/>
    <w:rsid w:val="00B74FA4"/>
    <w:rsid w:val="00B76C9E"/>
    <w:rsid w:val="00B77E3B"/>
    <w:rsid w:val="00B8072F"/>
    <w:rsid w:val="00B80EC8"/>
    <w:rsid w:val="00B83678"/>
    <w:rsid w:val="00B842D2"/>
    <w:rsid w:val="00B84DAA"/>
    <w:rsid w:val="00B868C8"/>
    <w:rsid w:val="00B86B94"/>
    <w:rsid w:val="00B91F92"/>
    <w:rsid w:val="00B971F9"/>
    <w:rsid w:val="00BA0DEA"/>
    <w:rsid w:val="00BA3E58"/>
    <w:rsid w:val="00BA44AF"/>
    <w:rsid w:val="00BA5BEA"/>
    <w:rsid w:val="00BA5F4B"/>
    <w:rsid w:val="00BB0AFF"/>
    <w:rsid w:val="00BB18C9"/>
    <w:rsid w:val="00BB2B10"/>
    <w:rsid w:val="00BB47D7"/>
    <w:rsid w:val="00BB4888"/>
    <w:rsid w:val="00BB61BD"/>
    <w:rsid w:val="00BB6D6F"/>
    <w:rsid w:val="00BB73C7"/>
    <w:rsid w:val="00BB7541"/>
    <w:rsid w:val="00BB7C52"/>
    <w:rsid w:val="00BC042E"/>
    <w:rsid w:val="00BC1318"/>
    <w:rsid w:val="00BC1DAB"/>
    <w:rsid w:val="00BC3C88"/>
    <w:rsid w:val="00BC3FB6"/>
    <w:rsid w:val="00BC4F98"/>
    <w:rsid w:val="00BC65BA"/>
    <w:rsid w:val="00BC735D"/>
    <w:rsid w:val="00BD5C10"/>
    <w:rsid w:val="00BD747D"/>
    <w:rsid w:val="00BE5365"/>
    <w:rsid w:val="00BE53D9"/>
    <w:rsid w:val="00BE57A6"/>
    <w:rsid w:val="00BF0CB5"/>
    <w:rsid w:val="00BF105F"/>
    <w:rsid w:val="00BF689C"/>
    <w:rsid w:val="00C01C61"/>
    <w:rsid w:val="00C01CC1"/>
    <w:rsid w:val="00C0227F"/>
    <w:rsid w:val="00C02572"/>
    <w:rsid w:val="00C03F28"/>
    <w:rsid w:val="00C063BE"/>
    <w:rsid w:val="00C07EE9"/>
    <w:rsid w:val="00C11CF4"/>
    <w:rsid w:val="00C11E14"/>
    <w:rsid w:val="00C135FF"/>
    <w:rsid w:val="00C138D9"/>
    <w:rsid w:val="00C14EBB"/>
    <w:rsid w:val="00C15231"/>
    <w:rsid w:val="00C15447"/>
    <w:rsid w:val="00C16C03"/>
    <w:rsid w:val="00C211BD"/>
    <w:rsid w:val="00C23262"/>
    <w:rsid w:val="00C23391"/>
    <w:rsid w:val="00C2400C"/>
    <w:rsid w:val="00C2483C"/>
    <w:rsid w:val="00C25702"/>
    <w:rsid w:val="00C25EAE"/>
    <w:rsid w:val="00C26770"/>
    <w:rsid w:val="00C26850"/>
    <w:rsid w:val="00C26E70"/>
    <w:rsid w:val="00C274EE"/>
    <w:rsid w:val="00C30B5C"/>
    <w:rsid w:val="00C32B5E"/>
    <w:rsid w:val="00C339C4"/>
    <w:rsid w:val="00C37DEA"/>
    <w:rsid w:val="00C42817"/>
    <w:rsid w:val="00C4441E"/>
    <w:rsid w:val="00C471D9"/>
    <w:rsid w:val="00C5156A"/>
    <w:rsid w:val="00C52F97"/>
    <w:rsid w:val="00C53862"/>
    <w:rsid w:val="00C5575E"/>
    <w:rsid w:val="00C56E39"/>
    <w:rsid w:val="00C579CC"/>
    <w:rsid w:val="00C710A4"/>
    <w:rsid w:val="00C7583B"/>
    <w:rsid w:val="00C7593B"/>
    <w:rsid w:val="00C771F0"/>
    <w:rsid w:val="00C80AB7"/>
    <w:rsid w:val="00C81248"/>
    <w:rsid w:val="00C81DFC"/>
    <w:rsid w:val="00C8260A"/>
    <w:rsid w:val="00C82A24"/>
    <w:rsid w:val="00C835A2"/>
    <w:rsid w:val="00C85518"/>
    <w:rsid w:val="00C855E5"/>
    <w:rsid w:val="00C90207"/>
    <w:rsid w:val="00C91AF1"/>
    <w:rsid w:val="00C92588"/>
    <w:rsid w:val="00C9559E"/>
    <w:rsid w:val="00C9673A"/>
    <w:rsid w:val="00C97F25"/>
    <w:rsid w:val="00CA199C"/>
    <w:rsid w:val="00CA3B0A"/>
    <w:rsid w:val="00CA60E2"/>
    <w:rsid w:val="00CA705F"/>
    <w:rsid w:val="00CA719B"/>
    <w:rsid w:val="00CA74A0"/>
    <w:rsid w:val="00CB2B26"/>
    <w:rsid w:val="00CB6E37"/>
    <w:rsid w:val="00CB7648"/>
    <w:rsid w:val="00CC13F1"/>
    <w:rsid w:val="00CC3496"/>
    <w:rsid w:val="00CC3E7E"/>
    <w:rsid w:val="00CC4883"/>
    <w:rsid w:val="00CC48B6"/>
    <w:rsid w:val="00CC660D"/>
    <w:rsid w:val="00CC6B2D"/>
    <w:rsid w:val="00CC6CA6"/>
    <w:rsid w:val="00CD01AA"/>
    <w:rsid w:val="00CD1677"/>
    <w:rsid w:val="00CD3EC9"/>
    <w:rsid w:val="00CD692D"/>
    <w:rsid w:val="00CD7A1B"/>
    <w:rsid w:val="00CE45E8"/>
    <w:rsid w:val="00CE4E82"/>
    <w:rsid w:val="00CE57A9"/>
    <w:rsid w:val="00CE6412"/>
    <w:rsid w:val="00CE7874"/>
    <w:rsid w:val="00CF0BCD"/>
    <w:rsid w:val="00CF1109"/>
    <w:rsid w:val="00CF2340"/>
    <w:rsid w:val="00CF39ED"/>
    <w:rsid w:val="00CF537E"/>
    <w:rsid w:val="00CF6719"/>
    <w:rsid w:val="00CF6B67"/>
    <w:rsid w:val="00CF6ED4"/>
    <w:rsid w:val="00D04240"/>
    <w:rsid w:val="00D05548"/>
    <w:rsid w:val="00D06CBE"/>
    <w:rsid w:val="00D137D5"/>
    <w:rsid w:val="00D15C2F"/>
    <w:rsid w:val="00D17BBB"/>
    <w:rsid w:val="00D20BAB"/>
    <w:rsid w:val="00D2256B"/>
    <w:rsid w:val="00D22E7E"/>
    <w:rsid w:val="00D23943"/>
    <w:rsid w:val="00D249F3"/>
    <w:rsid w:val="00D2697B"/>
    <w:rsid w:val="00D31052"/>
    <w:rsid w:val="00D3643A"/>
    <w:rsid w:val="00D417DA"/>
    <w:rsid w:val="00D43840"/>
    <w:rsid w:val="00D504C0"/>
    <w:rsid w:val="00D50A21"/>
    <w:rsid w:val="00D51382"/>
    <w:rsid w:val="00D55192"/>
    <w:rsid w:val="00D60EA8"/>
    <w:rsid w:val="00D62D9A"/>
    <w:rsid w:val="00D65FD0"/>
    <w:rsid w:val="00D70FC6"/>
    <w:rsid w:val="00D72D3B"/>
    <w:rsid w:val="00D72EE1"/>
    <w:rsid w:val="00D75D1C"/>
    <w:rsid w:val="00D76464"/>
    <w:rsid w:val="00D77881"/>
    <w:rsid w:val="00D827CF"/>
    <w:rsid w:val="00D82B21"/>
    <w:rsid w:val="00D8782E"/>
    <w:rsid w:val="00D9018E"/>
    <w:rsid w:val="00D910C7"/>
    <w:rsid w:val="00D913ED"/>
    <w:rsid w:val="00D94243"/>
    <w:rsid w:val="00D96CA9"/>
    <w:rsid w:val="00DA26C1"/>
    <w:rsid w:val="00DA28D9"/>
    <w:rsid w:val="00DA2B19"/>
    <w:rsid w:val="00DA4A80"/>
    <w:rsid w:val="00DA67BE"/>
    <w:rsid w:val="00DA7691"/>
    <w:rsid w:val="00DB04B0"/>
    <w:rsid w:val="00DB110F"/>
    <w:rsid w:val="00DB11ED"/>
    <w:rsid w:val="00DB209B"/>
    <w:rsid w:val="00DB2376"/>
    <w:rsid w:val="00DB54FA"/>
    <w:rsid w:val="00DB55C5"/>
    <w:rsid w:val="00DB6E88"/>
    <w:rsid w:val="00DB7C1F"/>
    <w:rsid w:val="00DC29C7"/>
    <w:rsid w:val="00DC3F6E"/>
    <w:rsid w:val="00DC4D5A"/>
    <w:rsid w:val="00DC68F5"/>
    <w:rsid w:val="00DC6B41"/>
    <w:rsid w:val="00DD01E9"/>
    <w:rsid w:val="00DD066D"/>
    <w:rsid w:val="00DD17B4"/>
    <w:rsid w:val="00DD24D9"/>
    <w:rsid w:val="00DD26C3"/>
    <w:rsid w:val="00DD355E"/>
    <w:rsid w:val="00DD4BF7"/>
    <w:rsid w:val="00DD7B34"/>
    <w:rsid w:val="00DE2206"/>
    <w:rsid w:val="00DE2C94"/>
    <w:rsid w:val="00DE3C91"/>
    <w:rsid w:val="00DE3F76"/>
    <w:rsid w:val="00DE5BE5"/>
    <w:rsid w:val="00DF2FC3"/>
    <w:rsid w:val="00DF3333"/>
    <w:rsid w:val="00DF49C5"/>
    <w:rsid w:val="00DF6853"/>
    <w:rsid w:val="00DF75AD"/>
    <w:rsid w:val="00E03C5E"/>
    <w:rsid w:val="00E03D76"/>
    <w:rsid w:val="00E0401A"/>
    <w:rsid w:val="00E05861"/>
    <w:rsid w:val="00E07222"/>
    <w:rsid w:val="00E125BC"/>
    <w:rsid w:val="00E1271D"/>
    <w:rsid w:val="00E136B4"/>
    <w:rsid w:val="00E20614"/>
    <w:rsid w:val="00E207F4"/>
    <w:rsid w:val="00E216B3"/>
    <w:rsid w:val="00E271E5"/>
    <w:rsid w:val="00E273E3"/>
    <w:rsid w:val="00E278B2"/>
    <w:rsid w:val="00E32B89"/>
    <w:rsid w:val="00E36923"/>
    <w:rsid w:val="00E40344"/>
    <w:rsid w:val="00E41348"/>
    <w:rsid w:val="00E44BA5"/>
    <w:rsid w:val="00E44BAF"/>
    <w:rsid w:val="00E4687E"/>
    <w:rsid w:val="00E479AA"/>
    <w:rsid w:val="00E51553"/>
    <w:rsid w:val="00E51C92"/>
    <w:rsid w:val="00E51F9F"/>
    <w:rsid w:val="00E562EA"/>
    <w:rsid w:val="00E56E0F"/>
    <w:rsid w:val="00E57ED1"/>
    <w:rsid w:val="00E6009E"/>
    <w:rsid w:val="00E61780"/>
    <w:rsid w:val="00E6226A"/>
    <w:rsid w:val="00E62309"/>
    <w:rsid w:val="00E62D10"/>
    <w:rsid w:val="00E650AE"/>
    <w:rsid w:val="00E65BD0"/>
    <w:rsid w:val="00E668C8"/>
    <w:rsid w:val="00E672A5"/>
    <w:rsid w:val="00E6792A"/>
    <w:rsid w:val="00E705AB"/>
    <w:rsid w:val="00E73070"/>
    <w:rsid w:val="00E73693"/>
    <w:rsid w:val="00E74600"/>
    <w:rsid w:val="00E74C38"/>
    <w:rsid w:val="00E84862"/>
    <w:rsid w:val="00E85C68"/>
    <w:rsid w:val="00E85E97"/>
    <w:rsid w:val="00E9402D"/>
    <w:rsid w:val="00E95342"/>
    <w:rsid w:val="00E977F1"/>
    <w:rsid w:val="00EA0026"/>
    <w:rsid w:val="00EA16F8"/>
    <w:rsid w:val="00EA3AE5"/>
    <w:rsid w:val="00EA7BC5"/>
    <w:rsid w:val="00EB15E6"/>
    <w:rsid w:val="00EB18E8"/>
    <w:rsid w:val="00EB4D90"/>
    <w:rsid w:val="00EB5C8E"/>
    <w:rsid w:val="00EB610D"/>
    <w:rsid w:val="00EC01C8"/>
    <w:rsid w:val="00EC389E"/>
    <w:rsid w:val="00EC59F7"/>
    <w:rsid w:val="00EC6192"/>
    <w:rsid w:val="00ED001A"/>
    <w:rsid w:val="00ED50F4"/>
    <w:rsid w:val="00ED56D9"/>
    <w:rsid w:val="00ED7F11"/>
    <w:rsid w:val="00EE05DB"/>
    <w:rsid w:val="00EE194C"/>
    <w:rsid w:val="00EE1A22"/>
    <w:rsid w:val="00EE5771"/>
    <w:rsid w:val="00EE69A8"/>
    <w:rsid w:val="00EE7218"/>
    <w:rsid w:val="00EF05FE"/>
    <w:rsid w:val="00EF0720"/>
    <w:rsid w:val="00EF0FA7"/>
    <w:rsid w:val="00EF23E9"/>
    <w:rsid w:val="00EF2D22"/>
    <w:rsid w:val="00EF3412"/>
    <w:rsid w:val="00EF49F0"/>
    <w:rsid w:val="00EF5AF0"/>
    <w:rsid w:val="00EF5B91"/>
    <w:rsid w:val="00EF6311"/>
    <w:rsid w:val="00EF7D46"/>
    <w:rsid w:val="00F0262C"/>
    <w:rsid w:val="00F03DF9"/>
    <w:rsid w:val="00F07C8E"/>
    <w:rsid w:val="00F122FD"/>
    <w:rsid w:val="00F14577"/>
    <w:rsid w:val="00F156C3"/>
    <w:rsid w:val="00F15E74"/>
    <w:rsid w:val="00F16485"/>
    <w:rsid w:val="00F167BF"/>
    <w:rsid w:val="00F1681D"/>
    <w:rsid w:val="00F210F9"/>
    <w:rsid w:val="00F21865"/>
    <w:rsid w:val="00F21DEF"/>
    <w:rsid w:val="00F23F1E"/>
    <w:rsid w:val="00F25F5C"/>
    <w:rsid w:val="00F2615F"/>
    <w:rsid w:val="00F30CE4"/>
    <w:rsid w:val="00F33853"/>
    <w:rsid w:val="00F34554"/>
    <w:rsid w:val="00F35991"/>
    <w:rsid w:val="00F368C8"/>
    <w:rsid w:val="00F42488"/>
    <w:rsid w:val="00F4270E"/>
    <w:rsid w:val="00F44C9F"/>
    <w:rsid w:val="00F45139"/>
    <w:rsid w:val="00F51AF3"/>
    <w:rsid w:val="00F52406"/>
    <w:rsid w:val="00F53C26"/>
    <w:rsid w:val="00F55C84"/>
    <w:rsid w:val="00F66D09"/>
    <w:rsid w:val="00F72F5C"/>
    <w:rsid w:val="00F75907"/>
    <w:rsid w:val="00F75F18"/>
    <w:rsid w:val="00F77065"/>
    <w:rsid w:val="00F80BCB"/>
    <w:rsid w:val="00F83951"/>
    <w:rsid w:val="00F84343"/>
    <w:rsid w:val="00F84C24"/>
    <w:rsid w:val="00F8540F"/>
    <w:rsid w:val="00F8613C"/>
    <w:rsid w:val="00F8742F"/>
    <w:rsid w:val="00F87B3A"/>
    <w:rsid w:val="00F902FF"/>
    <w:rsid w:val="00F90362"/>
    <w:rsid w:val="00F93126"/>
    <w:rsid w:val="00F9326A"/>
    <w:rsid w:val="00F93E08"/>
    <w:rsid w:val="00F968BB"/>
    <w:rsid w:val="00F9726C"/>
    <w:rsid w:val="00F9742F"/>
    <w:rsid w:val="00FA1C9B"/>
    <w:rsid w:val="00FA2BC9"/>
    <w:rsid w:val="00FA3463"/>
    <w:rsid w:val="00FA449B"/>
    <w:rsid w:val="00FA51F2"/>
    <w:rsid w:val="00FA581C"/>
    <w:rsid w:val="00FA750D"/>
    <w:rsid w:val="00FB450C"/>
    <w:rsid w:val="00FB6E41"/>
    <w:rsid w:val="00FB724F"/>
    <w:rsid w:val="00FB7EE4"/>
    <w:rsid w:val="00FC1C58"/>
    <w:rsid w:val="00FD12DE"/>
    <w:rsid w:val="00FD256A"/>
    <w:rsid w:val="00FD2585"/>
    <w:rsid w:val="00FD4738"/>
    <w:rsid w:val="00FE0192"/>
    <w:rsid w:val="00FE3890"/>
    <w:rsid w:val="00FE3E28"/>
    <w:rsid w:val="00FE57D0"/>
    <w:rsid w:val="00FE74AF"/>
    <w:rsid w:val="00FF0865"/>
    <w:rsid w:val="00FF10F5"/>
    <w:rsid w:val="00FF2B16"/>
    <w:rsid w:val="00FF2CBB"/>
    <w:rsid w:val="00FF3C13"/>
    <w:rsid w:val="00FF4B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6E1215BD-3EFA-45EB-9CA3-EEC9FC4C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D3A"/>
    <w:pPr>
      <w:widowControl w:val="0"/>
    </w:pPr>
    <w:rPr>
      <w:snapToGrid w:val="0"/>
      <w:kern w:val="28"/>
      <w:szCs w:val="20"/>
    </w:rPr>
  </w:style>
  <w:style w:type="paragraph" w:styleId="Heading1">
    <w:name w:val="heading 1"/>
    <w:basedOn w:val="Normal"/>
    <w:next w:val="ParaNum"/>
    <w:link w:val="Heading1Char"/>
    <w:qFormat/>
    <w:rsid w:val="00041D3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41D3A"/>
    <w:pPr>
      <w:keepNext/>
      <w:numPr>
        <w:ilvl w:val="1"/>
        <w:numId w:val="2"/>
      </w:numPr>
      <w:spacing w:after="120"/>
      <w:outlineLvl w:val="1"/>
    </w:pPr>
    <w:rPr>
      <w:b/>
    </w:rPr>
  </w:style>
  <w:style w:type="paragraph" w:styleId="Heading3">
    <w:name w:val="heading 3"/>
    <w:basedOn w:val="Normal"/>
    <w:next w:val="ParaNum"/>
    <w:link w:val="Heading3Char"/>
    <w:qFormat/>
    <w:rsid w:val="00041D3A"/>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041D3A"/>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041D3A"/>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041D3A"/>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41D3A"/>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041D3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41D3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41D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1D3A"/>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041D3A"/>
    <w:pPr>
      <w:numPr>
        <w:numId w:val="1"/>
      </w:numPr>
      <w:tabs>
        <w:tab w:val="clear" w:pos="1080"/>
        <w:tab w:val="num" w:pos="1440"/>
      </w:tabs>
      <w:spacing w:after="120"/>
    </w:pPr>
  </w:style>
  <w:style w:type="paragraph" w:styleId="EndnoteText">
    <w:name w:val="endnote text"/>
    <w:basedOn w:val="Normal"/>
    <w:link w:val="EndnoteTextChar"/>
    <w:semiHidden/>
    <w:rsid w:val="00041D3A"/>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041D3A"/>
    <w:rPr>
      <w:vertAlign w:val="superscript"/>
    </w:rPr>
  </w:style>
  <w:style w:type="paragraph" w:styleId="FootnoteText">
    <w:name w:val="footnote text"/>
    <w:link w:val="FootnoteTextChar"/>
    <w:rsid w:val="00041D3A"/>
    <w:pPr>
      <w:spacing w:after="120"/>
    </w:pPr>
    <w:rPr>
      <w:sz w:val="20"/>
      <w:szCs w:val="20"/>
    </w:rPr>
  </w:style>
  <w:style w:type="character" w:customStyle="1" w:styleId="FootnoteTextChar">
    <w:name w:val="Footnote Text Char"/>
    <w:basedOn w:val="DefaultParagraphFont"/>
    <w:link w:val="FootnoteText"/>
    <w:locked/>
    <w:rsid w:val="009B2C59"/>
    <w:rPr>
      <w:sz w:val="20"/>
      <w:szCs w:val="20"/>
    </w:rPr>
  </w:style>
  <w:style w:type="character" w:styleId="FootnoteReference">
    <w:name w:val="footnote reference"/>
    <w:rsid w:val="00041D3A"/>
    <w:rPr>
      <w:rFonts w:ascii="Times New Roman" w:hAnsi="Times New Roman"/>
      <w:dstrike w:val="0"/>
      <w:color w:val="auto"/>
      <w:sz w:val="20"/>
      <w:vertAlign w:val="superscript"/>
    </w:rPr>
  </w:style>
  <w:style w:type="paragraph" w:styleId="TOC1">
    <w:name w:val="toc 1"/>
    <w:basedOn w:val="Normal"/>
    <w:next w:val="Normal"/>
    <w:rsid w:val="00041D3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41D3A"/>
    <w:pPr>
      <w:tabs>
        <w:tab w:val="left" w:pos="720"/>
        <w:tab w:val="right" w:leader="dot" w:pos="9360"/>
      </w:tabs>
      <w:suppressAutoHyphens/>
      <w:ind w:left="720" w:right="720" w:hanging="360"/>
    </w:pPr>
    <w:rPr>
      <w:noProof/>
    </w:rPr>
  </w:style>
  <w:style w:type="paragraph" w:styleId="TOC3">
    <w:name w:val="toc 3"/>
    <w:basedOn w:val="Normal"/>
    <w:next w:val="Normal"/>
    <w:semiHidden/>
    <w:rsid w:val="00041D3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41D3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41D3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41D3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41D3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41D3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41D3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41D3A"/>
    <w:pPr>
      <w:tabs>
        <w:tab w:val="right" w:pos="9360"/>
      </w:tabs>
      <w:suppressAutoHyphens/>
    </w:pPr>
  </w:style>
  <w:style w:type="character" w:customStyle="1" w:styleId="EquationCaption">
    <w:name w:val="_Equation Caption"/>
    <w:rsid w:val="00041D3A"/>
  </w:style>
  <w:style w:type="paragraph" w:styleId="Header">
    <w:name w:val="header"/>
    <w:basedOn w:val="Normal"/>
    <w:link w:val="HeaderChar"/>
    <w:autoRedefine/>
    <w:rsid w:val="00041D3A"/>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uiPriority w:val="99"/>
    <w:rsid w:val="00041D3A"/>
    <w:pPr>
      <w:tabs>
        <w:tab w:val="center" w:pos="4320"/>
        <w:tab w:val="right" w:pos="8640"/>
      </w:tabs>
    </w:pPr>
  </w:style>
  <w:style w:type="character" w:customStyle="1" w:styleId="FooterChar">
    <w:name w:val="Footer Char"/>
    <w:link w:val="Footer"/>
    <w:uiPriority w:val="99"/>
    <w:locked/>
    <w:rsid w:val="00041D3A"/>
    <w:rPr>
      <w:snapToGrid w:val="0"/>
      <w:kern w:val="28"/>
      <w:szCs w:val="20"/>
    </w:rPr>
  </w:style>
  <w:style w:type="character" w:styleId="PageNumber">
    <w:name w:val="page number"/>
    <w:basedOn w:val="DefaultParagraphFont"/>
    <w:rsid w:val="00041D3A"/>
  </w:style>
  <w:style w:type="paragraph" w:styleId="BlockText">
    <w:name w:val="Block Text"/>
    <w:basedOn w:val="Normal"/>
    <w:rsid w:val="00041D3A"/>
    <w:pPr>
      <w:spacing w:after="240"/>
      <w:ind w:left="1440" w:right="1440"/>
    </w:pPr>
  </w:style>
  <w:style w:type="paragraph" w:customStyle="1" w:styleId="Paratitle">
    <w:name w:val="Para title"/>
    <w:basedOn w:val="Normal"/>
    <w:rsid w:val="00041D3A"/>
    <w:pPr>
      <w:tabs>
        <w:tab w:val="center" w:pos="9270"/>
      </w:tabs>
      <w:spacing w:after="240"/>
    </w:pPr>
    <w:rPr>
      <w:spacing w:val="-2"/>
    </w:rPr>
  </w:style>
  <w:style w:type="paragraph" w:customStyle="1" w:styleId="Bullet">
    <w:name w:val="Bullet"/>
    <w:basedOn w:val="Normal"/>
    <w:rsid w:val="00041D3A"/>
    <w:pPr>
      <w:tabs>
        <w:tab w:val="left" w:pos="2160"/>
      </w:tabs>
      <w:spacing w:after="220"/>
      <w:ind w:left="2160" w:hanging="720"/>
    </w:pPr>
  </w:style>
  <w:style w:type="paragraph" w:customStyle="1" w:styleId="TableFormat">
    <w:name w:val="TableFormat"/>
    <w:basedOn w:val="Bullet"/>
    <w:rsid w:val="00041D3A"/>
    <w:pPr>
      <w:tabs>
        <w:tab w:val="clear" w:pos="2160"/>
        <w:tab w:val="left" w:pos="5040"/>
      </w:tabs>
      <w:ind w:left="5040" w:hanging="3600"/>
    </w:pPr>
  </w:style>
  <w:style w:type="paragraph" w:customStyle="1" w:styleId="TOCTitle">
    <w:name w:val="TOC Title"/>
    <w:basedOn w:val="Normal"/>
    <w:rsid w:val="00041D3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41D3A"/>
    <w:pPr>
      <w:jc w:val="center"/>
    </w:pPr>
    <w:rPr>
      <w:rFonts w:ascii="Times New Roman Bold" w:hAnsi="Times New Roman Bold"/>
      <w:b/>
      <w:bCs/>
      <w:caps/>
      <w:szCs w:val="22"/>
    </w:rPr>
  </w:style>
  <w:style w:type="character" w:styleId="Hyperlink">
    <w:name w:val="Hyperlink"/>
    <w:rsid w:val="00041D3A"/>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34"/>
    <w:qFormat/>
    <w:rsid w:val="003343CA"/>
    <w:pPr>
      <w:ind w:left="720"/>
      <w:contextualSpacing/>
    </w:pPr>
    <w:rPr>
      <w:snapToGrid/>
    </w:rPr>
  </w:style>
  <w:style w:type="paragraph" w:customStyle="1" w:styleId="par1">
    <w:name w:val="par1"/>
    <w:basedOn w:val="Normal"/>
    <w:link w:val="par1Char"/>
    <w:uiPriority w:val="99"/>
    <w:rsid w:val="003343CA"/>
    <w:pPr>
      <w:numPr>
        <w:numId w:val="5"/>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table" w:styleId="TableGrid">
    <w:name w:val="Table Grid"/>
    <w:basedOn w:val="TableNormal"/>
    <w:uiPriority w:val="59"/>
    <w:locked/>
    <w:rsid w:val="006C6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2C94"/>
  </w:style>
  <w:style w:type="character" w:customStyle="1" w:styleId="li">
    <w:name w:val="li"/>
    <w:basedOn w:val="DefaultParagraphFont"/>
    <w:rsid w:val="00DE2C94"/>
  </w:style>
  <w:style w:type="character" w:customStyle="1" w:styleId="enumxml">
    <w:name w:val="enumxml"/>
    <w:basedOn w:val="DefaultParagraphFont"/>
    <w:rsid w:val="00DE2C94"/>
  </w:style>
  <w:style w:type="character" w:styleId="Emphasis">
    <w:name w:val="Emphasis"/>
    <w:basedOn w:val="DefaultParagraphFont"/>
    <w:uiPriority w:val="20"/>
    <w:qFormat/>
    <w:locked/>
    <w:rsid w:val="00DE2C94"/>
    <w:rPr>
      <w:i/>
      <w:iCs/>
    </w:rPr>
  </w:style>
  <w:style w:type="character" w:customStyle="1" w:styleId="ptext-3">
    <w:name w:val="ptext-3"/>
    <w:basedOn w:val="DefaultParagraphFont"/>
    <w:rsid w:val="00DE2C94"/>
  </w:style>
  <w:style w:type="character" w:customStyle="1" w:styleId="ptext-4">
    <w:name w:val="ptext-4"/>
    <w:basedOn w:val="DefaultParagraphFont"/>
    <w:rsid w:val="00DE2C94"/>
  </w:style>
  <w:style w:type="table" w:customStyle="1" w:styleId="TableGridLight1">
    <w:name w:val="Table Grid Light1"/>
    <w:basedOn w:val="TableNormal"/>
    <w:uiPriority w:val="40"/>
    <w:rsid w:val="00965C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965C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965C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65CE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65C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DD26C3"/>
    <w:rPr>
      <w:color w:val="808080"/>
      <w:shd w:val="clear" w:color="auto" w:fill="E6E6E6"/>
    </w:rPr>
  </w:style>
  <w:style w:type="paragraph" w:customStyle="1" w:styleId="Default">
    <w:name w:val="Default"/>
    <w:rsid w:val="00631D7C"/>
    <w:pPr>
      <w:autoSpaceDE w:val="0"/>
      <w:autoSpaceDN w:val="0"/>
      <w:adjustRightInd w:val="0"/>
    </w:pPr>
    <w:rPr>
      <w:rFonts w:ascii="Verdana" w:hAnsi="Verdana" w:eastAsiaTheme="minorHAnsi" w:cs="Verdana"/>
      <w:color w:val="000000"/>
      <w:sz w:val="24"/>
      <w:szCs w:val="24"/>
    </w:rPr>
  </w:style>
  <w:style w:type="character" w:customStyle="1" w:styleId="UnresolvedMention">
    <w:name w:val="Unresolved Mention"/>
    <w:basedOn w:val="DefaultParagraphFont"/>
    <w:uiPriority w:val="99"/>
    <w:semiHidden/>
    <w:unhideWhenUsed/>
    <w:rsid w:val="00237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