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51508" w:rsidP="006217D6" w14:paraId="30DB5674" w14:textId="04B593CA">
      <w:pPr>
        <w:ind w:left="6480"/>
        <w:rPr>
          <w:b/>
          <w:szCs w:val="22"/>
        </w:rPr>
      </w:pPr>
      <w:r>
        <w:rPr>
          <w:b/>
          <w:szCs w:val="22"/>
        </w:rPr>
        <w:t>DA Number:</w:t>
      </w:r>
      <w:r w:rsidR="001C3031">
        <w:rPr>
          <w:b/>
          <w:szCs w:val="22"/>
        </w:rPr>
        <w:t xml:space="preserve">  </w:t>
      </w:r>
      <w:r w:rsidR="00586A1C">
        <w:rPr>
          <w:b/>
          <w:szCs w:val="22"/>
        </w:rPr>
        <w:t>2</w:t>
      </w:r>
      <w:r w:rsidR="006643C2">
        <w:rPr>
          <w:b/>
          <w:szCs w:val="22"/>
        </w:rPr>
        <w:t>1</w:t>
      </w:r>
      <w:r>
        <w:rPr>
          <w:b/>
          <w:szCs w:val="22"/>
        </w:rPr>
        <w:t>-</w:t>
      </w:r>
      <w:r w:rsidR="007A7F8C">
        <w:rPr>
          <w:b/>
          <w:szCs w:val="22"/>
        </w:rPr>
        <w:t>1112</w:t>
      </w:r>
    </w:p>
    <w:p w:rsidR="005F0BC0" w:rsidRPr="004B4885" w:rsidP="006217D6" w14:paraId="62E44F0C" w14:textId="5B288916">
      <w:pPr>
        <w:ind w:left="6480"/>
        <w:rPr>
          <w:b/>
          <w:szCs w:val="22"/>
        </w:rPr>
      </w:pPr>
      <w:r>
        <w:rPr>
          <w:b/>
          <w:szCs w:val="22"/>
        </w:rPr>
        <w:t>R</w:t>
      </w:r>
      <w:r w:rsidRPr="004B4885">
        <w:rPr>
          <w:b/>
          <w:szCs w:val="22"/>
        </w:rPr>
        <w:t>eleased</w:t>
      </w:r>
      <w:r w:rsidR="001C3031">
        <w:rPr>
          <w:b/>
          <w:szCs w:val="22"/>
        </w:rPr>
        <w:t xml:space="preserve">:  </w:t>
      </w:r>
      <w:r w:rsidR="00351508">
        <w:rPr>
          <w:b/>
          <w:szCs w:val="22"/>
        </w:rPr>
        <w:t xml:space="preserve">September </w:t>
      </w:r>
      <w:r w:rsidR="0030113D">
        <w:rPr>
          <w:b/>
          <w:szCs w:val="22"/>
        </w:rPr>
        <w:t>7</w:t>
      </w:r>
      <w:r w:rsidRPr="004B4885">
        <w:rPr>
          <w:b/>
          <w:szCs w:val="22"/>
        </w:rPr>
        <w:t>, 20</w:t>
      </w:r>
      <w:r w:rsidR="00586A1C">
        <w:rPr>
          <w:b/>
          <w:szCs w:val="22"/>
        </w:rPr>
        <w:t>2</w:t>
      </w:r>
      <w:r w:rsidR="006643C2">
        <w:rPr>
          <w:b/>
          <w:szCs w:val="22"/>
        </w:rPr>
        <w:t>1</w:t>
      </w:r>
      <w:r w:rsidRPr="004B4885">
        <w:rPr>
          <w:b/>
          <w:szCs w:val="22"/>
        </w:rPr>
        <w:t xml:space="preserve">    </w:t>
      </w:r>
      <w:r w:rsidRPr="004B4885">
        <w:rPr>
          <w:b/>
          <w:szCs w:val="22"/>
        </w:rPr>
        <w:tab/>
      </w:r>
      <w:r w:rsidRPr="004B4885">
        <w:rPr>
          <w:b/>
          <w:szCs w:val="22"/>
        </w:rPr>
        <w:tab/>
      </w:r>
    </w:p>
    <w:p w:rsidR="005F0BC0" w:rsidRPr="004B4885" w14:paraId="6BB97A77" w14:textId="77777777">
      <w:pPr>
        <w:jc w:val="center"/>
        <w:rPr>
          <w:b/>
          <w:szCs w:val="22"/>
        </w:rPr>
      </w:pPr>
    </w:p>
    <w:p w:rsidR="005F0BC0" w:rsidRPr="00063129" w14:paraId="459C11C7" w14:textId="01B5F377">
      <w:pPr>
        <w:jc w:val="center"/>
        <w:rPr>
          <w:b/>
          <w:szCs w:val="22"/>
        </w:rPr>
      </w:pPr>
      <w:r w:rsidRPr="00063129">
        <w:rPr>
          <w:b/>
          <w:szCs w:val="22"/>
        </w:rPr>
        <w:t>P</w:t>
      </w:r>
      <w:r w:rsidR="00B54701">
        <w:rPr>
          <w:b/>
          <w:szCs w:val="22"/>
        </w:rPr>
        <w:t>AYMENT METHODS AND PROCEDURES FOR FISCAL YEAR 2021 REGULATORY FEES</w:t>
      </w:r>
    </w:p>
    <w:p w:rsidR="005F0BC0" w:rsidRPr="00771831" w14:paraId="0F62E486" w14:textId="77777777">
      <w:pPr>
        <w:jc w:val="center"/>
        <w:rPr>
          <w:b/>
          <w:szCs w:val="22"/>
        </w:rPr>
      </w:pPr>
    </w:p>
    <w:p w:rsidR="005F0BC0" w:rsidRPr="00771831" w:rsidP="005F0BC0" w14:paraId="6113A815" w14:textId="3C49C165">
      <w:pPr>
        <w:shd w:val="clear" w:color="auto" w:fill="FFFFFF"/>
        <w:rPr>
          <w:szCs w:val="22"/>
        </w:rPr>
      </w:pPr>
      <w:r>
        <w:rPr>
          <w:szCs w:val="22"/>
        </w:rPr>
        <w:t>On August 26</w:t>
      </w:r>
      <w:r w:rsidRPr="003D572A">
        <w:rPr>
          <w:szCs w:val="22"/>
        </w:rPr>
        <w:t>, 20</w:t>
      </w:r>
      <w:r>
        <w:rPr>
          <w:szCs w:val="22"/>
        </w:rPr>
        <w:t>21</w:t>
      </w:r>
      <w:r w:rsidRPr="003D572A">
        <w:rPr>
          <w:szCs w:val="22"/>
        </w:rPr>
        <w:t xml:space="preserve">, the </w:t>
      </w:r>
      <w:r>
        <w:rPr>
          <w:szCs w:val="22"/>
        </w:rPr>
        <w:t xml:space="preserve">Federal Communications </w:t>
      </w:r>
      <w:r w:rsidRPr="003D572A">
        <w:rPr>
          <w:szCs w:val="22"/>
        </w:rPr>
        <w:t xml:space="preserve">Commission </w:t>
      </w:r>
      <w:r>
        <w:rPr>
          <w:szCs w:val="22"/>
        </w:rPr>
        <w:t>(Commission</w:t>
      </w:r>
      <w:r w:rsidR="008B497A">
        <w:rPr>
          <w:szCs w:val="22"/>
        </w:rPr>
        <w:t xml:space="preserve"> or FCC</w:t>
      </w:r>
      <w:r>
        <w:rPr>
          <w:szCs w:val="22"/>
        </w:rPr>
        <w:t xml:space="preserve">) </w:t>
      </w:r>
      <w:r w:rsidRPr="003D572A">
        <w:rPr>
          <w:szCs w:val="22"/>
        </w:rPr>
        <w:t xml:space="preserve">released </w:t>
      </w:r>
      <w:r w:rsidRPr="003D572A">
        <w:rPr>
          <w:i/>
          <w:szCs w:val="22"/>
        </w:rPr>
        <w:t xml:space="preserve">Assessment </w:t>
      </w:r>
      <w:r>
        <w:rPr>
          <w:i/>
          <w:szCs w:val="22"/>
        </w:rPr>
        <w:t xml:space="preserve">and Collection </w:t>
      </w:r>
      <w:r w:rsidRPr="003D572A">
        <w:rPr>
          <w:i/>
          <w:szCs w:val="22"/>
        </w:rPr>
        <w:t>of Regulatory Fees for Fiscal Year (FY) 20</w:t>
      </w:r>
      <w:r>
        <w:rPr>
          <w:i/>
          <w:szCs w:val="22"/>
        </w:rPr>
        <w:t>21</w:t>
      </w:r>
      <w:r w:rsidRPr="003D572A">
        <w:rPr>
          <w:szCs w:val="22"/>
        </w:rPr>
        <w:t>, Report and Order</w:t>
      </w:r>
      <w:r>
        <w:rPr>
          <w:szCs w:val="22"/>
        </w:rPr>
        <w:t xml:space="preserve"> and Notice of Proposed Rulemaking, FCC 21-98 </w:t>
      </w:r>
      <w:r w:rsidRPr="003D572A">
        <w:rPr>
          <w:szCs w:val="22"/>
        </w:rPr>
        <w:t>(</w:t>
      </w:r>
      <w:r w:rsidRPr="003D572A">
        <w:rPr>
          <w:i/>
          <w:szCs w:val="22"/>
        </w:rPr>
        <w:t>FY 20</w:t>
      </w:r>
      <w:r>
        <w:rPr>
          <w:i/>
          <w:szCs w:val="22"/>
        </w:rPr>
        <w:t>21</w:t>
      </w:r>
      <w:r w:rsidRPr="003D572A">
        <w:rPr>
          <w:i/>
          <w:szCs w:val="22"/>
        </w:rPr>
        <w:t xml:space="preserve"> Regulatory Fees Report and Order</w:t>
      </w:r>
      <w:r w:rsidRPr="003D572A">
        <w:rPr>
          <w:szCs w:val="22"/>
        </w:rPr>
        <w:t>).</w:t>
      </w:r>
      <w:r w:rsidR="001C3031">
        <w:rPr>
          <w:szCs w:val="22"/>
        </w:rPr>
        <w:t xml:space="preserve">  </w:t>
      </w:r>
      <w:r w:rsidRPr="003D572A">
        <w:rPr>
          <w:szCs w:val="22"/>
        </w:rPr>
        <w:t xml:space="preserve">This document is available for viewing at </w:t>
      </w:r>
      <w:hyperlink r:id="rId5" w:history="1">
        <w:r w:rsidRPr="003D572A">
          <w:rPr>
            <w:rStyle w:val="Hyperlink"/>
            <w:szCs w:val="22"/>
          </w:rPr>
          <w:t>http://www.fcc.gov/regfees</w:t>
        </w:r>
      </w:hyperlink>
      <w:r w:rsidRPr="003D572A">
        <w:rPr>
          <w:szCs w:val="22"/>
        </w:rPr>
        <w:t>.</w:t>
      </w:r>
      <w:r>
        <w:rPr>
          <w:szCs w:val="22"/>
        </w:rPr>
        <w:t xml:space="preserve">  </w:t>
      </w:r>
      <w:r w:rsidRPr="003D572A">
        <w:rPr>
          <w:szCs w:val="22"/>
        </w:rPr>
        <w:t xml:space="preserve">The Commission’s automated filing and payment system (Fee Filer) is </w:t>
      </w:r>
      <w:r>
        <w:rPr>
          <w:szCs w:val="22"/>
        </w:rPr>
        <w:t xml:space="preserve">now </w:t>
      </w:r>
      <w:r w:rsidRPr="003D572A">
        <w:rPr>
          <w:szCs w:val="22"/>
        </w:rPr>
        <w:t xml:space="preserve">available for </w:t>
      </w:r>
      <w:r w:rsidRPr="003D572A">
        <w:rPr>
          <w:szCs w:val="22"/>
          <w:u w:val="single"/>
        </w:rPr>
        <w:t>filing</w:t>
      </w:r>
      <w:r w:rsidRPr="003D572A">
        <w:rPr>
          <w:szCs w:val="22"/>
        </w:rPr>
        <w:t xml:space="preserve"> and </w:t>
      </w:r>
      <w:r w:rsidRPr="003D572A">
        <w:rPr>
          <w:szCs w:val="22"/>
          <w:u w:val="single"/>
        </w:rPr>
        <w:t>viewing</w:t>
      </w:r>
      <w:r w:rsidRPr="003D572A">
        <w:rPr>
          <w:szCs w:val="22"/>
        </w:rPr>
        <w:t xml:space="preserve"> of FY 20</w:t>
      </w:r>
      <w:r>
        <w:rPr>
          <w:szCs w:val="22"/>
        </w:rPr>
        <w:t>21</w:t>
      </w:r>
      <w:r w:rsidRPr="003D572A">
        <w:rPr>
          <w:szCs w:val="22"/>
        </w:rPr>
        <w:t xml:space="preserve"> </w:t>
      </w:r>
      <w:r w:rsidRPr="005E01B7">
        <w:rPr>
          <w:szCs w:val="22"/>
        </w:rPr>
        <w:t>regulatory fees.</w:t>
      </w:r>
      <w:r>
        <w:rPr>
          <w:szCs w:val="22"/>
        </w:rPr>
        <w:t xml:space="preserve">  </w:t>
      </w:r>
      <w:r w:rsidRPr="003D572A">
        <w:rPr>
          <w:b/>
          <w:szCs w:val="22"/>
        </w:rPr>
        <w:t xml:space="preserve">Regulatory fee payments </w:t>
      </w:r>
      <w:r>
        <w:rPr>
          <w:b/>
          <w:szCs w:val="22"/>
        </w:rPr>
        <w:t xml:space="preserve">MUST BE </w:t>
      </w:r>
      <w:r w:rsidRPr="003D572A">
        <w:rPr>
          <w:b/>
          <w:szCs w:val="22"/>
        </w:rPr>
        <w:t xml:space="preserve">RECEIVED by the Commission no later than 11:59 PM, Eastern Daylight Time, on September </w:t>
      </w:r>
      <w:r>
        <w:rPr>
          <w:b/>
          <w:szCs w:val="22"/>
        </w:rPr>
        <w:t>24</w:t>
      </w:r>
      <w:r w:rsidRPr="003D572A">
        <w:rPr>
          <w:b/>
          <w:szCs w:val="22"/>
        </w:rPr>
        <w:t>, 20</w:t>
      </w:r>
      <w:r>
        <w:rPr>
          <w:b/>
          <w:szCs w:val="22"/>
        </w:rPr>
        <w:t>21</w:t>
      </w:r>
      <w:r w:rsidRPr="003D572A">
        <w:rPr>
          <w:b/>
          <w:szCs w:val="22"/>
        </w:rPr>
        <w:t>.</w:t>
      </w:r>
      <w:r>
        <w:rPr>
          <w:rStyle w:val="FootnoteReference"/>
          <w:bCs/>
          <w:szCs w:val="22"/>
        </w:rPr>
        <w:footnoteReference w:id="2"/>
      </w:r>
      <w:r>
        <w:rPr>
          <w:b/>
          <w:szCs w:val="22"/>
        </w:rPr>
        <w:t xml:space="preserve">  </w:t>
      </w:r>
      <w:r w:rsidRPr="005E01B7">
        <w:rPr>
          <w:szCs w:val="22"/>
        </w:rPr>
        <w:t>While FY 2021 regulatory fees will not become effective until the rulemaking is published in the Federal Register,</w:t>
      </w:r>
      <w:r w:rsidRPr="003D572A">
        <w:rPr>
          <w:szCs w:val="22"/>
        </w:rPr>
        <w:t xml:space="preserve"> regulatees</w:t>
      </w:r>
      <w:r>
        <w:rPr>
          <w:szCs w:val="22"/>
        </w:rPr>
        <w:t>,</w:t>
      </w:r>
      <w:r w:rsidRPr="003D572A">
        <w:rPr>
          <w:szCs w:val="22"/>
        </w:rPr>
        <w:t xml:space="preserve"> at their own discretion, may submit payments at any time before the FY 20</w:t>
      </w:r>
      <w:r>
        <w:rPr>
          <w:szCs w:val="22"/>
        </w:rPr>
        <w:t>21</w:t>
      </w:r>
      <w:r w:rsidRPr="003D572A">
        <w:rPr>
          <w:szCs w:val="22"/>
        </w:rPr>
        <w:t xml:space="preserve"> regulatory fees due date.</w:t>
      </w:r>
      <w:r w:rsidRPr="00771831">
        <w:rPr>
          <w:szCs w:val="22"/>
        </w:rPr>
        <w:t xml:space="preserve"> </w:t>
      </w:r>
    </w:p>
    <w:p w:rsidR="005F0BC0" w:rsidRPr="00771831" w14:paraId="4A24218B" w14:textId="77777777">
      <w:pPr>
        <w:pStyle w:val="NormalWeb"/>
        <w:shd w:val="clear" w:color="auto" w:fill="FFFFFF"/>
        <w:spacing w:before="0" w:beforeAutospacing="0" w:after="0" w:afterAutospacing="0" w:line="236" w:lineRule="atLeast"/>
        <w:rPr>
          <w:sz w:val="22"/>
          <w:szCs w:val="22"/>
        </w:rPr>
      </w:pPr>
    </w:p>
    <w:p w:rsidR="005F0BC0" w:rsidRPr="00771831" w:rsidP="005F0BC0" w14:paraId="6727AB42" w14:textId="77777777">
      <w:pPr>
        <w:pStyle w:val="ParaNum0"/>
        <w:ind w:firstLine="0"/>
        <w:jc w:val="center"/>
        <w:rPr>
          <w:b/>
          <w:szCs w:val="22"/>
        </w:rPr>
      </w:pPr>
      <w:r w:rsidRPr="00771831">
        <w:rPr>
          <w:b/>
          <w:szCs w:val="22"/>
        </w:rPr>
        <w:t>MANDATORY USE OF FEE FILER</w:t>
      </w:r>
    </w:p>
    <w:p w:rsidR="005F0BC0" w:rsidRPr="00771831" w:rsidP="005F0BC0" w14:paraId="77E1F40A" w14:textId="11C6D3A7">
      <w:pPr>
        <w:pStyle w:val="ParaNum0"/>
        <w:ind w:firstLine="0"/>
        <w:rPr>
          <w:iCs/>
          <w:szCs w:val="22"/>
        </w:rPr>
      </w:pPr>
      <w:r w:rsidRPr="00771831">
        <w:rPr>
          <w:szCs w:val="22"/>
        </w:rPr>
        <w:t>The use of the online Fee Filer system for filing regulatory fees has not changed since the process was first initiated in FY 2009</w:t>
      </w:r>
      <w:r w:rsidR="001C3031">
        <w:rPr>
          <w:szCs w:val="22"/>
        </w:rPr>
        <w:t>.  L</w:t>
      </w:r>
      <w:r w:rsidRPr="00771831">
        <w:rPr>
          <w:szCs w:val="22"/>
        </w:rPr>
        <w:t xml:space="preserve">icensees and </w:t>
      </w:r>
      <w:r w:rsidRPr="00771831">
        <w:rPr>
          <w:szCs w:val="22"/>
        </w:rPr>
        <w:t>regulatees</w:t>
      </w:r>
      <w:r w:rsidRPr="00771831">
        <w:rPr>
          <w:szCs w:val="22"/>
        </w:rPr>
        <w:t xml:space="preserve"> must first enter the Commission’s Fee Filer system with a valid </w:t>
      </w:r>
      <w:r w:rsidR="00C14814">
        <w:rPr>
          <w:szCs w:val="22"/>
        </w:rPr>
        <w:t>FCC Registration Number (</w:t>
      </w:r>
      <w:r w:rsidRPr="00771831">
        <w:rPr>
          <w:szCs w:val="22"/>
        </w:rPr>
        <w:t>FRN</w:t>
      </w:r>
      <w:r w:rsidR="00C14814">
        <w:rPr>
          <w:szCs w:val="22"/>
        </w:rPr>
        <w:t>)</w:t>
      </w:r>
      <w:r w:rsidRPr="00771831">
        <w:rPr>
          <w:szCs w:val="22"/>
        </w:rPr>
        <w:t xml:space="preserve"> and </w:t>
      </w:r>
      <w:r w:rsidRPr="00771831">
        <w:rPr>
          <w:szCs w:val="22"/>
        </w:rPr>
        <w:t>password, and</w:t>
      </w:r>
      <w:r w:rsidRPr="00771831">
        <w:rPr>
          <w:szCs w:val="22"/>
        </w:rPr>
        <w:t xml:space="preserve"> follow the online prompts to review their data and submit an electronic fee payment.</w:t>
      </w:r>
      <w:r w:rsidRPr="00771831">
        <w:rPr>
          <w:iCs/>
          <w:szCs w:val="22"/>
        </w:rPr>
        <w:t xml:space="preserve">  </w:t>
      </w:r>
      <w:r w:rsidRPr="00771831">
        <w:rPr>
          <w:szCs w:val="22"/>
        </w:rPr>
        <w:t xml:space="preserve">Use of the online Fee Filer system is mandatory, and payments in the form of checks, money orders, and cashier’s checks </w:t>
      </w:r>
      <w:r w:rsidR="00F93CB1">
        <w:rPr>
          <w:szCs w:val="22"/>
        </w:rPr>
        <w:t xml:space="preserve">will not be </w:t>
      </w:r>
      <w:r w:rsidRPr="00771831">
        <w:rPr>
          <w:szCs w:val="22"/>
        </w:rPr>
        <w:t>accepted.</w:t>
      </w:r>
      <w:r w:rsidR="001C3031">
        <w:rPr>
          <w:szCs w:val="22"/>
        </w:rPr>
        <w:t xml:space="preserve">  </w:t>
      </w:r>
      <w:r w:rsidRPr="00771831">
        <w:rPr>
          <w:szCs w:val="22"/>
        </w:rPr>
        <w:t>A</w:t>
      </w:r>
      <w:r w:rsidR="001C3031">
        <w:rPr>
          <w:szCs w:val="22"/>
        </w:rPr>
        <w:t xml:space="preserve">n FCC </w:t>
      </w:r>
      <w:r w:rsidRPr="00771831">
        <w:rPr>
          <w:szCs w:val="22"/>
        </w:rPr>
        <w:t xml:space="preserve">Form 159-E voucher will only be accepted when the regulatee is making a wire transfer payment.  Instructions on the use and submission of </w:t>
      </w:r>
      <w:r w:rsidR="001C3031">
        <w:rPr>
          <w:szCs w:val="22"/>
        </w:rPr>
        <w:t xml:space="preserve">the FCC </w:t>
      </w:r>
      <w:r w:rsidRPr="00771831">
        <w:rPr>
          <w:szCs w:val="22"/>
        </w:rPr>
        <w:t xml:space="preserve">Form 159-E vouchers are available on the Commission’s website and discussed </w:t>
      </w:r>
      <w:r w:rsidR="00C14814">
        <w:rPr>
          <w:szCs w:val="22"/>
        </w:rPr>
        <w:t>below</w:t>
      </w:r>
      <w:r w:rsidRPr="00771831">
        <w:rPr>
          <w:szCs w:val="22"/>
        </w:rPr>
        <w:t>.</w:t>
      </w:r>
      <w:r w:rsidRPr="00771831">
        <w:rPr>
          <w:iCs/>
          <w:szCs w:val="22"/>
        </w:rPr>
        <w:t xml:space="preserve">  </w:t>
      </w:r>
    </w:p>
    <w:p w:rsidR="005F0BC0" w:rsidRPr="00771831" w:rsidP="005F0BC0" w14:paraId="325C2782" w14:textId="1A2C5018">
      <w:pPr>
        <w:tabs>
          <w:tab w:val="left" w:pos="-720"/>
        </w:tabs>
        <w:suppressAutoHyphens/>
        <w:outlineLvl w:val="0"/>
        <w:rPr>
          <w:b/>
          <w:bCs/>
          <w:szCs w:val="22"/>
        </w:rPr>
      </w:pPr>
      <w:r>
        <w:rPr>
          <w:szCs w:val="22"/>
        </w:rPr>
        <w:t>T</w:t>
      </w:r>
      <w:r w:rsidRPr="00771831">
        <w:rPr>
          <w:szCs w:val="22"/>
        </w:rPr>
        <w:t xml:space="preserve">he </w:t>
      </w:r>
      <w:r w:rsidR="008B497A">
        <w:rPr>
          <w:szCs w:val="22"/>
        </w:rPr>
        <w:t xml:space="preserve">Commission </w:t>
      </w:r>
      <w:r>
        <w:rPr>
          <w:szCs w:val="22"/>
        </w:rPr>
        <w:t>does not mail</w:t>
      </w:r>
      <w:r w:rsidRPr="00771831">
        <w:rPr>
          <w:szCs w:val="22"/>
        </w:rPr>
        <w:t xml:space="preserve"> </w:t>
      </w:r>
      <w:r>
        <w:rPr>
          <w:szCs w:val="22"/>
        </w:rPr>
        <w:t>h</w:t>
      </w:r>
      <w:r w:rsidRPr="00771831">
        <w:rPr>
          <w:szCs w:val="22"/>
        </w:rPr>
        <w:t>ardcopy/paper bills; however, bills are available for viewing in the “Regulatory Fee” link of Fee Filer.  Licensees in the following services should consult the cited sources below for information on their fees.</w:t>
      </w:r>
      <w:r w:rsidR="001C3031">
        <w:rPr>
          <w:szCs w:val="22"/>
        </w:rPr>
        <w:t xml:space="preserve">  The Fact Sheets are locat</w:t>
      </w:r>
      <w:r w:rsidR="00975366">
        <w:rPr>
          <w:szCs w:val="22"/>
        </w:rPr>
        <w:t xml:space="preserve">ed </w:t>
      </w:r>
      <w:r w:rsidR="001C3031">
        <w:rPr>
          <w:szCs w:val="22"/>
        </w:rPr>
        <w:t xml:space="preserve">on the Commission’s website at </w:t>
      </w:r>
      <w:hyperlink r:id="rId5" w:history="1">
        <w:r w:rsidRPr="00771831" w:rsidR="00040CB1">
          <w:rPr>
            <w:rStyle w:val="Hyperlink"/>
            <w:szCs w:val="22"/>
          </w:rPr>
          <w:t>http://www.fcc.gov/regfees</w:t>
        </w:r>
      </w:hyperlink>
      <w:r w:rsidR="00975366">
        <w:rPr>
          <w:szCs w:val="22"/>
        </w:rPr>
        <w:t xml:space="preserve">. </w:t>
      </w:r>
    </w:p>
    <w:p w:rsidR="005F0BC0" w:rsidRPr="00771831" w:rsidP="005F0BC0" w14:paraId="14647414" w14:textId="77777777">
      <w:pPr>
        <w:rPr>
          <w:szCs w:val="22"/>
        </w:rPr>
      </w:pPr>
    </w:p>
    <w:p w:rsidR="005F0BC0" w:rsidRPr="00771831" w:rsidP="00843C84" w14:paraId="6CC5F28A" w14:textId="77777777">
      <w:pPr>
        <w:keepNext/>
        <w:keepLines/>
        <w:rPr>
          <w:b/>
          <w:szCs w:val="22"/>
          <w:u w:val="single"/>
        </w:rPr>
      </w:pPr>
      <w:r w:rsidRPr="00771831">
        <w:rPr>
          <w:b/>
          <w:szCs w:val="22"/>
          <w:u w:val="single"/>
        </w:rPr>
        <w:t>Interstate Telecommunications Service Providers (ITSPs)</w:t>
      </w:r>
    </w:p>
    <w:p w:rsidR="005F0BC0" w:rsidRPr="00771831" w:rsidP="00843C84" w14:paraId="00F678B8" w14:textId="62627750">
      <w:pPr>
        <w:pStyle w:val="NormalWeb"/>
        <w:keepNext/>
        <w:keepLines/>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E667C">
        <w:rPr>
          <w:bCs/>
          <w:iCs/>
          <w:sz w:val="22"/>
          <w:szCs w:val="22"/>
        </w:rPr>
        <w:t>Fact Sheet:</w:t>
      </w:r>
      <w:r w:rsidRPr="00771831">
        <w:rPr>
          <w:bCs/>
          <w:i/>
          <w:sz w:val="22"/>
          <w:szCs w:val="22"/>
        </w:rPr>
        <w:t xml:space="preserve"> What You Owe—Interstate Telecommunications Service Providers </w:t>
      </w:r>
      <w:r w:rsidR="00344679">
        <w:rPr>
          <w:bCs/>
          <w:i/>
          <w:sz w:val="22"/>
          <w:szCs w:val="22"/>
        </w:rPr>
        <w:t xml:space="preserve">(ITSP) </w:t>
      </w:r>
      <w:r w:rsidRPr="00771831">
        <w:rPr>
          <w:bCs/>
          <w:i/>
          <w:sz w:val="22"/>
          <w:szCs w:val="22"/>
        </w:rPr>
        <w:t>for FY 20</w:t>
      </w:r>
      <w:r w:rsidR="00B93E03">
        <w:rPr>
          <w:bCs/>
          <w:i/>
          <w:sz w:val="22"/>
          <w:szCs w:val="22"/>
        </w:rPr>
        <w:t>2</w:t>
      </w:r>
      <w:r w:rsidR="006643C2">
        <w:rPr>
          <w:bCs/>
          <w:i/>
          <w:sz w:val="22"/>
          <w:szCs w:val="22"/>
        </w:rPr>
        <w:t>1</w:t>
      </w:r>
      <w:r w:rsidRPr="00771831">
        <w:rPr>
          <w:bCs/>
          <w:sz w:val="22"/>
          <w:szCs w:val="22"/>
        </w:rPr>
        <w:t xml:space="preserve">.  </w:t>
      </w:r>
    </w:p>
    <w:p w:rsidR="005F0BC0" w:rsidRPr="00771831" w:rsidP="00843C84" w14:paraId="0A81E391" w14:textId="77777777">
      <w:pPr>
        <w:pStyle w:val="NormalWeb"/>
        <w:keepNext/>
        <w:keepLines/>
        <w:shd w:val="clear" w:color="auto" w:fill="FFFFFF"/>
        <w:spacing w:before="0" w:beforeAutospacing="0" w:after="0" w:afterAutospacing="0" w:line="236" w:lineRule="atLeast"/>
        <w:rPr>
          <w:bCs/>
          <w:sz w:val="22"/>
          <w:szCs w:val="22"/>
        </w:rPr>
      </w:pPr>
    </w:p>
    <w:p w:rsidR="001C3031" w:rsidP="005F0BC0" w14:paraId="44666412" w14:textId="77777777">
      <w:pPr>
        <w:pStyle w:val="NormalWeb"/>
        <w:shd w:val="clear" w:color="auto" w:fill="FFFFFF"/>
        <w:spacing w:before="0" w:beforeAutospacing="0" w:after="0" w:afterAutospacing="0"/>
        <w:rPr>
          <w:b/>
          <w:sz w:val="22"/>
          <w:szCs w:val="22"/>
          <w:u w:val="single"/>
        </w:rPr>
      </w:pPr>
    </w:p>
    <w:p w:rsidR="001C3031" w:rsidP="005F0BC0" w14:paraId="26855DA1" w14:textId="77777777">
      <w:pPr>
        <w:pStyle w:val="NormalWeb"/>
        <w:shd w:val="clear" w:color="auto" w:fill="FFFFFF"/>
        <w:spacing w:before="0" w:beforeAutospacing="0" w:after="0" w:afterAutospacing="0"/>
        <w:rPr>
          <w:b/>
          <w:sz w:val="22"/>
          <w:szCs w:val="22"/>
          <w:u w:val="single"/>
        </w:rPr>
      </w:pPr>
    </w:p>
    <w:p w:rsidR="005F0BC0" w:rsidRPr="00771831" w:rsidP="005F0BC0" w14:paraId="3403F869" w14:textId="2719DECE">
      <w:pPr>
        <w:pStyle w:val="NormalWeb"/>
        <w:shd w:val="clear" w:color="auto" w:fill="FFFFFF"/>
        <w:spacing w:before="0" w:beforeAutospacing="0" w:after="0" w:afterAutospacing="0"/>
        <w:rPr>
          <w:b/>
          <w:sz w:val="22"/>
          <w:szCs w:val="22"/>
          <w:u w:val="single"/>
        </w:rPr>
      </w:pPr>
      <w:r w:rsidRPr="00771831">
        <w:rPr>
          <w:b/>
          <w:sz w:val="22"/>
          <w:szCs w:val="22"/>
          <w:u w:val="single"/>
        </w:rPr>
        <w:t>Satellite Space Station Licensees</w:t>
      </w:r>
    </w:p>
    <w:p w:rsidR="005F0BC0" w:rsidRPr="00771831" w:rsidP="005F0BC0" w14:paraId="175DA51B" w14:textId="3109558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xml:space="preserve"> What You Owe—International and Satellite Services</w:t>
      </w:r>
      <w:r w:rsidR="00344679">
        <w:rPr>
          <w:bCs/>
          <w:i/>
          <w:color w:val="auto"/>
          <w:sz w:val="22"/>
          <w:szCs w:val="22"/>
        </w:rPr>
        <w:t xml:space="preserve"> </w:t>
      </w:r>
      <w:r w:rsidRPr="00771831">
        <w:rPr>
          <w:bCs/>
          <w:i/>
          <w:color w:val="auto"/>
          <w:sz w:val="22"/>
          <w:szCs w:val="22"/>
        </w:rPr>
        <w:t>Licensees for FY 20</w:t>
      </w:r>
      <w:r w:rsidR="006643C2">
        <w:rPr>
          <w:bCs/>
          <w:i/>
          <w:color w:val="auto"/>
          <w:sz w:val="22"/>
          <w:szCs w:val="22"/>
        </w:rPr>
        <w:t>21</w:t>
      </w:r>
      <w:r w:rsidRPr="00771831">
        <w:rPr>
          <w:bCs/>
          <w:i/>
          <w:color w:val="auto"/>
          <w:sz w:val="22"/>
          <w:szCs w:val="22"/>
        </w:rPr>
        <w:t>.</w:t>
      </w:r>
    </w:p>
    <w:p w:rsidR="005F0BC0" w:rsidRPr="00771831" w:rsidP="005F0BC0" w14:paraId="7E93CD8A" w14:textId="77777777">
      <w:pPr>
        <w:pStyle w:val="NormalWeb"/>
        <w:shd w:val="clear" w:color="auto" w:fill="FFFFFF"/>
        <w:spacing w:before="0" w:beforeAutospacing="0" w:after="0" w:afterAutospacing="0"/>
        <w:rPr>
          <w:bCs/>
          <w:color w:val="auto"/>
          <w:sz w:val="22"/>
          <w:szCs w:val="22"/>
        </w:rPr>
      </w:pPr>
    </w:p>
    <w:p w:rsidR="005F0BC0" w:rsidRPr="00771831" w:rsidP="005F0BC0" w14:paraId="07412FB2" w14:textId="77777777">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P="005F0BC0" w14:paraId="6ACF619B" w14:textId="4E22E758">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 xml:space="preserve">Fact Sheet: </w:t>
      </w:r>
      <w:r w:rsidRPr="00771831">
        <w:rPr>
          <w:bCs/>
          <w:i/>
          <w:color w:val="auto"/>
          <w:sz w:val="22"/>
          <w:szCs w:val="22"/>
        </w:rPr>
        <w:t>What You Owe—International and Satellite Services</w:t>
      </w:r>
      <w:r w:rsidR="00344679">
        <w:rPr>
          <w:bCs/>
          <w:i/>
          <w:color w:val="auto"/>
          <w:sz w:val="22"/>
          <w:szCs w:val="22"/>
        </w:rPr>
        <w:t xml:space="preserve"> </w:t>
      </w:r>
      <w:r w:rsidRPr="00771831">
        <w:rPr>
          <w:bCs/>
          <w:i/>
          <w:color w:val="auto"/>
          <w:sz w:val="22"/>
          <w:szCs w:val="22"/>
        </w:rPr>
        <w:t>Licensees for FY 20</w:t>
      </w:r>
      <w:r w:rsidR="00B93E03">
        <w:rPr>
          <w:bCs/>
          <w:i/>
          <w:color w:val="auto"/>
          <w:sz w:val="22"/>
          <w:szCs w:val="22"/>
        </w:rPr>
        <w:t>2</w:t>
      </w:r>
      <w:r w:rsidR="006643C2">
        <w:rPr>
          <w:bCs/>
          <w:i/>
          <w:color w:val="auto"/>
          <w:sz w:val="22"/>
          <w:szCs w:val="22"/>
        </w:rPr>
        <w:t>1</w:t>
      </w:r>
      <w:r w:rsidRPr="00771831">
        <w:rPr>
          <w:bCs/>
          <w:i/>
          <w:color w:val="auto"/>
          <w:sz w:val="22"/>
          <w:szCs w:val="22"/>
        </w:rPr>
        <w:t>.</w:t>
      </w:r>
    </w:p>
    <w:p w:rsidR="005F0BC0" w:rsidRPr="00771831" w:rsidP="005F0BC0" w14:paraId="30E05C03" w14:textId="77777777">
      <w:pPr>
        <w:pStyle w:val="NormalWeb"/>
        <w:shd w:val="clear" w:color="auto" w:fill="FFFFFF"/>
        <w:spacing w:before="0" w:beforeAutospacing="0" w:after="0" w:afterAutospacing="0"/>
        <w:rPr>
          <w:bCs/>
          <w:color w:val="auto"/>
          <w:sz w:val="22"/>
          <w:szCs w:val="22"/>
        </w:rPr>
      </w:pPr>
    </w:p>
    <w:p w:rsidR="005F0BC0" w:rsidRPr="00771831" w:rsidP="005F0BC0" w14:paraId="2A36BDBA" w14:textId="77777777">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P="005F0BC0" w14:paraId="11194BDC" w14:textId="46765186">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What You Owe—Cable Television Systems</w:t>
      </w:r>
      <w:r w:rsidR="00CE2D32">
        <w:rPr>
          <w:bCs/>
          <w:i/>
          <w:color w:val="auto"/>
          <w:sz w:val="22"/>
          <w:szCs w:val="22"/>
        </w:rPr>
        <w:t>, IPTV, and DBS</w:t>
      </w:r>
      <w:r w:rsidRPr="00771831">
        <w:rPr>
          <w:bCs/>
          <w:i/>
          <w:color w:val="auto"/>
          <w:sz w:val="22"/>
          <w:szCs w:val="22"/>
        </w:rPr>
        <w:t xml:space="preserve"> for FY 20</w:t>
      </w:r>
      <w:r w:rsidR="00B93E03">
        <w:rPr>
          <w:bCs/>
          <w:i/>
          <w:color w:val="auto"/>
          <w:sz w:val="22"/>
          <w:szCs w:val="22"/>
        </w:rPr>
        <w:t>2</w:t>
      </w:r>
      <w:r w:rsidR="006643C2">
        <w:rPr>
          <w:bCs/>
          <w:i/>
          <w:color w:val="auto"/>
          <w:sz w:val="22"/>
          <w:szCs w:val="22"/>
        </w:rPr>
        <w:t>1</w:t>
      </w:r>
      <w:r w:rsidRPr="00771831">
        <w:rPr>
          <w:bCs/>
          <w:i/>
          <w:color w:val="auto"/>
          <w:sz w:val="22"/>
          <w:szCs w:val="22"/>
        </w:rPr>
        <w:t>.</w:t>
      </w:r>
    </w:p>
    <w:p w:rsidR="005F0BC0" w:rsidRPr="00771831" w:rsidP="005F0BC0" w14:paraId="127FEEBF" w14:textId="77777777">
      <w:pPr>
        <w:pStyle w:val="NormalWeb"/>
        <w:shd w:val="clear" w:color="auto" w:fill="FFFFFF"/>
        <w:spacing w:before="0" w:beforeAutospacing="0" w:after="0" w:afterAutospacing="0"/>
        <w:rPr>
          <w:bCs/>
          <w:color w:val="auto"/>
          <w:sz w:val="22"/>
          <w:szCs w:val="22"/>
        </w:rPr>
      </w:pPr>
    </w:p>
    <w:p w:rsidR="005F0BC0" w:rsidRPr="00771831" w:rsidP="005F0BC0" w14:paraId="50F6D53A" w14:textId="77777777">
      <w:pPr>
        <w:rPr>
          <w:b/>
          <w:szCs w:val="22"/>
          <w:u w:val="single"/>
        </w:rPr>
      </w:pPr>
      <w:r w:rsidRPr="00771831">
        <w:rPr>
          <w:b/>
          <w:szCs w:val="22"/>
          <w:u w:val="single"/>
        </w:rPr>
        <w:t>Media Service Licensees</w:t>
      </w:r>
    </w:p>
    <w:p w:rsidR="005F0BC0" w:rsidRPr="00771831" w:rsidP="005F0BC0" w14:paraId="285EE29F" w14:textId="4F0996EA">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Owe—Media Service Licensees for FY 20</w:t>
      </w:r>
      <w:r w:rsidR="00B93E03">
        <w:rPr>
          <w:bCs/>
          <w:i/>
          <w:color w:val="auto"/>
          <w:sz w:val="22"/>
          <w:szCs w:val="22"/>
        </w:rPr>
        <w:t>2</w:t>
      </w:r>
      <w:r w:rsidR="006643C2">
        <w:rPr>
          <w:bCs/>
          <w:i/>
          <w:color w:val="auto"/>
          <w:sz w:val="22"/>
          <w:szCs w:val="22"/>
        </w:rPr>
        <w:t>1</w:t>
      </w:r>
      <w:r w:rsidRPr="00771831">
        <w:rPr>
          <w:bCs/>
          <w:i/>
          <w:color w:val="auto"/>
          <w:sz w:val="22"/>
          <w:szCs w:val="22"/>
        </w:rPr>
        <w:t>.</w:t>
      </w:r>
      <w:r w:rsidRPr="00771831">
        <w:rPr>
          <w:bCs/>
          <w:sz w:val="22"/>
          <w:szCs w:val="22"/>
        </w:rPr>
        <w:t xml:space="preserve"> </w:t>
      </w:r>
    </w:p>
    <w:p w:rsidR="005F0BC0" w:rsidRPr="00771831" w:rsidP="005F0BC0" w14:paraId="5B28AB5A" w14:textId="77777777">
      <w:pPr>
        <w:pStyle w:val="NormalWeb"/>
        <w:shd w:val="clear" w:color="auto" w:fill="FFFFFF"/>
        <w:spacing w:before="0" w:beforeAutospacing="0" w:after="0" w:afterAutospacing="0"/>
        <w:rPr>
          <w:bCs/>
          <w:sz w:val="22"/>
          <w:szCs w:val="22"/>
        </w:rPr>
      </w:pPr>
    </w:p>
    <w:p w:rsidR="005F0BC0" w:rsidRPr="00771831" w:rsidP="005F0BC0" w14:paraId="42428160" w14:textId="77777777">
      <w:pPr>
        <w:rPr>
          <w:b/>
          <w:szCs w:val="22"/>
          <w:u w:val="single"/>
        </w:rPr>
      </w:pPr>
      <w:r w:rsidRPr="00771831">
        <w:rPr>
          <w:b/>
          <w:szCs w:val="22"/>
          <w:u w:val="single"/>
        </w:rPr>
        <w:t>Commercial Wireless Services</w:t>
      </w:r>
    </w:p>
    <w:p w:rsidR="005F0BC0" w:rsidP="005F0BC0" w14:paraId="0C6A0603" w14:textId="13A2AA83">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Owe—Commercial Wireless Service Licensees for FY 20</w:t>
      </w:r>
      <w:r w:rsidR="00B93E03">
        <w:rPr>
          <w:bCs/>
          <w:i/>
          <w:color w:val="auto"/>
          <w:sz w:val="22"/>
          <w:szCs w:val="22"/>
        </w:rPr>
        <w:t>2</w:t>
      </w:r>
      <w:r w:rsidR="006643C2">
        <w:rPr>
          <w:bCs/>
          <w:i/>
          <w:color w:val="auto"/>
          <w:sz w:val="22"/>
          <w:szCs w:val="22"/>
        </w:rPr>
        <w:t>1</w:t>
      </w:r>
      <w:r w:rsidRPr="00771831">
        <w:rPr>
          <w:bCs/>
          <w:i/>
          <w:color w:val="auto"/>
          <w:sz w:val="22"/>
          <w:szCs w:val="22"/>
        </w:rPr>
        <w:t>.</w:t>
      </w:r>
      <w:r w:rsidRPr="00771831">
        <w:rPr>
          <w:bCs/>
          <w:sz w:val="22"/>
          <w:szCs w:val="22"/>
        </w:rPr>
        <w:t xml:space="preserve">  </w:t>
      </w:r>
    </w:p>
    <w:p w:rsidR="003D1C9E" w:rsidP="005F0BC0" w14:paraId="0A0C9BA7" w14:textId="20BC010E">
      <w:pPr>
        <w:pStyle w:val="NormalWeb"/>
        <w:shd w:val="clear" w:color="auto" w:fill="FFFFFF"/>
        <w:spacing w:before="0" w:beforeAutospacing="0" w:after="0" w:afterAutospacing="0"/>
        <w:rPr>
          <w:bCs/>
          <w:sz w:val="22"/>
          <w:szCs w:val="22"/>
        </w:rPr>
      </w:pPr>
    </w:p>
    <w:p w:rsidR="003D1C9E" w:rsidRPr="00771831" w:rsidP="003D1C9E" w14:paraId="64CACD0D" w14:textId="50DD752E">
      <w:pPr>
        <w:rPr>
          <w:b/>
          <w:szCs w:val="22"/>
          <w:u w:val="single"/>
        </w:rPr>
      </w:pPr>
      <w:r>
        <w:rPr>
          <w:b/>
          <w:szCs w:val="22"/>
          <w:u w:val="single"/>
        </w:rPr>
        <w:t>Exemptions</w:t>
      </w:r>
    </w:p>
    <w:p w:rsidR="005F0BC0" w:rsidRPr="00771831" w:rsidP="005F0BC0" w14:paraId="5A75552A" w14:textId="44224D48">
      <w:pPr>
        <w:pStyle w:val="NormalWeb"/>
        <w:shd w:val="clear" w:color="auto" w:fill="FFFFFF"/>
        <w:spacing w:before="0" w:beforeAutospacing="0" w:after="0" w:afterAutospacing="0"/>
        <w:rPr>
          <w:bCs/>
          <w:color w:val="auto"/>
          <w:sz w:val="22"/>
          <w:szCs w:val="22"/>
        </w:rPr>
      </w:pPr>
      <w:r w:rsidRPr="001C3031">
        <w:rPr>
          <w:bCs/>
          <w:iCs/>
          <w:color w:val="auto"/>
          <w:sz w:val="22"/>
          <w:szCs w:val="22"/>
        </w:rPr>
        <w:t xml:space="preserve">Please </w:t>
      </w:r>
      <w:r>
        <w:rPr>
          <w:bCs/>
          <w:iCs/>
          <w:color w:val="auto"/>
          <w:sz w:val="22"/>
          <w:szCs w:val="22"/>
        </w:rPr>
        <w:t xml:space="preserve">see </w:t>
      </w:r>
      <w:r w:rsidRPr="001C3031">
        <w:rPr>
          <w:bCs/>
          <w:iCs/>
          <w:color w:val="auto"/>
          <w:sz w:val="22"/>
          <w:szCs w:val="22"/>
        </w:rPr>
        <w:t xml:space="preserve">the guidance provided in the </w:t>
      </w:r>
      <w:r w:rsidRPr="007E667C" w:rsidR="003D1C9E">
        <w:rPr>
          <w:bCs/>
          <w:iCs/>
          <w:color w:val="auto"/>
          <w:sz w:val="22"/>
          <w:szCs w:val="22"/>
        </w:rPr>
        <w:t>Fact Sheet:</w:t>
      </w:r>
      <w:r w:rsidRPr="00771831" w:rsidR="003D1C9E">
        <w:rPr>
          <w:bCs/>
          <w:i/>
          <w:color w:val="auto"/>
          <w:sz w:val="22"/>
          <w:szCs w:val="22"/>
        </w:rPr>
        <w:t xml:space="preserve"> </w:t>
      </w:r>
      <w:r w:rsidR="003D1C9E">
        <w:rPr>
          <w:bCs/>
          <w:i/>
          <w:color w:val="auto"/>
          <w:sz w:val="22"/>
          <w:szCs w:val="22"/>
        </w:rPr>
        <w:t>Regulatory Fee Exemptions</w:t>
      </w:r>
      <w:r w:rsidRPr="00771831" w:rsidR="003D1C9E">
        <w:rPr>
          <w:bCs/>
          <w:i/>
          <w:color w:val="auto"/>
          <w:sz w:val="22"/>
          <w:szCs w:val="22"/>
        </w:rPr>
        <w:t xml:space="preserve"> for FY 20</w:t>
      </w:r>
      <w:r w:rsidR="003D1C9E">
        <w:rPr>
          <w:bCs/>
          <w:i/>
          <w:color w:val="auto"/>
          <w:sz w:val="22"/>
          <w:szCs w:val="22"/>
        </w:rPr>
        <w:t>2</w:t>
      </w:r>
      <w:r w:rsidR="006643C2">
        <w:rPr>
          <w:bCs/>
          <w:i/>
          <w:color w:val="auto"/>
          <w:sz w:val="22"/>
          <w:szCs w:val="22"/>
        </w:rPr>
        <w:t>1</w:t>
      </w:r>
      <w:r w:rsidRPr="008C2960" w:rsidR="008C2960">
        <w:rPr>
          <w:bCs/>
          <w:i/>
          <w:color w:val="auto"/>
          <w:sz w:val="22"/>
          <w:szCs w:val="22"/>
        </w:rPr>
        <w:t>, General Exemptions</w:t>
      </w:r>
      <w:r w:rsidR="00CE2D32">
        <w:rPr>
          <w:bCs/>
          <w:i/>
          <w:color w:val="auto"/>
          <w:sz w:val="22"/>
          <w:szCs w:val="22"/>
        </w:rPr>
        <w:t>.</w:t>
      </w:r>
    </w:p>
    <w:p w:rsidR="001C3031" w:rsidP="005F0BC0" w14:paraId="07AAD13E" w14:textId="77777777">
      <w:pPr>
        <w:pStyle w:val="NormalWeb"/>
        <w:shd w:val="clear" w:color="auto" w:fill="FFFFFF"/>
        <w:spacing w:before="0" w:beforeAutospacing="0" w:after="0" w:afterAutospacing="0" w:line="236" w:lineRule="atLeast"/>
        <w:rPr>
          <w:sz w:val="22"/>
          <w:szCs w:val="22"/>
        </w:rPr>
      </w:pPr>
    </w:p>
    <w:p w:rsidR="005F0BC0" w:rsidRPr="00771831" w:rsidP="005F0BC0" w14:paraId="62510F50" w14:textId="6565A654">
      <w:pPr>
        <w:pStyle w:val="NormalWeb"/>
        <w:shd w:val="clear" w:color="auto" w:fill="FFFFFF"/>
        <w:spacing w:before="0" w:beforeAutospacing="0" w:after="0" w:afterAutospacing="0" w:line="236" w:lineRule="atLeast"/>
        <w:rPr>
          <w:sz w:val="22"/>
          <w:szCs w:val="22"/>
        </w:rPr>
      </w:pPr>
      <w:r w:rsidRPr="00771831">
        <w:rPr>
          <w:sz w:val="22"/>
          <w:szCs w:val="22"/>
        </w:rPr>
        <w:t>For additional information, filers in these and any other fee category may contact the Financial Operations Hel</w:t>
      </w:r>
      <w:r w:rsidR="001B6CAA">
        <w:rPr>
          <w:sz w:val="22"/>
          <w:szCs w:val="22"/>
        </w:rPr>
        <w:t>p Desk at 877-480-3201, Option 6</w:t>
      </w:r>
      <w:r w:rsidRPr="00771831">
        <w:rPr>
          <w:sz w:val="22"/>
          <w:szCs w:val="22"/>
        </w:rPr>
        <w:t>.</w:t>
      </w:r>
      <w:r w:rsidR="00EF39A4">
        <w:rPr>
          <w:sz w:val="22"/>
          <w:szCs w:val="22"/>
        </w:rPr>
        <w:t xml:space="preserve"> An</w:t>
      </w:r>
      <w:r w:rsidR="00410AA2">
        <w:rPr>
          <w:sz w:val="22"/>
          <w:szCs w:val="22"/>
        </w:rPr>
        <w:t xml:space="preserve"> additional </w:t>
      </w:r>
      <w:r w:rsidR="00EF39A4">
        <w:rPr>
          <w:sz w:val="22"/>
          <w:szCs w:val="22"/>
        </w:rPr>
        <w:t>number to call is (202) 418-1995.</w:t>
      </w:r>
      <w:r w:rsidRPr="00771831">
        <w:rPr>
          <w:sz w:val="22"/>
          <w:szCs w:val="22"/>
        </w:rPr>
        <w:t xml:space="preserve"> </w:t>
      </w:r>
    </w:p>
    <w:p w:rsidR="005F0BC0" w:rsidRPr="00771831" w:rsidP="005F0BC0" w14:paraId="5AC54ED8" w14:textId="77777777">
      <w:pPr>
        <w:pStyle w:val="NormalWeb"/>
        <w:shd w:val="clear" w:color="auto" w:fill="FFFFFF"/>
        <w:spacing w:before="0" w:beforeAutospacing="0" w:after="0" w:afterAutospacing="0" w:line="236" w:lineRule="atLeast"/>
        <w:rPr>
          <w:sz w:val="22"/>
          <w:szCs w:val="22"/>
        </w:rPr>
      </w:pPr>
    </w:p>
    <w:p w:rsidR="005F0BC0" w:rsidRPr="00771831" w:rsidP="005F0BC0" w14:paraId="5E6EAC0E" w14:textId="0EA9EF95">
      <w:pPr>
        <w:pStyle w:val="NormalWeb"/>
        <w:shd w:val="clear" w:color="auto" w:fill="FFFFFF"/>
        <w:spacing w:before="0" w:beforeAutospacing="0" w:after="0" w:afterAutospacing="0" w:line="236" w:lineRule="atLeast"/>
        <w:jc w:val="center"/>
        <w:rPr>
          <w:b/>
          <w:bCs/>
          <w:sz w:val="22"/>
          <w:szCs w:val="22"/>
        </w:rPr>
      </w:pPr>
      <w:r w:rsidRPr="00771831">
        <w:rPr>
          <w:b/>
          <w:bCs/>
          <w:sz w:val="22"/>
          <w:szCs w:val="22"/>
        </w:rPr>
        <w:t>FCC REGISTRATION NUMBER MUST BE CURRENT IN CORES</w:t>
      </w:r>
    </w:p>
    <w:p w:rsidR="005F0BC0" w:rsidRPr="00771831" w:rsidP="005F0BC0" w14:paraId="56CB6B07" w14:textId="77777777">
      <w:pPr>
        <w:pStyle w:val="NormalWeb"/>
        <w:shd w:val="clear" w:color="auto" w:fill="FFFFFF"/>
        <w:spacing w:before="0" w:beforeAutospacing="0" w:after="0" w:afterAutospacing="0" w:line="236" w:lineRule="atLeast"/>
        <w:jc w:val="center"/>
        <w:rPr>
          <w:b/>
          <w:bCs/>
          <w:sz w:val="22"/>
          <w:szCs w:val="22"/>
        </w:rPr>
      </w:pPr>
    </w:p>
    <w:p w:rsidR="005F0BC0" w:rsidRPr="00771831" w:rsidP="005F0BC0" w14:paraId="54D5D27E" w14:textId="71BECEC4">
      <w:pPr>
        <w:tabs>
          <w:tab w:val="left" w:pos="-720"/>
        </w:tabs>
        <w:suppressAutoHyphens/>
        <w:outlineLvl w:val="0"/>
        <w:rPr>
          <w:szCs w:val="22"/>
        </w:rPr>
      </w:pPr>
      <w:r w:rsidRPr="00771831">
        <w:rPr>
          <w:bCs/>
          <w:szCs w:val="22"/>
        </w:rPr>
        <w:t>It</w:t>
      </w:r>
      <w:r w:rsidRPr="00771831">
        <w:rPr>
          <w:szCs w:val="22"/>
        </w:rPr>
        <w:t xml:space="preserve"> is very important for licensees and regulatees to have a current and valid FRN address on file in the Commission’s Registration System (CORES).  To file and pay regulatory fees, fee payors will need to have their FRN passwords available when entering Fee Filer.  When entering Fee Filer, using </w:t>
      </w:r>
      <w:r w:rsidR="00AD4A9D">
        <w:rPr>
          <w:szCs w:val="22"/>
        </w:rPr>
        <w:t>the correct</w:t>
      </w:r>
      <w:r w:rsidRPr="00771831">
        <w:rPr>
          <w:szCs w:val="22"/>
        </w:rPr>
        <w:t xml:space="preserve"> FRN and password linked to a particular regulatory fee bill</w:t>
      </w:r>
      <w:r w:rsidR="00AD4A9D">
        <w:rPr>
          <w:szCs w:val="22"/>
        </w:rPr>
        <w:t>,</w:t>
      </w:r>
      <w:r w:rsidRPr="00771831">
        <w:rPr>
          <w:szCs w:val="22"/>
        </w:rPr>
        <w:t xml:space="preserve"> will help to reduce </w:t>
      </w:r>
      <w:r w:rsidR="00AD4A9D">
        <w:rPr>
          <w:szCs w:val="22"/>
        </w:rPr>
        <w:t xml:space="preserve">time in searching for the bill.  </w:t>
      </w:r>
      <w:r w:rsidRPr="00771831">
        <w:rPr>
          <w:szCs w:val="22"/>
        </w:rPr>
        <w:t xml:space="preserve">Fee payors that do not have an FRN should go to </w:t>
      </w:r>
      <w:hyperlink r:id="rId6" w:history="1">
        <w:r w:rsidRPr="006E5829" w:rsidR="00794235">
          <w:rPr>
            <w:rStyle w:val="Hyperlink"/>
            <w:szCs w:val="22"/>
          </w:rPr>
          <w:t>www.fcc.gov</w:t>
        </w:r>
      </w:hyperlink>
      <w:r w:rsidRPr="00771831">
        <w:rPr>
          <w:szCs w:val="22"/>
        </w:rPr>
        <w:t xml:space="preserve"> and click on the link to FCC Registration Number (FRN) Commission Registration System (CORES) to obtain one.</w:t>
      </w:r>
    </w:p>
    <w:p w:rsidR="005F0BC0" w:rsidRPr="00771831" w14:paraId="29F91BA5" w14:textId="77777777">
      <w:pPr>
        <w:pStyle w:val="NormalWeb"/>
        <w:shd w:val="clear" w:color="auto" w:fill="FFFFFF"/>
        <w:spacing w:before="0" w:beforeAutospacing="0" w:after="0" w:afterAutospacing="0" w:line="236" w:lineRule="atLeast"/>
        <w:rPr>
          <w:sz w:val="22"/>
          <w:szCs w:val="22"/>
        </w:rPr>
      </w:pPr>
      <w:r w:rsidRPr="00771831">
        <w:rPr>
          <w:sz w:val="22"/>
          <w:szCs w:val="22"/>
        </w:rPr>
        <w:t xml:space="preserve"> </w:t>
      </w:r>
    </w:p>
    <w:p w:rsidR="005F0BC0" w:rsidRPr="00771831" w14:paraId="54A643AF" w14:textId="77777777">
      <w:pPr>
        <w:tabs>
          <w:tab w:val="left" w:pos="-720"/>
        </w:tabs>
        <w:suppressAutoHyphens/>
        <w:jc w:val="center"/>
        <w:outlineLvl w:val="0"/>
        <w:rPr>
          <w:b/>
          <w:szCs w:val="22"/>
        </w:rPr>
      </w:pPr>
      <w:r w:rsidRPr="00771831">
        <w:rPr>
          <w:b/>
          <w:szCs w:val="22"/>
        </w:rPr>
        <w:t>LIMITATIONS ON CREDIT CARD TRANSACTIONS</w:t>
      </w:r>
    </w:p>
    <w:p w:rsidR="005F0BC0" w:rsidRPr="00771831" w14:paraId="097F7A01" w14:textId="77777777">
      <w:pPr>
        <w:tabs>
          <w:tab w:val="left" w:pos="-720"/>
        </w:tabs>
        <w:suppressAutoHyphens/>
        <w:jc w:val="center"/>
        <w:outlineLvl w:val="0"/>
        <w:rPr>
          <w:b/>
          <w:szCs w:val="22"/>
        </w:rPr>
      </w:pPr>
    </w:p>
    <w:p w:rsidR="005F0BC0" w:rsidRPr="00771831" w:rsidP="005F0BC0" w14:paraId="7A781B47" w14:textId="3C1475C1">
      <w:pPr>
        <w:ind w:right="758"/>
        <w:rPr>
          <w:szCs w:val="22"/>
        </w:rPr>
      </w:pPr>
      <w:r w:rsidRPr="00771831">
        <w:rPr>
          <w:szCs w:val="22"/>
        </w:rPr>
        <w:t xml:space="preserve">The U.S Treasury will not process credit card transactions greater than $24,999.99.  </w:t>
      </w:r>
      <w:r w:rsidRPr="00771831">
        <w:t>In accordance with U.S. Treasury Announcement No. A-2014-04 (July 2014), the amount that can be charged on a credit card for transactions with federal agencies has been reduced to $24,999.99.</w:t>
      </w:r>
      <w:r>
        <w:rPr>
          <w:rStyle w:val="FootnoteReference"/>
        </w:rPr>
        <w:footnoteReference w:id="3"/>
      </w:r>
      <w:r w:rsidR="00794235">
        <w:t xml:space="preserve">  </w:t>
      </w:r>
      <w:r w:rsidRPr="00771831">
        <w:t xml:space="preserve">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w:t>
      </w:r>
      <w:r w:rsidRPr="00771831">
        <w:t>$24,999.99 should consider available electronic alternatives such as Visa or MasterCard debit cards, ACH</w:t>
      </w:r>
      <w:r w:rsidR="00794235">
        <w:t xml:space="preserve"> </w:t>
      </w:r>
      <w:r w:rsidRPr="00771831">
        <w:t xml:space="preserve">debits from a bank account, and wire transfers.  Each of these payment options is available after filing regulatory fee information in Fee Filer.  </w:t>
      </w:r>
    </w:p>
    <w:p w:rsidR="005F0BC0" w:rsidRPr="00771831" w:rsidP="005F0BC0" w14:paraId="6CBB655B" w14:textId="77777777">
      <w:pPr>
        <w:ind w:right="758"/>
        <w:rPr>
          <w:szCs w:val="22"/>
        </w:rPr>
      </w:pPr>
    </w:p>
    <w:p w:rsidR="005F0BC0" w:rsidRPr="00771831" w:rsidP="005F0BC0" w14:paraId="6C2C49EB" w14:textId="77777777">
      <w:pPr>
        <w:ind w:right="758"/>
        <w:rPr>
          <w:szCs w:val="22"/>
        </w:rPr>
      </w:pPr>
      <w:r w:rsidRPr="00771831">
        <w:rPr>
          <w:szCs w:val="22"/>
        </w:rPr>
        <w:t>Regulatory fee payments that exceed the U.S. Treasury limit and are rejected by Treasury, causing a payment not to meet the required payment deadline, will be subject to interest, fees, and a 25% late payment penalty.</w:t>
      </w:r>
    </w:p>
    <w:p w:rsidR="005F0BC0" w:rsidRPr="00771831" w:rsidP="005F0BC0" w14:paraId="7A1CB1EE" w14:textId="77777777">
      <w:pPr>
        <w:tabs>
          <w:tab w:val="left" w:pos="-720"/>
        </w:tabs>
        <w:suppressAutoHyphens/>
        <w:outlineLvl w:val="0"/>
        <w:rPr>
          <w:szCs w:val="22"/>
        </w:rPr>
      </w:pPr>
      <w:r w:rsidRPr="00771831">
        <w:rPr>
          <w:szCs w:val="22"/>
        </w:rPr>
        <w:t xml:space="preserve"> </w:t>
      </w:r>
    </w:p>
    <w:p w:rsidR="005F0BC0" w:rsidRPr="00771831" w14:paraId="39E2F784" w14:textId="77777777">
      <w:pPr>
        <w:jc w:val="center"/>
        <w:rPr>
          <w:b/>
          <w:szCs w:val="22"/>
        </w:rPr>
      </w:pPr>
      <w:bookmarkStart w:id="0" w:name="_Hlk81495509"/>
      <w:r w:rsidRPr="00771831">
        <w:rPr>
          <w:b/>
          <w:szCs w:val="22"/>
        </w:rPr>
        <w:t>ELECTRONIC FILING AND PAYMENT PROCEDURES (FOR ALL ENTITIES)</w:t>
      </w:r>
    </w:p>
    <w:p w:rsidR="005F0BC0" w:rsidRPr="00771831" w14:paraId="533E46C3" w14:textId="77777777">
      <w:pPr>
        <w:jc w:val="center"/>
        <w:rPr>
          <w:b/>
          <w:szCs w:val="22"/>
        </w:rPr>
      </w:pPr>
    </w:p>
    <w:p w:rsidR="005F0BC0" w:rsidRPr="00771831" w14:paraId="172D8F71" w14:textId="77F642FA">
      <w:pPr>
        <w:tabs>
          <w:tab w:val="left" w:pos="-720"/>
        </w:tabs>
        <w:suppressAutoHyphens/>
        <w:rPr>
          <w:szCs w:val="22"/>
        </w:rPr>
      </w:pPr>
      <w:r w:rsidRPr="00771831">
        <w:rPr>
          <w:spacing w:val="-3"/>
          <w:szCs w:val="22"/>
        </w:rPr>
        <w:t>All fee payors must enter the C</w:t>
      </w:r>
      <w:r w:rsidR="00794235">
        <w:rPr>
          <w:spacing w:val="-3"/>
          <w:szCs w:val="22"/>
        </w:rPr>
        <w:t>ommission</w:t>
      </w:r>
      <w:r w:rsidRPr="00771831">
        <w:rPr>
          <w:spacing w:val="-3"/>
          <w:szCs w:val="22"/>
        </w:rPr>
        <w:t>’s Fee Filer system to begin the process of filing FY 20</w:t>
      </w:r>
      <w:r w:rsidR="00B93E03">
        <w:rPr>
          <w:spacing w:val="-3"/>
          <w:szCs w:val="22"/>
        </w:rPr>
        <w:t>2</w:t>
      </w:r>
      <w:r w:rsidR="004C7D4E">
        <w:rPr>
          <w:spacing w:val="-3"/>
          <w:szCs w:val="22"/>
        </w:rPr>
        <w:t>1</w:t>
      </w:r>
      <w:r w:rsidRPr="00771831">
        <w:rPr>
          <w:spacing w:val="-3"/>
          <w:szCs w:val="22"/>
        </w:rPr>
        <w:t xml:space="preserve"> regulatory fees.  The Fee Filer web application is located at:  </w:t>
      </w:r>
      <w:hyperlink r:id="rId7" w:history="1">
        <w:r w:rsidRPr="00771831">
          <w:rPr>
            <w:rStyle w:val="Hyperlink"/>
            <w:szCs w:val="22"/>
          </w:rPr>
          <w:t>www.fcc.gov/feefiler</w:t>
        </w:r>
      </w:hyperlink>
      <w:r w:rsidRPr="00771831">
        <w:rPr>
          <w:spacing w:val="-3"/>
          <w:szCs w:val="22"/>
        </w:rPr>
        <w:t xml:space="preserve">.  After logging in with an FRN and password, the “Regulatory Fees” option should be selected to display billed and non-billed regulatory fees.  </w:t>
      </w:r>
      <w:r w:rsidRPr="00771831">
        <w:rPr>
          <w:szCs w:val="22"/>
        </w:rPr>
        <w:t>It is the responsibility of each fee payor to determine its regulatory fee obligation.</w:t>
      </w:r>
      <w:bookmarkEnd w:id="0"/>
      <w:r w:rsidRPr="00771831">
        <w:rPr>
          <w:szCs w:val="22"/>
        </w:rPr>
        <w:t xml:space="preserve"> </w:t>
      </w:r>
    </w:p>
    <w:p w:rsidR="005F0BC0" w:rsidRPr="00771831" w14:paraId="49E4AB68" w14:textId="77777777">
      <w:pPr>
        <w:tabs>
          <w:tab w:val="left" w:pos="-720"/>
        </w:tabs>
        <w:suppressAutoHyphens/>
        <w:rPr>
          <w:szCs w:val="22"/>
        </w:rPr>
      </w:pPr>
    </w:p>
    <w:p w:rsidR="005F0BC0" w:rsidRPr="00771831" w14:paraId="649087F3" w14:textId="77777777">
      <w:pPr>
        <w:pStyle w:val="NormalWeb"/>
        <w:shd w:val="clear" w:color="auto" w:fill="FFFFFF"/>
        <w:spacing w:before="0" w:beforeAutospacing="0" w:after="0" w:afterAutospacing="0"/>
        <w:rPr>
          <w:color w:val="auto"/>
          <w:spacing w:val="-3"/>
          <w:sz w:val="22"/>
          <w:szCs w:val="22"/>
        </w:rPr>
      </w:pPr>
      <w:r w:rsidRPr="00771831">
        <w:rPr>
          <w:color w:val="auto"/>
          <w:spacing w:val="-3"/>
          <w:sz w:val="22"/>
          <w:szCs w:val="22"/>
        </w:rPr>
        <w:t xml:space="preserve">Fee Filer displays fee information associated with an FRN.  Although the Commission makes every effort to assure the accuracy of the information contained in Fee Filer, the Commission cautions fee payors that any errors in the information contained in Fee Filer do not relieve fee payors of the responsibility to pay all fees correctly. </w:t>
      </w:r>
      <w:r w:rsidRPr="00771831">
        <w:rPr>
          <w:spacing w:val="-3"/>
          <w:sz w:val="22"/>
          <w:szCs w:val="22"/>
        </w:rPr>
        <w:t xml:space="preserve"> </w:t>
      </w:r>
      <w:r w:rsidRPr="00771831">
        <w:rPr>
          <w:color w:val="auto"/>
          <w:spacing w:val="-3"/>
          <w:sz w:val="22"/>
          <w:szCs w:val="22"/>
        </w:rPr>
        <w:t xml:space="preserve">Fee payors may make adjustments, corrections, additions, or deletions to the information contained in Fee Filer, if necessary. </w:t>
      </w:r>
    </w:p>
    <w:p w:rsidR="005F0BC0" w:rsidRPr="00771831" w14:paraId="17BC66F2" w14:textId="77777777">
      <w:pPr>
        <w:pStyle w:val="NormalWeb"/>
        <w:shd w:val="clear" w:color="auto" w:fill="FFFFFF"/>
        <w:spacing w:before="0" w:beforeAutospacing="0" w:after="0" w:afterAutospacing="0"/>
        <w:rPr>
          <w:color w:val="auto"/>
          <w:spacing w:val="-3"/>
          <w:sz w:val="22"/>
          <w:szCs w:val="22"/>
        </w:rPr>
      </w:pPr>
    </w:p>
    <w:p w:rsidR="005F0BC0" w:rsidRPr="00771831" w14:paraId="31C61A72" w14:textId="77777777">
      <w:pPr>
        <w:pStyle w:val="NormalWeb"/>
        <w:shd w:val="clear" w:color="auto" w:fill="FFFFFF"/>
        <w:spacing w:before="0" w:beforeAutospacing="0" w:after="0" w:afterAutospacing="0"/>
        <w:rPr>
          <w:spacing w:val="-3"/>
          <w:sz w:val="22"/>
          <w:szCs w:val="22"/>
        </w:rPr>
      </w:pPr>
      <w:r w:rsidRPr="00771831">
        <w:rPr>
          <w:spacing w:val="-3"/>
          <w:sz w:val="22"/>
          <w:szCs w:val="22"/>
        </w:rPr>
        <w:t xml:space="preserve">For technical assistance, please contact the </w:t>
      </w:r>
      <w:r w:rsidRPr="00771831">
        <w:rPr>
          <w:color w:val="auto"/>
          <w:spacing w:val="-3"/>
          <w:sz w:val="22"/>
          <w:szCs w:val="22"/>
        </w:rPr>
        <w:t xml:space="preserve">Financial Operations Help Desk at </w:t>
      </w:r>
      <w:r w:rsidR="00F42416">
        <w:rPr>
          <w:sz w:val="22"/>
          <w:szCs w:val="22"/>
        </w:rPr>
        <w:t xml:space="preserve">(877) 480-3201, Option </w:t>
      </w:r>
      <w:r w:rsidR="00B93E03">
        <w:rPr>
          <w:sz w:val="22"/>
          <w:szCs w:val="22"/>
        </w:rPr>
        <w:t>6</w:t>
      </w:r>
      <w:r w:rsidRPr="00771831">
        <w:rPr>
          <w:sz w:val="22"/>
          <w:szCs w:val="22"/>
        </w:rPr>
        <w:t>.</w:t>
      </w:r>
    </w:p>
    <w:p w:rsidR="005F0BC0" w:rsidRPr="00771831" w14:paraId="17F15AAA" w14:textId="77777777">
      <w:pPr>
        <w:tabs>
          <w:tab w:val="left" w:pos="-720"/>
        </w:tabs>
        <w:suppressAutoHyphens/>
        <w:rPr>
          <w:spacing w:val="-3"/>
          <w:szCs w:val="22"/>
        </w:rPr>
      </w:pPr>
    </w:p>
    <w:p w:rsidR="005F0BC0" w:rsidRPr="00771831" w:rsidP="005F0BC0" w14:paraId="212FD7AB" w14:textId="77777777">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P="005F0BC0" w14:paraId="43717F88" w14:textId="77777777">
      <w:pPr>
        <w:pStyle w:val="NormalWeb"/>
        <w:shd w:val="clear" w:color="auto" w:fill="FFFFFF"/>
        <w:spacing w:before="0" w:beforeAutospacing="0" w:after="0" w:afterAutospacing="0"/>
        <w:jc w:val="center"/>
        <w:rPr>
          <w:b/>
          <w:bCs/>
          <w:sz w:val="22"/>
          <w:szCs w:val="22"/>
        </w:rPr>
      </w:pPr>
    </w:p>
    <w:p w:rsidR="005F0BC0" w:rsidRPr="00771831" w:rsidP="005F0BC0" w14:paraId="74365806" w14:textId="3ED8C270">
      <w:pPr>
        <w:pStyle w:val="NormalWeb"/>
        <w:shd w:val="clear" w:color="auto" w:fill="FFFFFF"/>
        <w:spacing w:before="0" w:beforeAutospacing="0" w:after="0" w:afterAutospacing="0"/>
        <w:rPr>
          <w:sz w:val="22"/>
          <w:szCs w:val="22"/>
        </w:rPr>
      </w:pPr>
      <w:r w:rsidRPr="00771831">
        <w:rPr>
          <w:sz w:val="22"/>
          <w:szCs w:val="22"/>
        </w:rPr>
        <w:t>Licensees and regulatees may pay their regulatory fees by any of the following methods</w:t>
      </w:r>
      <w:r w:rsidR="00794235">
        <w:rPr>
          <w:sz w:val="22"/>
          <w:szCs w:val="22"/>
        </w:rPr>
        <w:t>:</w:t>
      </w:r>
      <w:r w:rsidRPr="00771831">
        <w:rPr>
          <w:sz w:val="22"/>
          <w:szCs w:val="22"/>
        </w:rPr>
        <w:t xml:space="preserve"> </w:t>
      </w:r>
    </w:p>
    <w:p w:rsidR="005F0BC0" w:rsidRPr="00771831" w:rsidP="005F0BC0" w14:paraId="63DBD34A" w14:textId="77777777">
      <w:pPr>
        <w:pStyle w:val="NormalWeb"/>
        <w:shd w:val="clear" w:color="auto" w:fill="FFFFFF"/>
        <w:spacing w:before="0" w:beforeAutospacing="0" w:after="0" w:afterAutospacing="0"/>
        <w:ind w:left="720"/>
        <w:rPr>
          <w:sz w:val="22"/>
          <w:szCs w:val="22"/>
        </w:rPr>
      </w:pPr>
    </w:p>
    <w:p w:rsidR="005F0BC0" w:rsidRPr="00771831" w:rsidP="005F0BC0" w14:paraId="0345BA7E" w14:textId="77777777">
      <w:pPr>
        <w:pStyle w:val="NormalWeb"/>
        <w:numPr>
          <w:ilvl w:val="0"/>
          <w:numId w:val="24"/>
        </w:numPr>
        <w:shd w:val="clear" w:color="auto" w:fill="FFFFFF"/>
        <w:spacing w:before="0" w:beforeAutospacing="0" w:after="0" w:afterAutospacing="0"/>
        <w:rPr>
          <w:sz w:val="22"/>
          <w:szCs w:val="22"/>
        </w:rPr>
      </w:pPr>
      <w:r>
        <w:rPr>
          <w:sz w:val="22"/>
          <w:szCs w:val="22"/>
        </w:rPr>
        <w:t>Credit card (online) via Fee Filer</w:t>
      </w:r>
    </w:p>
    <w:p w:rsidR="005F0BC0" w:rsidRPr="00771831" w:rsidP="005F0BC0" w14:paraId="251029E0" w14:textId="77777777">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p>
    <w:p w:rsidR="005F0BC0" w:rsidRPr="00771831" w:rsidP="005F0BC0" w14:paraId="78232F65" w14:textId="76614F79">
      <w:pPr>
        <w:pStyle w:val="NormalWeb"/>
        <w:numPr>
          <w:ilvl w:val="0"/>
          <w:numId w:val="24"/>
        </w:numPr>
        <w:shd w:val="clear" w:color="auto" w:fill="FFFFFF"/>
        <w:spacing w:before="0" w:beforeAutospacing="0" w:after="0" w:afterAutospacing="0"/>
        <w:rPr>
          <w:sz w:val="22"/>
          <w:szCs w:val="22"/>
        </w:rPr>
      </w:pPr>
      <w:r w:rsidRPr="00771831">
        <w:rPr>
          <w:sz w:val="22"/>
          <w:szCs w:val="22"/>
        </w:rPr>
        <w:t>ACH/debit from bank account (online) via Fee Filer</w:t>
      </w:r>
    </w:p>
    <w:p w:rsidR="005F0BC0" w:rsidRPr="00771831" w:rsidP="005F0BC0" w14:paraId="78DE2F4C" w14:textId="77777777">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Fee Filer</w:t>
      </w:r>
    </w:p>
    <w:p w:rsidR="005F0BC0" w:rsidRPr="00771831" w:rsidP="005F0BC0" w14:paraId="7EC96F51" w14:textId="77777777">
      <w:pPr>
        <w:tabs>
          <w:tab w:val="left" w:pos="-720"/>
        </w:tabs>
        <w:suppressAutoHyphens/>
        <w:outlineLvl w:val="0"/>
        <w:rPr>
          <w:b/>
          <w:szCs w:val="22"/>
        </w:rPr>
      </w:pPr>
    </w:p>
    <w:p w:rsidR="005F0BC0" w:rsidRPr="00771831" w:rsidP="005F0BC0" w14:paraId="10C0683F" w14:textId="77777777">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Cs/>
          <w:szCs w:val="22"/>
        </w:rPr>
        <w:footnoteReference w:id="4"/>
      </w:r>
    </w:p>
    <w:p w:rsidR="005F0BC0" w:rsidRPr="00771831" w:rsidP="005F0BC0" w14:paraId="406BE911" w14:textId="77777777">
      <w:pPr>
        <w:tabs>
          <w:tab w:val="left" w:pos="-720"/>
        </w:tabs>
        <w:suppressAutoHyphens/>
        <w:ind w:left="360"/>
        <w:rPr>
          <w:szCs w:val="22"/>
        </w:rPr>
      </w:pPr>
    </w:p>
    <w:p w:rsidR="005F0BC0" w:rsidRPr="00771831" w:rsidP="005F0BC0" w14:paraId="06D90327" w14:textId="77777777">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5F0BC0" w14:paraId="4E5A97B4" w14:textId="77777777">
      <w:pPr>
        <w:pStyle w:val="ParaNum0"/>
        <w:numPr>
          <w:ilvl w:val="0"/>
          <w:numId w:val="19"/>
        </w:numPr>
        <w:spacing w:after="0"/>
        <w:rPr>
          <w:szCs w:val="22"/>
        </w:rPr>
      </w:pPr>
      <w:r w:rsidRPr="00771831">
        <w:rPr>
          <w:szCs w:val="22"/>
        </w:rPr>
        <w:t>The FCC accepts Visa, MasterCard, Discover, and American Express.</w:t>
      </w:r>
    </w:p>
    <w:p w:rsidR="005F0BC0" w:rsidRPr="00771831" w:rsidP="005F0BC0" w14:paraId="047AB880" w14:textId="77777777">
      <w:pPr>
        <w:pStyle w:val="ParaNum0"/>
        <w:numPr>
          <w:ilvl w:val="0"/>
          <w:numId w:val="19"/>
        </w:numPr>
        <w:spacing w:after="0"/>
        <w:rPr>
          <w:szCs w:val="22"/>
        </w:rPr>
      </w:pPr>
      <w:r w:rsidRPr="00771831">
        <w:rPr>
          <w:szCs w:val="22"/>
        </w:rPr>
        <w:t>To pay online by credit card, fee payors must first submit electronic filing information through the FCC’s Fee Filer web application, and will then have the option to pay online by choosing the “Pay by Credit Card” option.</w:t>
      </w:r>
    </w:p>
    <w:p w:rsidR="005F0BC0" w:rsidRPr="00771831" w:rsidP="005F0BC0" w14:paraId="7304AD63" w14:textId="77777777">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5F0BC0" w:rsidRPr="00771831" w:rsidP="005F0BC0" w14:paraId="157C9339" w14:textId="77777777">
      <w:pPr>
        <w:tabs>
          <w:tab w:val="left" w:pos="-720"/>
        </w:tabs>
        <w:suppressAutoHyphens/>
        <w:ind w:left="360"/>
        <w:outlineLvl w:val="0"/>
        <w:rPr>
          <w:szCs w:val="22"/>
        </w:rPr>
      </w:pPr>
      <w:r w:rsidRPr="00771831">
        <w:rPr>
          <w:szCs w:val="22"/>
        </w:rPr>
        <w:t xml:space="preserve">  </w:t>
      </w:r>
      <w:r w:rsidRPr="00771831">
        <w:rPr>
          <w:szCs w:val="22"/>
        </w:rPr>
        <w:tab/>
        <w:t xml:space="preserve"> </w:t>
      </w:r>
    </w:p>
    <w:p w:rsidR="005F0BC0" w:rsidRPr="00771831" w:rsidP="005F0BC0" w14:paraId="6728A6AE" w14:textId="77777777">
      <w:pPr>
        <w:pStyle w:val="header2"/>
        <w:tabs>
          <w:tab w:val="clear" w:pos="1440"/>
          <w:tab w:val="clear" w:pos="4320"/>
          <w:tab w:val="center" w:pos="4680"/>
          <w:tab w:val="clear" w:pos="8640"/>
        </w:tabs>
        <w:jc w:val="left"/>
        <w:rPr>
          <w:sz w:val="22"/>
          <w:szCs w:val="22"/>
        </w:rPr>
      </w:pPr>
      <w:r w:rsidRPr="00771831">
        <w:rPr>
          <w:sz w:val="22"/>
          <w:szCs w:val="22"/>
        </w:rPr>
        <w:t xml:space="preserve">Wire Transfer:  </w:t>
      </w:r>
    </w:p>
    <w:p w:rsidR="00241AE6" w:rsidP="005F0BC0" w14:paraId="1D8F4B29" w14:textId="0E32D11E">
      <w:pPr>
        <w:pStyle w:val="header2"/>
        <w:tabs>
          <w:tab w:val="clear" w:pos="1440"/>
          <w:tab w:val="clear" w:pos="4320"/>
          <w:tab w:val="center" w:pos="4680"/>
          <w:tab w:val="clear" w:pos="864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New York</w:t>
      </w:r>
      <w:r w:rsidRPr="00771831">
        <w:rPr>
          <w:b w:val="0"/>
          <w:sz w:val="22"/>
          <w:szCs w:val="22"/>
        </w:rPr>
        <w:t xml:space="preserve">.  All payments made by wire transfer (payable to the Federal Communications Commission) must be supported by </w:t>
      </w:r>
      <w:r w:rsidRPr="007E667C" w:rsidR="002503D0">
        <w:rPr>
          <w:b w:val="0"/>
          <w:bCs/>
          <w:sz w:val="22"/>
          <w:szCs w:val="22"/>
        </w:rPr>
        <w:t xml:space="preserve">faxing the “Wire Transfer Instructions” from Fee Filer to the </w:t>
      </w:r>
      <w:r w:rsidRPr="007E667C">
        <w:rPr>
          <w:b w:val="0"/>
          <w:bCs/>
          <w:sz w:val="22"/>
          <w:szCs w:val="22"/>
        </w:rPr>
        <w:t xml:space="preserve">Federal Communications Commission at (202) 418-2843 at least one hour before initiating the wire </w:t>
      </w:r>
      <w:r w:rsidRPr="007E667C">
        <w:rPr>
          <w:b w:val="0"/>
          <w:bCs/>
          <w:sz w:val="22"/>
          <w:szCs w:val="22"/>
        </w:rPr>
        <w:t>transfer</w:t>
      </w:r>
      <w:r w:rsidRPr="00771831">
        <w:rPr>
          <w:b w:val="0"/>
          <w:sz w:val="22"/>
          <w:szCs w:val="22"/>
        </w:rPr>
        <w:t xml:space="preserve"> (but on the same business day) so as not to delay crediting their account.</w:t>
      </w:r>
      <w:r w:rsidR="002503D0">
        <w:rPr>
          <w:b w:val="0"/>
          <w:sz w:val="22"/>
          <w:szCs w:val="22"/>
        </w:rPr>
        <w:t xml:space="preserve">  </w:t>
      </w:r>
      <w:r w:rsidR="005935B5">
        <w:rPr>
          <w:b w:val="0"/>
          <w:sz w:val="22"/>
          <w:szCs w:val="22"/>
        </w:rPr>
        <w:t xml:space="preserve">The Wire Transfer Instructions can also be e-mailed to </w:t>
      </w:r>
      <w:hyperlink r:id="rId8" w:history="1">
        <w:r w:rsidRPr="00416B3C" w:rsidR="005935B5">
          <w:rPr>
            <w:rStyle w:val="Hyperlink"/>
            <w:b w:val="0"/>
            <w:sz w:val="22"/>
            <w:szCs w:val="22"/>
          </w:rPr>
          <w:t>RROGWIREFAXES@fcc.gov</w:t>
        </w:r>
      </w:hyperlink>
      <w:r w:rsidR="005935B5">
        <w:rPr>
          <w:b w:val="0"/>
          <w:sz w:val="22"/>
          <w:szCs w:val="22"/>
        </w:rPr>
        <w:t xml:space="preserve">.  </w:t>
      </w:r>
      <w:r w:rsidR="002503D0">
        <w:rPr>
          <w:b w:val="0"/>
          <w:sz w:val="22"/>
          <w:szCs w:val="22"/>
        </w:rPr>
        <w:t xml:space="preserve">These </w:t>
      </w:r>
      <w:r w:rsidR="00040CB1">
        <w:rPr>
          <w:b w:val="0"/>
          <w:sz w:val="22"/>
          <w:szCs w:val="22"/>
        </w:rPr>
        <w:t>i</w:t>
      </w:r>
      <w:r w:rsidR="002503D0">
        <w:rPr>
          <w:b w:val="0"/>
          <w:sz w:val="22"/>
          <w:szCs w:val="22"/>
        </w:rPr>
        <w:t xml:space="preserve">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quickly</w:t>
      </w:r>
      <w:r w:rsidR="002503D0">
        <w:rPr>
          <w:b w:val="0"/>
          <w:sz w:val="22"/>
          <w:szCs w:val="22"/>
        </w:rPr>
        <w:t xml:space="preserve">, and avoid </w:t>
      </w:r>
      <w:r w:rsidR="008739FE">
        <w:rPr>
          <w:b w:val="0"/>
          <w:sz w:val="22"/>
          <w:szCs w:val="22"/>
        </w:rPr>
        <w:t xml:space="preserve">costly delays that could result in penalties and interest for missing the payment due date.  </w:t>
      </w:r>
      <w:r w:rsidRPr="007E667C">
        <w:rPr>
          <w:b w:val="0"/>
          <w:bCs/>
          <w:sz w:val="22"/>
          <w:szCs w:val="22"/>
        </w:rPr>
        <w:t>Please note that most wire transfers initiated after 6:00 p.m. (EDT) will be credited the next business day</w:t>
      </w:r>
      <w:r w:rsidRPr="007E667C" w:rsidR="00AB7DAB">
        <w:rPr>
          <w:b w:val="0"/>
          <w:bCs/>
          <w:sz w:val="22"/>
          <w:szCs w:val="22"/>
        </w:rPr>
        <w:t>, and wires initiated outside of the United States may take additional time</w:t>
      </w:r>
      <w:r w:rsidRPr="007E667C">
        <w:rPr>
          <w:b w:val="0"/>
          <w:bCs/>
          <w:sz w:val="22"/>
          <w:szCs w:val="22"/>
        </w:rPr>
        <w:t>.</w:t>
      </w:r>
      <w:r w:rsidRPr="00771831">
        <w:rPr>
          <w:b w:val="0"/>
          <w:sz w:val="22"/>
          <w:szCs w:val="22"/>
        </w:rPr>
        <w:t xml:space="preserve">  Fee payors should discuss arrangements (including bank closing schedules, and </w:t>
      </w:r>
      <w:r w:rsidRPr="007E667C">
        <w:rPr>
          <w:b w:val="0"/>
          <w:sz w:val="22"/>
          <w:szCs w:val="22"/>
        </w:rPr>
        <w:t>bank wire transaction fees for which the Commission is not responsible</w:t>
      </w:r>
      <w:r w:rsidRPr="00771831">
        <w:rPr>
          <w:b w:val="0"/>
          <w:sz w:val="22"/>
          <w:szCs w:val="22"/>
        </w:rPr>
        <w:t xml:space="preserv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hyperlink r:id="rId9" w:history="1">
        <w:r w:rsidRPr="006E5829" w:rsidR="00040CB1">
          <w:rPr>
            <w:rStyle w:val="Hyperlink"/>
            <w:b w:val="0"/>
            <w:sz w:val="22"/>
            <w:szCs w:val="22"/>
          </w:rPr>
          <w:t>http://transition.fcc.gov/fees/wiretran.html</w:t>
        </w:r>
      </w:hyperlink>
      <w:r w:rsidRPr="00771831">
        <w:rPr>
          <w:b w:val="0"/>
          <w:sz w:val="22"/>
          <w:szCs w:val="22"/>
        </w:rPr>
        <w:t xml:space="preserve">. </w:t>
      </w:r>
    </w:p>
    <w:p w:rsidR="00241AE6" w:rsidP="005F0BC0" w14:paraId="1D433798" w14:textId="77777777">
      <w:pPr>
        <w:pStyle w:val="header2"/>
        <w:tabs>
          <w:tab w:val="clear" w:pos="1440"/>
          <w:tab w:val="clear" w:pos="4320"/>
          <w:tab w:val="center" w:pos="4680"/>
          <w:tab w:val="clear" w:pos="8640"/>
        </w:tabs>
        <w:jc w:val="left"/>
        <w:rPr>
          <w:b w:val="0"/>
          <w:sz w:val="22"/>
          <w:szCs w:val="22"/>
        </w:rPr>
      </w:pPr>
    </w:p>
    <w:p w:rsidR="005F0BC0" w:rsidP="005F0BC0" w14:paraId="36B87193" w14:textId="5A96B672">
      <w:pPr>
        <w:pStyle w:val="header2"/>
        <w:tabs>
          <w:tab w:val="clear" w:pos="1440"/>
          <w:tab w:val="clear" w:pos="4320"/>
          <w:tab w:val="center" w:pos="4680"/>
          <w:tab w:val="clear" w:pos="8640"/>
        </w:tabs>
        <w:jc w:val="left"/>
        <w:rPr>
          <w:b w:val="0"/>
          <w:sz w:val="22"/>
          <w:szCs w:val="22"/>
        </w:rPr>
      </w:pPr>
      <w:r w:rsidRPr="00241AE6">
        <w:rPr>
          <w:b w:val="0"/>
          <w:sz w:val="22"/>
          <w:szCs w:val="22"/>
        </w:rPr>
        <w:t xml:space="preserve">As a reminder, all </w:t>
      </w:r>
      <w:r w:rsidR="001F6947">
        <w:rPr>
          <w:b w:val="0"/>
          <w:sz w:val="22"/>
          <w:szCs w:val="22"/>
        </w:rPr>
        <w:t>r</w:t>
      </w:r>
      <w:r w:rsidRPr="00241AE6">
        <w:rPr>
          <w:b w:val="0"/>
          <w:sz w:val="22"/>
          <w:szCs w:val="22"/>
        </w:rPr>
        <w:t xml:space="preserve">egulatory </w:t>
      </w:r>
      <w:r w:rsidR="001F6947">
        <w:rPr>
          <w:b w:val="0"/>
          <w:sz w:val="22"/>
          <w:szCs w:val="22"/>
        </w:rPr>
        <w:t>f</w:t>
      </w:r>
      <w:r w:rsidRPr="00241AE6">
        <w:rPr>
          <w:b w:val="0"/>
          <w:sz w:val="22"/>
          <w:szCs w:val="22"/>
        </w:rPr>
        <w:t xml:space="preserve">ees </w:t>
      </w:r>
      <w:r w:rsidRPr="00241AE6">
        <w:rPr>
          <w:b w:val="0"/>
          <w:bCs/>
          <w:sz w:val="22"/>
          <w:szCs w:val="22"/>
        </w:rPr>
        <w:t>MUST be filed</w:t>
      </w:r>
      <w:r w:rsidRPr="00241AE6">
        <w:rPr>
          <w:b w:val="0"/>
          <w:sz w:val="22"/>
          <w:szCs w:val="22"/>
        </w:rPr>
        <w:t xml:space="preserve">, </w:t>
      </w:r>
      <w:r w:rsidRPr="00241AE6">
        <w:rPr>
          <w:b w:val="0"/>
          <w:sz w:val="22"/>
          <w:szCs w:val="22"/>
        </w:rPr>
        <w:t>submitted</w:t>
      </w:r>
      <w:r w:rsidRPr="00241AE6">
        <w:rPr>
          <w:b w:val="0"/>
          <w:sz w:val="22"/>
          <w:szCs w:val="22"/>
        </w:rPr>
        <w:t xml:space="preserve"> and paid </w:t>
      </w:r>
      <w:r w:rsidRPr="007E667C">
        <w:rPr>
          <w:b w:val="0"/>
          <w:sz w:val="22"/>
          <w:szCs w:val="22"/>
        </w:rPr>
        <w:t>through the Fee Filer</w:t>
      </w:r>
      <w:r w:rsidRPr="00040CB1">
        <w:rPr>
          <w:b w:val="0"/>
          <w:sz w:val="22"/>
          <w:szCs w:val="22"/>
        </w:rPr>
        <w:t xml:space="preserve"> </w:t>
      </w:r>
      <w:r w:rsidRPr="007E667C">
        <w:rPr>
          <w:b w:val="0"/>
          <w:sz w:val="22"/>
          <w:szCs w:val="22"/>
        </w:rPr>
        <w:t>System with the exception of wire transfers, which are initiated from the payors financial institution</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w:t>
      </w:r>
      <w:r>
        <w:rPr>
          <w:b w:val="0"/>
          <w:sz w:val="22"/>
          <w:szCs w:val="22"/>
        </w:rPr>
        <w:t xml:space="preserve">  In addition, we </w:t>
      </w:r>
      <w:r w:rsidRPr="00241AE6">
        <w:rPr>
          <w:b w:val="0"/>
          <w:sz w:val="22"/>
          <w:szCs w:val="22"/>
        </w:rPr>
        <w:t>urg</w:t>
      </w:r>
      <w:r w:rsidR="001F6947">
        <w:rPr>
          <w:b w:val="0"/>
          <w:sz w:val="22"/>
          <w:szCs w:val="22"/>
        </w:rPr>
        <w:t>e</w:t>
      </w:r>
      <w:r w:rsidRPr="00241AE6">
        <w:rPr>
          <w:b w:val="0"/>
          <w:sz w:val="22"/>
          <w:szCs w:val="22"/>
        </w:rPr>
        <w:t xml:space="preserve"> all entities who send </w:t>
      </w:r>
      <w:r>
        <w:rPr>
          <w:b w:val="0"/>
          <w:sz w:val="22"/>
          <w:szCs w:val="22"/>
        </w:rPr>
        <w:t xml:space="preserve">wire transfer </w:t>
      </w:r>
      <w:r w:rsidRPr="00241AE6">
        <w:rPr>
          <w:b w:val="0"/>
          <w:sz w:val="22"/>
          <w:szCs w:val="22"/>
        </w:rPr>
        <w:t>payments to include the Voucher Number, Pay</w:t>
      </w:r>
      <w:r w:rsidR="00040CB1">
        <w:rPr>
          <w:b w:val="0"/>
          <w:sz w:val="22"/>
          <w:szCs w:val="22"/>
        </w:rPr>
        <w:t>o</w:t>
      </w:r>
      <w:r w:rsidRPr="00241AE6">
        <w:rPr>
          <w:b w:val="0"/>
          <w:sz w:val="22"/>
          <w:szCs w:val="22"/>
        </w:rPr>
        <w:t>r Name, and Pay</w:t>
      </w:r>
      <w:r w:rsidR="00040CB1">
        <w:rPr>
          <w:b w:val="0"/>
          <w:sz w:val="22"/>
          <w:szCs w:val="22"/>
        </w:rPr>
        <w:t>o</w:t>
      </w:r>
      <w:r w:rsidRPr="00241AE6">
        <w:rPr>
          <w:b w:val="0"/>
          <w:sz w:val="22"/>
          <w:szCs w:val="22"/>
        </w:rPr>
        <w:t xml:space="preserve">r FRN </w:t>
      </w:r>
      <w:r>
        <w:rPr>
          <w:b w:val="0"/>
          <w:sz w:val="22"/>
          <w:szCs w:val="22"/>
        </w:rPr>
        <w:t>i</w:t>
      </w:r>
      <w:r w:rsidRPr="00241AE6">
        <w:rPr>
          <w:b w:val="0"/>
          <w:sz w:val="22"/>
          <w:szCs w:val="22"/>
        </w:rPr>
        <w:t xml:space="preserve">n the wire </w:t>
      </w:r>
      <w:r>
        <w:rPr>
          <w:b w:val="0"/>
          <w:sz w:val="22"/>
          <w:szCs w:val="22"/>
        </w:rPr>
        <w:t>description area.</w:t>
      </w:r>
    </w:p>
    <w:p w:rsidR="00481552" w:rsidRPr="00771831" w:rsidP="005F0BC0" w14:paraId="5CE9E673" w14:textId="77777777">
      <w:pPr>
        <w:pStyle w:val="header2"/>
        <w:tabs>
          <w:tab w:val="clear" w:pos="1440"/>
          <w:tab w:val="clear" w:pos="4320"/>
          <w:tab w:val="center" w:pos="4680"/>
          <w:tab w:val="clear" w:pos="8640"/>
        </w:tabs>
        <w:jc w:val="left"/>
        <w:rPr>
          <w:b w:val="0"/>
          <w:sz w:val="22"/>
          <w:szCs w:val="22"/>
        </w:rPr>
      </w:pPr>
    </w:p>
    <w:p w:rsidR="005F0BC0" w:rsidRPr="00771831" w:rsidP="005F0BC0" w14:paraId="143A9FA6" w14:textId="77777777">
      <w:pPr>
        <w:pStyle w:val="header2"/>
        <w:tabs>
          <w:tab w:val="clear" w:pos="1440"/>
          <w:tab w:val="clear" w:pos="4320"/>
          <w:tab w:val="center" w:pos="4680"/>
          <w:tab w:val="clear" w:pos="864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14:paraId="280B5CED" w14:textId="77777777">
      <w:pPr>
        <w:ind w:left="1440"/>
        <w:rPr>
          <w:szCs w:val="22"/>
        </w:rPr>
      </w:pPr>
      <w:r w:rsidRPr="00771831">
        <w:rPr>
          <w:szCs w:val="22"/>
        </w:rPr>
        <w:t>ABA Routing Number: 021030004</w:t>
      </w:r>
      <w:r w:rsidRPr="00771831">
        <w:rPr>
          <w:szCs w:val="22"/>
        </w:rPr>
        <w:br/>
        <w:t>Receiving Bank: TREAS NYC</w:t>
      </w:r>
    </w:p>
    <w:p w:rsidR="005F0BC0" w:rsidRPr="00771831" w:rsidP="005F0BC0" w14:paraId="56F8BDB9" w14:textId="77777777">
      <w:pPr>
        <w:ind w:left="1440"/>
        <w:rPr>
          <w:szCs w:val="22"/>
        </w:rPr>
      </w:pPr>
      <w:r w:rsidRPr="00771831">
        <w:rPr>
          <w:szCs w:val="22"/>
        </w:rPr>
        <w:t xml:space="preserve">                             33 Liberty St.</w:t>
      </w:r>
    </w:p>
    <w:p w:rsidR="005F0BC0" w:rsidRPr="00771831" w:rsidP="005F0BC0" w14:paraId="1F9342F1" w14:textId="77777777">
      <w:pPr>
        <w:ind w:left="1440"/>
        <w:rPr>
          <w:szCs w:val="22"/>
          <w:highlight w:val="yellow"/>
        </w:rPr>
      </w:pPr>
      <w:r w:rsidRPr="00771831">
        <w:rPr>
          <w:szCs w:val="22"/>
        </w:rPr>
        <w:t xml:space="preserve">                             New York, NY  10045</w:t>
      </w:r>
    </w:p>
    <w:p w:rsidR="005F0BC0" w:rsidRPr="00771831" w:rsidP="005F0BC0" w14:paraId="6F7BDE21" w14:textId="77777777">
      <w:pPr>
        <w:ind w:left="1440"/>
        <w:rPr>
          <w:szCs w:val="22"/>
          <w:highlight w:val="yellow"/>
        </w:rPr>
      </w:pPr>
    </w:p>
    <w:p w:rsidR="005F0BC0" w:rsidRPr="00771831" w:rsidP="005F0BC0" w14:paraId="7E059C3C" w14:textId="7F299713">
      <w:pPr>
        <w:ind w:left="1440"/>
        <w:rPr>
          <w:szCs w:val="22"/>
        </w:rPr>
      </w:pPr>
      <w:r w:rsidRPr="007E667C">
        <w:rPr>
          <w:rStyle w:val="Strong"/>
          <w:b w:val="0"/>
          <w:bCs w:val="0"/>
          <w:szCs w:val="22"/>
        </w:rPr>
        <w:t>BNF: FCC/ACCT--27000001</w:t>
      </w:r>
      <w:r w:rsidRPr="00771831">
        <w:rPr>
          <w:szCs w:val="22"/>
        </w:rPr>
        <w:br/>
        <w:t xml:space="preserve">OBI Field: (Skip one space between each information </w:t>
      </w:r>
      <w:r w:rsidRPr="00771831">
        <w:rPr>
          <w:szCs w:val="22"/>
        </w:rPr>
        <w:t>item</w:t>
      </w:r>
      <w:r w:rsidRPr="007E667C">
        <w:rPr>
          <w:b/>
          <w:bCs/>
          <w:szCs w:val="22"/>
        </w:rPr>
        <w:t>)</w:t>
      </w:r>
      <w:r w:rsidRPr="007E667C" w:rsidR="00040CB1">
        <w:rPr>
          <w:rStyle w:val="Strong"/>
          <w:b w:val="0"/>
          <w:szCs w:val="22"/>
        </w:rPr>
        <w:t>\</w:t>
      </w:r>
      <w:r w:rsidRPr="007E667C" w:rsidR="00040CB1">
        <w:rPr>
          <w:rStyle w:val="Strong"/>
          <w:b w:val="0"/>
          <w:szCs w:val="22"/>
        </w:rPr>
        <w:t>“</w:t>
      </w:r>
      <w:r w:rsidRPr="007E667C">
        <w:rPr>
          <w:rStyle w:val="Strong"/>
          <w:b w:val="0"/>
          <w:szCs w:val="22"/>
        </w:rPr>
        <w:t>REGULATORY PAY</w:t>
      </w:r>
      <w:r w:rsidRPr="007E667C" w:rsidR="00040CB1">
        <w:rPr>
          <w:rStyle w:val="Strong"/>
          <w:b w:val="0"/>
          <w:szCs w:val="22"/>
        </w:rPr>
        <w:t>”</w:t>
      </w:r>
    </w:p>
    <w:p w:rsidR="005F0BC0" w:rsidRPr="00771831" w:rsidP="005F0BC0" w14:paraId="38479A91" w14:textId="79959F0C">
      <w:pPr>
        <w:ind w:left="1440"/>
        <w:rPr>
          <w:szCs w:val="22"/>
        </w:rPr>
      </w:pPr>
      <w:r w:rsidRPr="00771831">
        <w:rPr>
          <w:szCs w:val="22"/>
        </w:rPr>
        <w:t>P</w:t>
      </w:r>
      <w:r w:rsidR="00040CB1">
        <w:rPr>
          <w:szCs w:val="22"/>
        </w:rPr>
        <w:t xml:space="preserve">ayor </w:t>
      </w:r>
      <w:r w:rsidRPr="00771831">
        <w:rPr>
          <w:szCs w:val="22"/>
        </w:rPr>
        <w:t>FRN</w:t>
      </w:r>
      <w:r w:rsidR="00040CB1">
        <w:rPr>
          <w:szCs w:val="22"/>
        </w:rPr>
        <w:t>:</w:t>
      </w:r>
      <w:r w:rsidRPr="00771831">
        <w:rPr>
          <w:szCs w:val="22"/>
        </w:rPr>
        <w:t xml:space="preserve"> (Exactly as on remittance instrument)</w:t>
      </w:r>
    </w:p>
    <w:p w:rsidR="005F0BC0" w:rsidRPr="00771831" w:rsidP="005F0BC0" w14:paraId="2E016E64" w14:textId="2E37699D">
      <w:pPr>
        <w:ind w:left="1440"/>
        <w:rPr>
          <w:szCs w:val="22"/>
        </w:rPr>
      </w:pPr>
      <w:r w:rsidRPr="00771831">
        <w:rPr>
          <w:szCs w:val="22"/>
        </w:rPr>
        <w:t>P</w:t>
      </w:r>
      <w:r w:rsidR="00040CB1">
        <w:rPr>
          <w:szCs w:val="22"/>
        </w:rPr>
        <w:t xml:space="preserve">ayor </w:t>
      </w:r>
      <w:r w:rsidRPr="00771831">
        <w:rPr>
          <w:szCs w:val="22"/>
        </w:rPr>
        <w:t>N</w:t>
      </w:r>
      <w:r w:rsidR="00040CB1">
        <w:rPr>
          <w:szCs w:val="22"/>
        </w:rPr>
        <w:t>ame:</w:t>
      </w:r>
      <w:r w:rsidRPr="00771831">
        <w:rPr>
          <w:szCs w:val="22"/>
        </w:rPr>
        <w:t xml:space="preserve"> (Exactly as on remittance instrument)</w:t>
      </w:r>
    </w:p>
    <w:p w:rsidR="005F0BC0" w:rsidRPr="00771831" w:rsidP="005F0BC0" w14:paraId="07F4B146" w14:textId="5F9FC12C">
      <w:pPr>
        <w:ind w:left="1440"/>
        <w:rPr>
          <w:szCs w:val="22"/>
        </w:rPr>
      </w:pPr>
      <w:r w:rsidRPr="00771831">
        <w:rPr>
          <w:szCs w:val="22"/>
        </w:rPr>
        <w:t>Phone: (Daytime Phone #, exactly as on remittance instrument)</w:t>
      </w:r>
    </w:p>
    <w:p w:rsidR="005F0BC0" w:rsidRPr="00771831" w:rsidP="005F0BC0" w14:paraId="51416DB8" w14:textId="6638B938">
      <w:pPr>
        <w:ind w:left="1440"/>
        <w:rPr>
          <w:rStyle w:val="Strong"/>
          <w:b w:val="0"/>
          <w:szCs w:val="22"/>
        </w:rPr>
      </w:pPr>
      <w:r w:rsidRPr="007E667C">
        <w:rPr>
          <w:rStyle w:val="Strong"/>
          <w:b w:val="0"/>
          <w:bCs w:val="0"/>
          <w:szCs w:val="22"/>
        </w:rPr>
        <w:t>V</w:t>
      </w:r>
      <w:r w:rsidRPr="007E667C" w:rsidR="00040CB1">
        <w:rPr>
          <w:rStyle w:val="Strong"/>
          <w:b w:val="0"/>
          <w:bCs w:val="0"/>
          <w:szCs w:val="22"/>
        </w:rPr>
        <w:t>oucher Number</w:t>
      </w:r>
      <w:r w:rsidRPr="00040CB1" w:rsidR="00040CB1">
        <w:rPr>
          <w:rStyle w:val="Strong"/>
          <w:b w:val="0"/>
          <w:bCs w:val="0"/>
          <w:szCs w:val="22"/>
        </w:rPr>
        <w:t>:</w:t>
      </w:r>
      <w:r w:rsidR="00040CB1">
        <w:rPr>
          <w:rStyle w:val="Strong"/>
          <w:b w:val="0"/>
          <w:szCs w:val="22"/>
        </w:rPr>
        <w:t xml:space="preserve"> </w:t>
      </w:r>
      <w:r w:rsidRPr="00771831">
        <w:rPr>
          <w:rStyle w:val="Strong"/>
          <w:b w:val="0"/>
          <w:szCs w:val="22"/>
        </w:rPr>
        <w:t>Exactly as on remittance (Form 159-E) instrument)</w:t>
      </w:r>
    </w:p>
    <w:p w:rsidR="005F0BC0" w:rsidRPr="00771831" w:rsidP="005F0BC0" w14:paraId="561B1AE3" w14:textId="77777777">
      <w:pPr>
        <w:pStyle w:val="header2"/>
        <w:tabs>
          <w:tab w:val="clear" w:pos="1440"/>
          <w:tab w:val="clear" w:pos="4320"/>
          <w:tab w:val="center" w:pos="4680"/>
          <w:tab w:val="clear" w:pos="8640"/>
        </w:tabs>
        <w:jc w:val="left"/>
        <w:rPr>
          <w:b w:val="0"/>
          <w:sz w:val="22"/>
          <w:szCs w:val="22"/>
        </w:rPr>
      </w:pPr>
    </w:p>
    <w:p w:rsidR="00481552" w:rsidP="00481552" w14:paraId="68E357A5" w14:textId="30D160BC">
      <w:pPr>
        <w:tabs>
          <w:tab w:val="left" w:pos="-720"/>
        </w:tabs>
        <w:suppressAutoHyphens/>
        <w:jc w:val="both"/>
        <w:outlineLvl w:val="0"/>
        <w:rPr>
          <w:bCs/>
          <w:szCs w:val="22"/>
          <w:u w:val="single"/>
        </w:rPr>
      </w:pPr>
      <w:r w:rsidRPr="007E667C">
        <w:rPr>
          <w:bCs/>
          <w:szCs w:val="22"/>
          <w:u w:val="single"/>
        </w:rPr>
        <w:t xml:space="preserve">ACH Payments (Debit from Bank Account) </w:t>
      </w:r>
    </w:p>
    <w:p w:rsidR="00040CB1" w:rsidRPr="007E667C" w:rsidP="00481552" w14:paraId="6B78CD1C" w14:textId="77777777">
      <w:pPr>
        <w:tabs>
          <w:tab w:val="left" w:pos="-720"/>
        </w:tabs>
        <w:suppressAutoHyphens/>
        <w:jc w:val="both"/>
        <w:outlineLvl w:val="0"/>
        <w:rPr>
          <w:bCs/>
          <w:spacing w:val="-3"/>
          <w:szCs w:val="22"/>
          <w:u w:val="single"/>
        </w:rPr>
      </w:pPr>
    </w:p>
    <w:p w:rsidR="00481552" w:rsidRPr="00557A9E" w:rsidP="00481552" w14:paraId="74A64555" w14:textId="44C150DD">
      <w:pPr>
        <w:pStyle w:val="ParaNum0"/>
        <w:numPr>
          <w:ilvl w:val="0"/>
          <w:numId w:val="19"/>
        </w:numPr>
        <w:spacing w:after="0"/>
        <w:rPr>
          <w:b/>
          <w:szCs w:val="22"/>
        </w:rPr>
      </w:pPr>
      <w:r w:rsidRPr="00771831">
        <w:rPr>
          <w:szCs w:val="22"/>
        </w:rPr>
        <w:t>To pay online from a bank account, fee payors must first submit their electronic filing information via the C</w:t>
      </w:r>
      <w:r w:rsidR="00040CB1">
        <w:rPr>
          <w:szCs w:val="22"/>
        </w:rPr>
        <w:t>ommission</w:t>
      </w:r>
      <w:r w:rsidRPr="00771831">
        <w:rPr>
          <w:szCs w:val="22"/>
        </w:rPr>
        <w:t xml:space="preserve">’s Fee Filer web application; they will then have the option to pay online by choosing the “Pay from Bank Account” option. </w:t>
      </w:r>
      <w:r w:rsidRPr="007E667C">
        <w:rPr>
          <w:b/>
          <w:szCs w:val="22"/>
          <w:u w:val="single"/>
        </w:rPr>
        <w:t>Note</w:t>
      </w:r>
      <w:r w:rsidRPr="00771831">
        <w:rPr>
          <w:b/>
          <w:szCs w:val="22"/>
        </w:rPr>
        <w:t xml:space="preserve">: </w:t>
      </w:r>
      <w:r w:rsidRPr="007E667C">
        <w:rPr>
          <w:bCs/>
          <w:szCs w:val="22"/>
        </w:rPr>
        <w:t xml:space="preserve"> Fee payors are strongly encouraged to contact their financial institutions to confirm that the correct Routing Number for this method of payment is being used.  Fee payors should also verify with their bank that their account has authorization to accept ACH transactions. The payors bank may require the </w:t>
      </w:r>
      <w:r w:rsidR="00040CB1">
        <w:rPr>
          <w:bCs/>
          <w:szCs w:val="22"/>
        </w:rPr>
        <w:t>FC</w:t>
      </w:r>
      <w:r w:rsidRPr="00063129">
        <w:rPr>
          <w:bCs/>
          <w:szCs w:val="22"/>
        </w:rPr>
        <w:t>C’s Company ID # 2700000103.</w:t>
      </w:r>
    </w:p>
    <w:p w:rsidR="00481552" w:rsidRPr="00771831" w:rsidP="00481552" w14:paraId="29BEB967" w14:textId="77777777">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481552" w:rsidRPr="00943AE7" w:rsidP="00481552" w14:paraId="14DB7113" w14:textId="474813D0">
      <w:pPr>
        <w:pStyle w:val="ParaNum0"/>
        <w:numPr>
          <w:ilvl w:val="0"/>
          <w:numId w:val="19"/>
        </w:numPr>
        <w:spacing w:after="0"/>
        <w:rPr>
          <w:b/>
          <w:szCs w:val="22"/>
        </w:rPr>
      </w:pPr>
      <w:r w:rsidRPr="00771831">
        <w:rPr>
          <w:szCs w:val="22"/>
        </w:rPr>
        <w:t xml:space="preserve">For purposes of meeting the filing deadline, the </w:t>
      </w:r>
      <w:r w:rsidR="00040CB1">
        <w:rPr>
          <w:szCs w:val="22"/>
        </w:rPr>
        <w:t xml:space="preserve">Commission </w:t>
      </w:r>
      <w:r w:rsidRPr="00771831">
        <w:rPr>
          <w:szCs w:val="22"/>
        </w:rPr>
        <w:t xml:space="preserve">will consider payment to be received when account information is successfully accepted.  Funds may not clear for up to 2 business days.  </w:t>
      </w:r>
      <w:r w:rsidRPr="007E667C">
        <w:rPr>
          <w:bCs/>
          <w:szCs w:val="22"/>
        </w:rPr>
        <w:t>Fee payors are responsible for obtaining confirmation from their financial institution that payment was successfully debited from the designated account(s) prior to the deadline to avoid additional fees.</w:t>
      </w:r>
      <w:r w:rsidRPr="00943AE7">
        <w:rPr>
          <w:b/>
          <w:szCs w:val="22"/>
        </w:rPr>
        <w:t xml:space="preserve">   </w:t>
      </w:r>
    </w:p>
    <w:p w:rsidR="005F0BC0" w:rsidRPr="00481552" w:rsidP="00481552" w14:paraId="418D9269" w14:textId="77777777">
      <w:pPr>
        <w:pStyle w:val="ParaNum0"/>
        <w:spacing w:after="0"/>
        <w:ind w:left="360" w:firstLine="0"/>
        <w:rPr>
          <w:szCs w:val="22"/>
        </w:rPr>
      </w:pPr>
      <w:r w:rsidRPr="00771831">
        <w:rPr>
          <w:szCs w:val="22"/>
        </w:rPr>
        <w:t xml:space="preserve">   </w:t>
      </w:r>
      <w:bookmarkStart w:id="1" w:name="_Toc93285552"/>
      <w:bookmarkStart w:id="2" w:name="_Toc93286209"/>
      <w:bookmarkStart w:id="3" w:name="_Toc93825468"/>
      <w:bookmarkStart w:id="4" w:name="_Toc94686855"/>
      <w:bookmarkStart w:id="5" w:name="_Toc122493181"/>
      <w:bookmarkStart w:id="6" w:name="_Toc125529733"/>
      <w:bookmarkStart w:id="7" w:name="_Toc125529874"/>
      <w:bookmarkStart w:id="8" w:name="_Toc126138014"/>
      <w:bookmarkStart w:id="9" w:name="_Toc126141617"/>
      <w:bookmarkStart w:id="10" w:name="_Toc133392985"/>
      <w:bookmarkStart w:id="11" w:name="_Toc133649963"/>
      <w:bookmarkStart w:id="12" w:name="_Toc134420468"/>
      <w:bookmarkStart w:id="13" w:name="_Toc134863566"/>
      <w:bookmarkStart w:id="14" w:name="_Toc136402536"/>
      <w:bookmarkStart w:id="15" w:name="_Toc140457050"/>
    </w:p>
    <w:p w:rsidR="005F0BC0" w:rsidRPr="00771831" w:rsidP="005F0BC0" w14:paraId="6F369BEF" w14:textId="77777777">
      <w:pPr>
        <w:pStyle w:val="Heading3"/>
        <w:numPr>
          <w:ilvl w:val="0"/>
          <w:numId w:val="0"/>
        </w:numPr>
        <w:tabs>
          <w:tab w:val="left" w:pos="2160"/>
        </w:tabs>
        <w:spacing w:after="120"/>
        <w:jc w:val="center"/>
        <w:rPr>
          <w:szCs w:val="22"/>
        </w:rPr>
      </w:pPr>
      <w:bookmarkStart w:id="16" w:name="_Toc285458173"/>
      <w:bookmarkStart w:id="17" w:name="_Toc289263536"/>
      <w:bookmarkStart w:id="18" w:name="_Toc292177324"/>
      <w:bookmarkStart w:id="19" w:name="_Toc296691764"/>
      <w:bookmarkStart w:id="20" w:name="_Toc297116984"/>
      <w:bookmarkStart w:id="21" w:name="_Toc298752212"/>
      <w:bookmarkStart w:id="22" w:name="_Toc299091577"/>
      <w:bookmarkStart w:id="23" w:name="_Toc319681889"/>
      <w:bookmarkStart w:id="24" w:name="_Toc320103196"/>
      <w:bookmarkStart w:id="25" w:name="_Toc320615946"/>
      <w:bookmarkStart w:id="26" w:name="_Toc320616364"/>
      <w:bookmarkStart w:id="27" w:name="_Toc320616503"/>
      <w:bookmarkStart w:id="28" w:name="_Toc320632324"/>
      <w:bookmarkStart w:id="29" w:name="_Toc320632357"/>
      <w:bookmarkStart w:id="30" w:name="_Toc320639464"/>
      <w:bookmarkStart w:id="31" w:name="_Toc321130263"/>
      <w:bookmarkStart w:id="32" w:name="_Toc321301165"/>
      <w:bookmarkStart w:id="33" w:name="_Toc327344921"/>
      <w:bookmarkStart w:id="34" w:name="_Toc327454761"/>
      <w:bookmarkStart w:id="35" w:name="_Toc328052404"/>
      <w:bookmarkStart w:id="36" w:name="_Toc330473855"/>
      <w:bookmarkStart w:id="37" w:name="_Toc390878809"/>
      <w:bookmarkStart w:id="38" w:name="_Toc391364439"/>
      <w:bookmarkStart w:id="39" w:name="_Toc394672319"/>
      <w:bookmarkStart w:id="40" w:name="_Toc397078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71831">
        <w:rPr>
          <w:szCs w:val="22"/>
        </w:rPr>
        <w:t>DE MINIMIS 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71831">
        <w:rPr>
          <w:szCs w:val="22"/>
        </w:rPr>
        <w:t>EGULATORY FEE LEVEL</w:t>
      </w:r>
    </w:p>
    <w:p w:rsidR="005F0BC0" w:rsidRPr="00771831" w:rsidP="005F0BC0" w14:paraId="1D091F34" w14:textId="7EC8FD55">
      <w:pPr>
        <w:tabs>
          <w:tab w:val="left" w:pos="-720"/>
        </w:tabs>
        <w:suppressAutoHyphens/>
        <w:outlineLvl w:val="0"/>
        <w:rPr>
          <w:szCs w:val="22"/>
        </w:rPr>
      </w:pPr>
      <w:r w:rsidRPr="00771831">
        <w:t xml:space="preserve">Regulatees whose </w:t>
      </w:r>
      <w:r w:rsidRPr="007E667C">
        <w:t>total FY 20</w:t>
      </w:r>
      <w:r w:rsidRPr="007E667C" w:rsidR="00B93E03">
        <w:t>2</w:t>
      </w:r>
      <w:r w:rsidRPr="007E667C" w:rsidR="005935B5">
        <w:t>1</w:t>
      </w:r>
      <w:r w:rsidRPr="007E667C">
        <w:t xml:space="preserve"> annual regulatory fee liability</w:t>
      </w:r>
      <w:r w:rsidRPr="00040CB1">
        <w:t>,</w:t>
      </w:r>
      <w:r w:rsidRPr="00771831">
        <w:t xml:space="preserve"> including all categories of fees for which payment is due, is $</w:t>
      </w:r>
      <w:r w:rsidR="00B60D8C">
        <w:t>1,000</w:t>
      </w:r>
      <w:r w:rsidRPr="00771831">
        <w:t xml:space="preserve"> or less are exempt from payment of FY 20</w:t>
      </w:r>
      <w:r w:rsidR="00B93E03">
        <w:t>2</w:t>
      </w:r>
      <w:r w:rsidR="005935B5">
        <w:t>1</w:t>
      </w:r>
      <w:r w:rsidRPr="00771831">
        <w:t xml:space="preserve"> regulatory fees.  The </w:t>
      </w:r>
      <w:r w:rsidRPr="00771831">
        <w:rPr>
          <w:i/>
        </w:rPr>
        <w:t>de minimis</w:t>
      </w:r>
      <w:r w:rsidRPr="00771831">
        <w:t xml:space="preserve"> threshold applies only to filers of </w:t>
      </w:r>
      <w:r w:rsidRPr="00B60D8C">
        <w:rPr>
          <w:u w:val="single"/>
        </w:rPr>
        <w:t>annual</w:t>
      </w:r>
      <w:r w:rsidRPr="00771831">
        <w:t xml:space="preserve"> regulatory fees (not regulatory fees paid through multi-year filings), and it is not a permanent exemption</w:t>
      </w:r>
      <w:r w:rsidR="00CE2D32">
        <w:t xml:space="preserve">. </w:t>
      </w:r>
      <w:r w:rsidRPr="00CE2D32" w:rsidR="00CE2D32">
        <w:t xml:space="preserve"> </w:t>
      </w:r>
      <w:r w:rsidR="00CE2D32">
        <w:t xml:space="preserve">Rather, each </w:t>
      </w:r>
      <w:r w:rsidR="00CE2D32">
        <w:t>regulatee</w:t>
      </w:r>
      <w:r w:rsidR="00CE2D32">
        <w:t xml:space="preserve"> will need to re</w:t>
      </w:r>
      <w:r w:rsidR="00BB7783">
        <w:t>-</w:t>
      </w:r>
      <w:r w:rsidR="00CE2D32">
        <w:t xml:space="preserve">evaluate </w:t>
      </w:r>
      <w:r w:rsidR="00BB7783">
        <w:t xml:space="preserve">and re-calculate its </w:t>
      </w:r>
      <w:r w:rsidR="00BB7783">
        <w:t xml:space="preserve">regulatory fee liability each year </w:t>
      </w:r>
      <w:r w:rsidR="00BB7783">
        <w:t>in order to</w:t>
      </w:r>
      <w:r w:rsidR="00BB7783">
        <w:t xml:space="preserve"> determine whether they meet the </w:t>
      </w:r>
      <w:r w:rsidR="00BB7783">
        <w:rPr>
          <w:i/>
          <w:iCs/>
        </w:rPr>
        <w:t xml:space="preserve">de </w:t>
      </w:r>
      <w:r w:rsidR="00BB7783">
        <w:rPr>
          <w:i/>
          <w:iCs/>
        </w:rPr>
        <w:t>miminis</w:t>
      </w:r>
      <w:r w:rsidR="00BB7783">
        <w:rPr>
          <w:i/>
          <w:iCs/>
        </w:rPr>
        <w:t xml:space="preserve"> </w:t>
      </w:r>
      <w:r w:rsidR="00BB7783">
        <w:t xml:space="preserve">exemption. </w:t>
      </w:r>
      <w:r w:rsidRPr="00771831">
        <w:t xml:space="preserve"> </w:t>
      </w:r>
      <w:r w:rsidRPr="00771831">
        <w:rPr>
          <w:szCs w:val="24"/>
        </w:rPr>
        <w:t>R</w:t>
      </w:r>
      <w:r w:rsidRPr="00771831">
        <w:rPr>
          <w:spacing w:val="-3"/>
          <w:szCs w:val="24"/>
        </w:rPr>
        <w:t xml:space="preserve">egulatees are responsible for calculating their own total fee obligation to determine whether they qualify for this </w:t>
      </w:r>
      <w:r w:rsidRPr="00771831">
        <w:rPr>
          <w:i/>
          <w:spacing w:val="-3"/>
          <w:szCs w:val="24"/>
        </w:rPr>
        <w:t>de minimis</w:t>
      </w:r>
      <w:r w:rsidRPr="00771831">
        <w:rPr>
          <w:spacing w:val="-3"/>
          <w:szCs w:val="24"/>
        </w:rPr>
        <w:t xml:space="preserve"> exemption.  The Commission reserves the right to request documentation that supports a </w:t>
      </w:r>
      <w:r w:rsidRPr="00771831">
        <w:rPr>
          <w:i/>
          <w:spacing w:val="-3"/>
          <w:szCs w:val="24"/>
        </w:rPr>
        <w:t>de minimis</w:t>
      </w:r>
      <w:r w:rsidRPr="00771831">
        <w:rPr>
          <w:spacing w:val="-3"/>
          <w:szCs w:val="24"/>
        </w:rPr>
        <w:t xml:space="preserve"> exemption claim.</w:t>
      </w:r>
    </w:p>
    <w:p w:rsidR="00F2767C" w:rsidP="005935B5" w14:paraId="29D65093" w14:textId="77777777">
      <w:pPr>
        <w:pStyle w:val="NormalWeb"/>
        <w:shd w:val="clear" w:color="auto" w:fill="FFFFFF"/>
        <w:spacing w:before="0" w:beforeAutospacing="0" w:after="0" w:afterAutospacing="0"/>
        <w:rPr>
          <w:b/>
          <w:bCs/>
          <w:sz w:val="22"/>
          <w:szCs w:val="22"/>
        </w:rPr>
      </w:pPr>
    </w:p>
    <w:p w:rsidR="005F0BC0" w:rsidRPr="00040CB1" w14:paraId="64211B5B" w14:textId="77777777">
      <w:pPr>
        <w:pStyle w:val="NormalWeb"/>
        <w:shd w:val="clear" w:color="auto" w:fill="FFFFFF"/>
        <w:spacing w:before="0" w:beforeAutospacing="0" w:after="0" w:afterAutospacing="0"/>
        <w:jc w:val="center"/>
        <w:rPr>
          <w:b/>
          <w:bCs/>
          <w:sz w:val="22"/>
          <w:szCs w:val="22"/>
        </w:rPr>
      </w:pPr>
      <w:r w:rsidRPr="00040CB1">
        <w:rPr>
          <w:b/>
          <w:bCs/>
          <w:sz w:val="22"/>
          <w:szCs w:val="22"/>
        </w:rPr>
        <w:t>OTHER QUESTIONS REGARDING REGULATORY FEES</w:t>
      </w:r>
    </w:p>
    <w:p w:rsidR="005F0BC0" w:rsidRPr="00040CB1" w:rsidP="00046339" w14:paraId="71FDDF0C" w14:textId="35CF43DC">
      <w:pPr>
        <w:pStyle w:val="NormalWeb"/>
        <w:shd w:val="clear" w:color="auto" w:fill="FFFFFF"/>
        <w:rPr>
          <w:sz w:val="22"/>
          <w:szCs w:val="22"/>
        </w:rPr>
      </w:pPr>
      <w:r w:rsidRPr="00040CB1">
        <w:rPr>
          <w:sz w:val="22"/>
          <w:szCs w:val="22"/>
        </w:rPr>
        <w:t xml:space="preserve">The </w:t>
      </w:r>
      <w:r w:rsidRPr="00040CB1" w:rsidR="00040CB1">
        <w:rPr>
          <w:sz w:val="22"/>
          <w:szCs w:val="22"/>
        </w:rPr>
        <w:t xml:space="preserve">following </w:t>
      </w:r>
      <w:r w:rsidRPr="00040CB1">
        <w:rPr>
          <w:sz w:val="22"/>
          <w:szCs w:val="22"/>
        </w:rPr>
        <w:t xml:space="preserve">Fact Sheets and </w:t>
      </w:r>
      <w:r w:rsidRPr="00040CB1" w:rsidR="00040CB1">
        <w:rPr>
          <w:sz w:val="22"/>
          <w:szCs w:val="22"/>
        </w:rPr>
        <w:t>w</w:t>
      </w:r>
      <w:r w:rsidRPr="00040CB1">
        <w:rPr>
          <w:sz w:val="22"/>
          <w:szCs w:val="22"/>
        </w:rPr>
        <w:t xml:space="preserve">ebsites are available at </w:t>
      </w:r>
      <w:hyperlink r:id="rId5" w:history="1">
        <w:r w:rsidRPr="00040CB1">
          <w:rPr>
            <w:rStyle w:val="Hyperlink"/>
            <w:sz w:val="22"/>
            <w:szCs w:val="22"/>
          </w:rPr>
          <w:t>http://www.fcc.gov/regfees</w:t>
        </w:r>
      </w:hyperlink>
      <w:r w:rsidRPr="00040CB1">
        <w:rPr>
          <w:sz w:val="22"/>
          <w:szCs w:val="22"/>
        </w:rPr>
        <w:t xml:space="preserve"> to help licensees </w:t>
      </w:r>
      <w:r w:rsidRPr="00040CB1" w:rsidR="00046339">
        <w:rPr>
          <w:sz w:val="22"/>
          <w:szCs w:val="22"/>
        </w:rPr>
        <w:t xml:space="preserve">in the event they are </w:t>
      </w:r>
      <w:r w:rsidR="00CA1D3C">
        <w:rPr>
          <w:sz w:val="22"/>
          <w:szCs w:val="22"/>
        </w:rPr>
        <w:t>un</w:t>
      </w:r>
      <w:r w:rsidRPr="00040CB1" w:rsidR="00046339">
        <w:rPr>
          <w:sz w:val="22"/>
          <w:szCs w:val="22"/>
        </w:rPr>
        <w:t xml:space="preserve">able to pay </w:t>
      </w:r>
      <w:r w:rsidRPr="00040CB1">
        <w:rPr>
          <w:sz w:val="22"/>
          <w:szCs w:val="22"/>
        </w:rPr>
        <w:t>their regulatory fee obligations:</w:t>
      </w:r>
    </w:p>
    <w:p w:rsidR="00046339" w:rsidRPr="00063129" w14:paraId="0ABD1EFF" w14:textId="1C70EBA9">
      <w:pPr>
        <w:pStyle w:val="NormalWeb"/>
        <w:shd w:val="clear" w:color="auto" w:fill="FFFFFF"/>
        <w:spacing w:before="0" w:beforeAutospacing="0" w:after="0" w:afterAutospacing="0"/>
        <w:rPr>
          <w:i/>
          <w:iCs/>
          <w:sz w:val="22"/>
          <w:szCs w:val="22"/>
        </w:rPr>
      </w:pPr>
      <w:r w:rsidRPr="007E667C">
        <w:rPr>
          <w:sz w:val="22"/>
          <w:szCs w:val="22"/>
        </w:rPr>
        <w:t>P</w:t>
      </w:r>
      <w:r w:rsidRPr="007E667C" w:rsidR="00040CB1">
        <w:rPr>
          <w:sz w:val="22"/>
          <w:szCs w:val="22"/>
        </w:rPr>
        <w:t>ublic Notice</w:t>
      </w:r>
      <w:r w:rsidRPr="007E667C">
        <w:rPr>
          <w:sz w:val="22"/>
          <w:szCs w:val="22"/>
        </w:rPr>
        <w:t>:</w:t>
      </w:r>
      <w:r w:rsidRPr="007E667C">
        <w:rPr>
          <w:i/>
          <w:iCs/>
          <w:sz w:val="22"/>
          <w:szCs w:val="22"/>
        </w:rPr>
        <w:t xml:space="preserve"> P</w:t>
      </w:r>
      <w:r w:rsidR="00040CB1">
        <w:rPr>
          <w:i/>
          <w:iCs/>
          <w:sz w:val="22"/>
          <w:szCs w:val="22"/>
        </w:rPr>
        <w:t>rocedures for Filing Requests</w:t>
      </w:r>
      <w:r w:rsidR="001748AA">
        <w:rPr>
          <w:i/>
          <w:iCs/>
          <w:sz w:val="22"/>
          <w:szCs w:val="22"/>
        </w:rPr>
        <w:t xml:space="preserve"> for Waiver</w:t>
      </w:r>
      <w:r w:rsidRPr="00063129">
        <w:rPr>
          <w:i/>
          <w:iCs/>
          <w:sz w:val="22"/>
          <w:szCs w:val="22"/>
        </w:rPr>
        <w:t>,</w:t>
      </w:r>
      <w:r w:rsidR="001748AA">
        <w:rPr>
          <w:i/>
          <w:iCs/>
          <w:sz w:val="22"/>
          <w:szCs w:val="22"/>
        </w:rPr>
        <w:t xml:space="preserve"> Reduction, Deferral and Installment Payment of FY 2021 Regulatory Fees Due to the </w:t>
      </w:r>
      <w:r w:rsidRPr="00063129" w:rsidR="007F25AB">
        <w:rPr>
          <w:i/>
          <w:iCs/>
          <w:sz w:val="22"/>
          <w:szCs w:val="22"/>
        </w:rPr>
        <w:t>C</w:t>
      </w:r>
      <w:r w:rsidR="001748AA">
        <w:rPr>
          <w:i/>
          <w:iCs/>
          <w:sz w:val="22"/>
          <w:szCs w:val="22"/>
        </w:rPr>
        <w:t>oronavirus Pandemic</w:t>
      </w:r>
      <w:r w:rsidRPr="00063129" w:rsidR="005935B5">
        <w:rPr>
          <w:i/>
          <w:iCs/>
          <w:sz w:val="22"/>
          <w:szCs w:val="22"/>
        </w:rPr>
        <w:t xml:space="preserve"> </w:t>
      </w:r>
    </w:p>
    <w:p w:rsidR="00046339" w:rsidRPr="007E667C" w14:paraId="1F857575" w14:textId="77777777">
      <w:pPr>
        <w:pStyle w:val="NormalWeb"/>
        <w:shd w:val="clear" w:color="auto" w:fill="FFFFFF"/>
        <w:spacing w:before="0" w:beforeAutospacing="0" w:after="0" w:afterAutospacing="0"/>
        <w:rPr>
          <w:iCs/>
          <w:sz w:val="22"/>
          <w:szCs w:val="22"/>
        </w:rPr>
      </w:pPr>
    </w:p>
    <w:p w:rsidR="005F0BC0" w:rsidRPr="00040CB1" w14:paraId="6EC1F014" w14:textId="46FAC9DA">
      <w:pPr>
        <w:pStyle w:val="NormalWeb"/>
        <w:shd w:val="clear" w:color="auto" w:fill="FFFFFF"/>
        <w:spacing w:before="0" w:beforeAutospacing="0" w:after="0" w:afterAutospacing="0"/>
        <w:rPr>
          <w:bCs/>
          <w:iCs/>
          <w:sz w:val="22"/>
          <w:szCs w:val="22"/>
        </w:rPr>
      </w:pPr>
      <w:r w:rsidRPr="007E667C">
        <w:rPr>
          <w:iCs/>
          <w:sz w:val="22"/>
          <w:szCs w:val="22"/>
        </w:rPr>
        <w:t>F</w:t>
      </w:r>
      <w:r w:rsidRPr="007E667C" w:rsidR="00040CB1">
        <w:rPr>
          <w:iCs/>
          <w:sz w:val="22"/>
          <w:szCs w:val="22"/>
        </w:rPr>
        <w:t>act Sheet</w:t>
      </w:r>
      <w:r w:rsidRPr="007E667C">
        <w:rPr>
          <w:iCs/>
          <w:sz w:val="22"/>
          <w:szCs w:val="22"/>
        </w:rPr>
        <w:t xml:space="preserve">: </w:t>
      </w:r>
      <w:r w:rsidRPr="00040CB1" w:rsidR="00040CB1">
        <w:rPr>
          <w:i/>
          <w:sz w:val="22"/>
          <w:szCs w:val="22"/>
        </w:rPr>
        <w:t>Regulatory Fee Exemptions for FY 202</w:t>
      </w:r>
      <w:r w:rsidR="00EF703B">
        <w:rPr>
          <w:i/>
          <w:sz w:val="22"/>
          <w:szCs w:val="22"/>
        </w:rPr>
        <w:t>1</w:t>
      </w:r>
      <w:r w:rsidRPr="00040CB1" w:rsidR="00040CB1">
        <w:rPr>
          <w:i/>
          <w:sz w:val="22"/>
          <w:szCs w:val="22"/>
        </w:rPr>
        <w:t>, General Exemptions</w:t>
      </w:r>
    </w:p>
    <w:p w:rsidR="005F0BC0" w:rsidRPr="00040CB1" w14:paraId="21241445" w14:textId="77777777">
      <w:pPr>
        <w:pStyle w:val="NormalWeb"/>
        <w:shd w:val="clear" w:color="auto" w:fill="FFFFFF"/>
        <w:spacing w:before="0" w:beforeAutospacing="0" w:after="0" w:afterAutospacing="0"/>
        <w:jc w:val="center"/>
        <w:rPr>
          <w:b/>
          <w:bCs/>
          <w:sz w:val="22"/>
          <w:szCs w:val="22"/>
        </w:rPr>
      </w:pPr>
    </w:p>
    <w:p w:rsidR="005F0BC0" w:rsidRPr="00040CB1" w14:paraId="76F943C7" w14:textId="77777777">
      <w:pPr>
        <w:pStyle w:val="NormalWeb"/>
        <w:shd w:val="clear" w:color="auto" w:fill="FFFFFF"/>
        <w:spacing w:before="0" w:beforeAutospacing="0" w:after="0" w:afterAutospacing="0"/>
        <w:jc w:val="center"/>
        <w:rPr>
          <w:sz w:val="22"/>
          <w:szCs w:val="22"/>
        </w:rPr>
      </w:pPr>
      <w:r w:rsidRPr="00040CB1">
        <w:rPr>
          <w:b/>
          <w:bCs/>
          <w:sz w:val="22"/>
          <w:szCs w:val="22"/>
        </w:rPr>
        <w:t>ADDITIONAL INFORMATION</w:t>
      </w:r>
      <w:r w:rsidRPr="00040CB1">
        <w:rPr>
          <w:sz w:val="22"/>
          <w:szCs w:val="22"/>
        </w:rPr>
        <w:t xml:space="preserve"> </w:t>
      </w:r>
    </w:p>
    <w:p w:rsidR="005F0BC0" w:rsidRPr="00040CB1" w14:paraId="53AA2F57" w14:textId="77777777">
      <w:pPr>
        <w:pStyle w:val="NormalWeb"/>
        <w:shd w:val="clear" w:color="auto" w:fill="FFFFFF"/>
        <w:spacing w:before="0" w:beforeAutospacing="0" w:after="0" w:afterAutospacing="0"/>
        <w:rPr>
          <w:sz w:val="22"/>
          <w:szCs w:val="22"/>
        </w:rPr>
      </w:pPr>
    </w:p>
    <w:p w:rsidR="005F0BC0" w:rsidRPr="00040CB1" w14:paraId="42E7032F" w14:textId="4EEF42EF">
      <w:pPr>
        <w:pStyle w:val="NormalWeb"/>
        <w:shd w:val="clear" w:color="auto" w:fill="FFFFFF"/>
        <w:spacing w:before="0" w:beforeAutospacing="0" w:after="0" w:afterAutospacing="0"/>
        <w:rPr>
          <w:sz w:val="22"/>
          <w:szCs w:val="22"/>
        </w:rPr>
      </w:pPr>
      <w:r w:rsidRPr="00040CB1">
        <w:rPr>
          <w:bCs/>
          <w:sz w:val="22"/>
          <w:szCs w:val="22"/>
        </w:rPr>
        <w:t xml:space="preserve">Licensees and </w:t>
      </w:r>
      <w:r w:rsidRPr="00040CB1">
        <w:rPr>
          <w:bCs/>
          <w:sz w:val="22"/>
          <w:szCs w:val="22"/>
        </w:rPr>
        <w:t>regulatees</w:t>
      </w:r>
      <w:r w:rsidRPr="00040CB1">
        <w:rPr>
          <w:bCs/>
          <w:sz w:val="22"/>
          <w:szCs w:val="22"/>
        </w:rPr>
        <w:t xml:space="preserve"> should contact the Commission’s Financial Operations Help Desk with inquiries regarding regulatory</w:t>
      </w:r>
      <w:r w:rsidRPr="00040CB1" w:rsidR="00F2767C">
        <w:rPr>
          <w:bCs/>
          <w:sz w:val="22"/>
          <w:szCs w:val="22"/>
        </w:rPr>
        <w:t xml:space="preserve"> fees at (877) 480-3201 Option 6</w:t>
      </w:r>
      <w:r w:rsidRPr="00040CB1" w:rsidR="00EF39A4">
        <w:rPr>
          <w:bCs/>
          <w:sz w:val="22"/>
          <w:szCs w:val="22"/>
        </w:rPr>
        <w:t>, (202) 418-1995,</w:t>
      </w:r>
      <w:r w:rsidRPr="00040CB1">
        <w:rPr>
          <w:bCs/>
          <w:sz w:val="22"/>
          <w:szCs w:val="22"/>
        </w:rPr>
        <w:t xml:space="preserve"> or e-mail inquiries to </w:t>
      </w:r>
      <w:hyperlink r:id="rId10" w:history="1">
        <w:r w:rsidRPr="00040CB1" w:rsidR="00040CB1">
          <w:rPr>
            <w:rStyle w:val="Hyperlink"/>
            <w:bCs/>
            <w:sz w:val="22"/>
            <w:szCs w:val="22"/>
          </w:rPr>
          <w:t>ARINQUIRIES@fcc.gov</w:t>
        </w:r>
      </w:hyperlink>
      <w:r w:rsidRPr="00040CB1" w:rsidR="00040CB1">
        <w:rPr>
          <w:bCs/>
          <w:sz w:val="22"/>
          <w:szCs w:val="22"/>
        </w:rPr>
        <w:t xml:space="preserve">. </w:t>
      </w:r>
    </w:p>
    <w:p w:rsidR="005F0BC0" w:rsidRPr="00771831" w14:paraId="3371EF1A" w14:textId="77777777">
      <w:pPr>
        <w:pStyle w:val="NormalWeb"/>
        <w:shd w:val="clear" w:color="auto" w:fill="FFFFFF"/>
        <w:spacing w:before="0" w:beforeAutospacing="0" w:after="0" w:afterAutospacing="0"/>
        <w:rPr>
          <w:sz w:val="22"/>
          <w:szCs w:val="22"/>
        </w:rPr>
      </w:pPr>
    </w:p>
    <w:p w:rsidR="005F0BC0" w:rsidRPr="00771831" w14:paraId="34EE87CC" w14:textId="77777777">
      <w:pPr>
        <w:rPr>
          <w:szCs w:val="22"/>
        </w:rPr>
      </w:pPr>
    </w:p>
    <w:p w:rsidR="005F0BC0" w:rsidRPr="00771831" w14:paraId="3DDC5E4C" w14:textId="77777777">
      <w:pPr>
        <w:pStyle w:val="NormalWeb"/>
        <w:shd w:val="clear" w:color="auto" w:fill="FFFFFF"/>
        <w:spacing w:line="236" w:lineRule="atLeast"/>
        <w:jc w:val="center"/>
        <w:rPr>
          <w:sz w:val="22"/>
          <w:szCs w:val="22"/>
        </w:rPr>
      </w:pPr>
    </w:p>
    <w:p w:rsidR="005F0BC0" w:rsidRPr="004B4885" w14:paraId="4A1A647F" w14:textId="77777777">
      <w:pPr>
        <w:pStyle w:val="NormalWeb"/>
        <w:shd w:val="clear" w:color="auto" w:fill="FFFFFF"/>
        <w:spacing w:line="236" w:lineRule="atLeast"/>
        <w:jc w:val="center"/>
        <w:rPr>
          <w:sz w:val="22"/>
          <w:szCs w:val="22"/>
        </w:rPr>
      </w:pPr>
      <w:r w:rsidRPr="004B4885">
        <w:rPr>
          <w:sz w:val="22"/>
          <w:szCs w:val="22"/>
        </w:rPr>
        <w:t>- FCC -</w:t>
      </w:r>
    </w:p>
    <w:sectPr w:rsidSect="005F0BC0">
      <w:footerReference w:type="even" r:id="rId11"/>
      <w:footerReference w:type="default" r:id="rId12"/>
      <w:headerReference w:type="first" r:id="rId13"/>
      <w:type w:val="continuous"/>
      <w:pgSz w:w="12240" w:h="15840" w:code="1"/>
      <w:pgMar w:top="1008" w:right="864"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7913F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14:paraId="4A4FF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8026E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DCB">
      <w:rPr>
        <w:rStyle w:val="PageNumber"/>
        <w:noProof/>
      </w:rPr>
      <w:t>2</w:t>
    </w:r>
    <w:r>
      <w:rPr>
        <w:rStyle w:val="PageNumber"/>
      </w:rPr>
      <w:fldChar w:fldCharType="end"/>
    </w:r>
  </w:p>
  <w:p w:rsidR="005F0BC0" w14:paraId="405905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1144" w14:paraId="1CE44454" w14:textId="77777777">
      <w:r>
        <w:separator/>
      </w:r>
    </w:p>
  </w:footnote>
  <w:footnote w:type="continuationSeparator" w:id="1">
    <w:p w:rsidR="009B1144" w14:paraId="2993DDAF" w14:textId="77777777">
      <w:r>
        <w:continuationSeparator/>
      </w:r>
    </w:p>
  </w:footnote>
  <w:footnote w:id="2">
    <w:p w:rsidR="006643C2" w:rsidP="006643C2" w14:paraId="78830266" w14:textId="15FCB9B8">
      <w:pPr>
        <w:pStyle w:val="FootnoteText"/>
      </w:pPr>
      <w:r>
        <w:rPr>
          <w:rStyle w:val="FootnoteReference"/>
        </w:rPr>
        <w:footnoteRef/>
      </w:r>
      <w:r>
        <w:t xml:space="preserve"> </w:t>
      </w:r>
      <w:r w:rsidRPr="007E667C">
        <w:rPr>
          <w:sz w:val="20"/>
        </w:rPr>
        <w:t xml:space="preserve">The Commission has instituted a mandatory electronic payment policy, which means that licensees will </w:t>
      </w:r>
      <w:r w:rsidRPr="007E667C">
        <w:rPr>
          <w:sz w:val="20"/>
          <w:lang w:val="en-US"/>
        </w:rPr>
        <w:t xml:space="preserve">not </w:t>
      </w:r>
      <w:r w:rsidRPr="007E667C">
        <w:rPr>
          <w:sz w:val="20"/>
        </w:rPr>
        <w:t>be able to make regulatory fee payments by check, money order, or cashier’s check.  Only credit card</w:t>
      </w:r>
      <w:r w:rsidR="00CE2D32">
        <w:rPr>
          <w:sz w:val="20"/>
          <w:lang w:val="en-US"/>
        </w:rPr>
        <w:t>s</w:t>
      </w:r>
      <w:r w:rsidRPr="007E667C">
        <w:rPr>
          <w:sz w:val="20"/>
        </w:rPr>
        <w:t xml:space="preserve">, </w:t>
      </w:r>
      <w:r w:rsidRPr="00794235" w:rsidR="00794235">
        <w:rPr>
          <w:sz w:val="20"/>
        </w:rPr>
        <w:t xml:space="preserve">Automated Clearing House </w:t>
      </w:r>
      <w:r w:rsidR="00794235">
        <w:rPr>
          <w:sz w:val="20"/>
          <w:lang w:val="en-US"/>
        </w:rPr>
        <w:t>(</w:t>
      </w:r>
      <w:r w:rsidRPr="007E667C">
        <w:rPr>
          <w:sz w:val="20"/>
        </w:rPr>
        <w:t>ACH</w:t>
      </w:r>
      <w:r w:rsidR="00794235">
        <w:rPr>
          <w:sz w:val="20"/>
          <w:lang w:val="en-US"/>
        </w:rPr>
        <w:t>)</w:t>
      </w:r>
      <w:r w:rsidRPr="007E667C">
        <w:rPr>
          <w:sz w:val="20"/>
        </w:rPr>
        <w:t xml:space="preserve">, </w:t>
      </w:r>
      <w:r w:rsidR="00CE2D32">
        <w:rPr>
          <w:sz w:val="20"/>
          <w:lang w:val="en-US"/>
        </w:rPr>
        <w:t xml:space="preserve">debit cards, </w:t>
      </w:r>
      <w:r w:rsidRPr="007E667C">
        <w:rPr>
          <w:sz w:val="20"/>
        </w:rPr>
        <w:t>and wire transfer payments will be accepted.  Please make sure that your electronic fee payment is made and the transaction is complete by the due date of FY 20</w:t>
      </w:r>
      <w:r w:rsidRPr="007E667C">
        <w:rPr>
          <w:sz w:val="20"/>
          <w:lang w:val="en-US"/>
        </w:rPr>
        <w:t>21</w:t>
      </w:r>
      <w:r w:rsidRPr="007E667C">
        <w:rPr>
          <w:sz w:val="20"/>
        </w:rPr>
        <w:t xml:space="preserve"> regulatory fees.</w:t>
      </w:r>
      <w:r>
        <w:t xml:space="preserve">  </w:t>
      </w:r>
    </w:p>
  </w:footnote>
  <w:footnote w:id="3">
    <w:p w:rsidR="005F0BC0" w:rsidRPr="00843C84" w:rsidP="005F0BC0" w14:paraId="5CA2A90E" w14:textId="77777777">
      <w:pPr>
        <w:pStyle w:val="FootnoteText"/>
        <w:rPr>
          <w:sz w:val="20"/>
        </w:rPr>
      </w:pPr>
      <w:r>
        <w:rPr>
          <w:rStyle w:val="FootnoteReference"/>
        </w:rPr>
        <w:footnoteRef/>
      </w:r>
      <w:r>
        <w:t xml:space="preserve"> </w:t>
      </w:r>
      <w:r w:rsidRPr="00843C84">
        <w:rPr>
          <w:sz w:val="20"/>
        </w:rPr>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p>
  </w:footnote>
  <w:footnote w:id="4">
    <w:p w:rsidR="005F0BC0" w:rsidP="005F0BC0" w14:paraId="673C5A3F" w14:textId="77777777">
      <w:pPr>
        <w:pStyle w:val="FootnoteText"/>
        <w:spacing w:before="120" w:after="0"/>
      </w:pPr>
      <w:r>
        <w:rPr>
          <w:rStyle w:val="FootnoteReference"/>
        </w:rPr>
        <w:footnoteRef/>
      </w:r>
      <w:r w:rsidRPr="007E667C">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RPr="009F1F95" w14:paraId="5248C6C4" w14:textId="77777777">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95">
      <w:rPr>
        <w:b/>
        <w:kern w:val="28"/>
        <w:sz w:val="96"/>
      </w:rPr>
      <w:t>PUBLIC NOTICE</w:t>
    </w:r>
  </w:p>
  <w:p w:rsidR="005F0BC0" w14:paraId="4CFE1D87" w14:textId="77777777">
    <w:pPr>
      <w:pStyle w:val="Header"/>
      <w:tabs>
        <w:tab w:val="left" w:pos="1080"/>
        <w:tab w:val="clear" w:pos="4320"/>
        <w:tab w:val="clear" w:pos="864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057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rPr>
                              <w:rFonts w:ascii="Arial" w:hAnsi="Arial"/>
                              <w:b/>
                            </w:rPr>
                          </w:pPr>
                          <w:r>
                            <w:rPr>
                              <w:rFonts w:ascii="Arial" w:hAnsi="Arial"/>
                              <w:b/>
                            </w:rPr>
                            <w:t>Federal Communications Commission</w:t>
                          </w:r>
                        </w:p>
                        <w:p w:rsidR="005F0BC0"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47.7pt;margin-top:1.3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F0BC0" w14:paraId="06796192" w14:textId="77777777">
                    <w:pPr>
                      <w:rPr>
                        <w:rFonts w:ascii="Arial" w:hAnsi="Arial"/>
                        <w:b/>
                      </w:rPr>
                    </w:pPr>
                    <w:r>
                      <w:rPr>
                        <w:rFonts w:ascii="Arial" w:hAnsi="Arial"/>
                        <w:b/>
                      </w:rPr>
                      <w:t>Federal Communications Commission</w:t>
                    </w:r>
                  </w:p>
                  <w:p w:rsidR="005F0BC0" w14:paraId="79A0D183"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paraId="299286A0" w14:textId="77777777">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spacing w:before="40"/>
                            <w:jc w:val="right"/>
                            <w:rPr>
                              <w:rFonts w:ascii="Arial" w:hAnsi="Arial"/>
                              <w:b/>
                              <w:sz w:val="16"/>
                            </w:rPr>
                          </w:pPr>
                          <w:r>
                            <w:rPr>
                              <w:rFonts w:ascii="Arial" w:hAnsi="Arial"/>
                              <w:b/>
                              <w:sz w:val="16"/>
                            </w:rPr>
                            <w:t>News Media Information 202 / 418-0500</w:t>
                          </w:r>
                        </w:p>
                        <w:p w:rsidR="005F0BC0" w14:textId="77777777">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14:textId="77777777">
                          <w:pPr>
                            <w:jc w:val="right"/>
                            <w:rPr>
                              <w:rFonts w:ascii="Arial" w:hAnsi="Arial"/>
                              <w:b/>
                              <w:sz w:val="16"/>
                            </w:rPr>
                          </w:pPr>
                          <w:r>
                            <w:rPr>
                              <w:rFonts w:ascii="Arial" w:hAnsi="Arial"/>
                              <w:b/>
                              <w:sz w:val="16"/>
                            </w:rPr>
                            <w:t>TTY: 1-888-835-5322</w:t>
                          </w:r>
                        </w:p>
                        <w:p w:rsidR="005F0BC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5F0BC0" w14:paraId="39D232EC" w14:textId="77777777">
                    <w:pPr>
                      <w:spacing w:before="40"/>
                      <w:jc w:val="right"/>
                      <w:rPr>
                        <w:rFonts w:ascii="Arial" w:hAnsi="Arial"/>
                        <w:b/>
                        <w:sz w:val="16"/>
                      </w:rPr>
                    </w:pPr>
                    <w:r>
                      <w:rPr>
                        <w:rFonts w:ascii="Arial" w:hAnsi="Arial"/>
                        <w:b/>
                        <w:sz w:val="16"/>
                      </w:rPr>
                      <w:t>News Media Information 202 / 418-0500</w:t>
                    </w:r>
                  </w:p>
                  <w:p w:rsidR="005F0BC0" w14:paraId="4FF84B65" w14:textId="77777777">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14:paraId="03713C5C" w14:textId="77777777">
                    <w:pPr>
                      <w:jc w:val="right"/>
                      <w:rPr>
                        <w:rFonts w:ascii="Arial" w:hAnsi="Arial"/>
                        <w:b/>
                        <w:sz w:val="16"/>
                      </w:rPr>
                    </w:pPr>
                    <w:r>
                      <w:rPr>
                        <w:rFonts w:ascii="Arial" w:hAnsi="Arial"/>
                        <w:b/>
                        <w:sz w:val="16"/>
                      </w:rPr>
                      <w:t>TTY: 1-888-835-5322</w:t>
                    </w:r>
                  </w:p>
                  <w:p w:rsidR="005F0BC0" w14:paraId="2A2540A8" w14:textId="77777777">
                    <w:pPr>
                      <w:jc w:val="right"/>
                    </w:pPr>
                  </w:p>
                </w:txbxContent>
              </v:textbox>
            </v:shape>
          </w:pict>
        </mc:Fallback>
      </mc:AlternateContent>
    </w:r>
    <w:r w:rsidR="00451A40">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5F0BC0" w14:paraId="4BBF931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E"/>
    <w:rsid w:val="000030E0"/>
    <w:rsid w:val="00040CB1"/>
    <w:rsid w:val="00046339"/>
    <w:rsid w:val="00063129"/>
    <w:rsid w:val="0006588B"/>
    <w:rsid w:val="00077294"/>
    <w:rsid w:val="00133A6D"/>
    <w:rsid w:val="00134BB7"/>
    <w:rsid w:val="00172A30"/>
    <w:rsid w:val="001748AA"/>
    <w:rsid w:val="001A5C98"/>
    <w:rsid w:val="001B4F32"/>
    <w:rsid w:val="001B6CAA"/>
    <w:rsid w:val="001C3031"/>
    <w:rsid w:val="001F25E9"/>
    <w:rsid w:val="001F6947"/>
    <w:rsid w:val="0023539D"/>
    <w:rsid w:val="00241AE6"/>
    <w:rsid w:val="00242E9B"/>
    <w:rsid w:val="002503D0"/>
    <w:rsid w:val="002D702E"/>
    <w:rsid w:val="0030113D"/>
    <w:rsid w:val="00324340"/>
    <w:rsid w:val="0033441D"/>
    <w:rsid w:val="00344679"/>
    <w:rsid w:val="0034769A"/>
    <w:rsid w:val="00351508"/>
    <w:rsid w:val="00354C27"/>
    <w:rsid w:val="00375293"/>
    <w:rsid w:val="003D1C9E"/>
    <w:rsid w:val="003D572A"/>
    <w:rsid w:val="00410AA2"/>
    <w:rsid w:val="00416B3C"/>
    <w:rsid w:val="00451A40"/>
    <w:rsid w:val="00480FA8"/>
    <w:rsid w:val="00481552"/>
    <w:rsid w:val="004B4885"/>
    <w:rsid w:val="004B56B1"/>
    <w:rsid w:val="004C7D4E"/>
    <w:rsid w:val="004E1EE5"/>
    <w:rsid w:val="00520529"/>
    <w:rsid w:val="00555BE5"/>
    <w:rsid w:val="00557A9E"/>
    <w:rsid w:val="005760D5"/>
    <w:rsid w:val="00586A1C"/>
    <w:rsid w:val="005935B5"/>
    <w:rsid w:val="005C77C6"/>
    <w:rsid w:val="005D5FD2"/>
    <w:rsid w:val="005D72EF"/>
    <w:rsid w:val="005E01B7"/>
    <w:rsid w:val="005E2ABD"/>
    <w:rsid w:val="005E734C"/>
    <w:rsid w:val="005F0BC0"/>
    <w:rsid w:val="006217D6"/>
    <w:rsid w:val="006643C2"/>
    <w:rsid w:val="006764AE"/>
    <w:rsid w:val="006A5A06"/>
    <w:rsid w:val="006C439B"/>
    <w:rsid w:val="006C68C2"/>
    <w:rsid w:val="006E5829"/>
    <w:rsid w:val="0071172C"/>
    <w:rsid w:val="00771831"/>
    <w:rsid w:val="00786B74"/>
    <w:rsid w:val="00794235"/>
    <w:rsid w:val="007A1EEA"/>
    <w:rsid w:val="007A7F8C"/>
    <w:rsid w:val="007B2176"/>
    <w:rsid w:val="007D71D8"/>
    <w:rsid w:val="007E667C"/>
    <w:rsid w:val="007F25AB"/>
    <w:rsid w:val="00843C84"/>
    <w:rsid w:val="008464A8"/>
    <w:rsid w:val="008553C6"/>
    <w:rsid w:val="008739FE"/>
    <w:rsid w:val="008B497A"/>
    <w:rsid w:val="008C2960"/>
    <w:rsid w:val="008C357E"/>
    <w:rsid w:val="00924D71"/>
    <w:rsid w:val="00932864"/>
    <w:rsid w:val="00943AE7"/>
    <w:rsid w:val="00944F23"/>
    <w:rsid w:val="0095509A"/>
    <w:rsid w:val="00975366"/>
    <w:rsid w:val="009771BE"/>
    <w:rsid w:val="00996C74"/>
    <w:rsid w:val="009B1144"/>
    <w:rsid w:val="009F1F95"/>
    <w:rsid w:val="00A06964"/>
    <w:rsid w:val="00AB7DAB"/>
    <w:rsid w:val="00AD4A9D"/>
    <w:rsid w:val="00B26484"/>
    <w:rsid w:val="00B369B9"/>
    <w:rsid w:val="00B44EBF"/>
    <w:rsid w:val="00B54701"/>
    <w:rsid w:val="00B60D8C"/>
    <w:rsid w:val="00B65C45"/>
    <w:rsid w:val="00B93E03"/>
    <w:rsid w:val="00BB7783"/>
    <w:rsid w:val="00C03DFD"/>
    <w:rsid w:val="00C14814"/>
    <w:rsid w:val="00C24F2A"/>
    <w:rsid w:val="00C661BE"/>
    <w:rsid w:val="00C74FA1"/>
    <w:rsid w:val="00C84851"/>
    <w:rsid w:val="00C97934"/>
    <w:rsid w:val="00CA1D3C"/>
    <w:rsid w:val="00CB73CE"/>
    <w:rsid w:val="00CD7DD8"/>
    <w:rsid w:val="00CE11A9"/>
    <w:rsid w:val="00CE2D32"/>
    <w:rsid w:val="00CF1A01"/>
    <w:rsid w:val="00D1158E"/>
    <w:rsid w:val="00D207D9"/>
    <w:rsid w:val="00D96FF4"/>
    <w:rsid w:val="00DD49A8"/>
    <w:rsid w:val="00E65B4D"/>
    <w:rsid w:val="00E7176F"/>
    <w:rsid w:val="00EA68F4"/>
    <w:rsid w:val="00EB3D44"/>
    <w:rsid w:val="00ED5D16"/>
    <w:rsid w:val="00EF39A4"/>
    <w:rsid w:val="00EF703B"/>
    <w:rsid w:val="00F032D0"/>
    <w:rsid w:val="00F06BB1"/>
    <w:rsid w:val="00F07A13"/>
    <w:rsid w:val="00F2767C"/>
    <w:rsid w:val="00F42416"/>
    <w:rsid w:val="00F449E2"/>
    <w:rsid w:val="00F66FBC"/>
    <w:rsid w:val="00F8353C"/>
    <w:rsid w:val="00F93CB1"/>
    <w:rsid w:val="00FB0B38"/>
    <w:rsid w:val="00FB6FB2"/>
    <w:rsid w:val="00FE46F3"/>
    <w:rsid w:val="00FE4D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D82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DD7638"/>
    <w:rPr>
      <w:sz w:val="22"/>
    </w:rPr>
  </w:style>
  <w:style w:type="character" w:customStyle="1" w:styleId="ParaNumChar1">
    <w:name w:val="ParaNum Char1"/>
    <w:locked/>
    <w:rsid w:val="00DD7638"/>
    <w:rPr>
      <w:snapToGrid w:val="0"/>
      <w:kern w:val="28"/>
      <w:sz w:val="22"/>
    </w:rPr>
  </w:style>
  <w:style w:type="character" w:customStyle="1" w:styleId="UnresolvedMention">
    <w:name w:val="Unresolved Mention"/>
    <w:basedOn w:val="DefaultParagraphFont"/>
    <w:uiPriority w:val="99"/>
    <w:semiHidden/>
    <w:unhideWhenUsed/>
    <w:rsid w:val="005935B5"/>
    <w:rPr>
      <w:color w:val="605E5C"/>
      <w:shd w:val="clear" w:color="auto" w:fill="E1DFDD"/>
    </w:rPr>
  </w:style>
  <w:style w:type="paragraph" w:styleId="Revision">
    <w:name w:val="Revision"/>
    <w:hidden/>
    <w:uiPriority w:val="99"/>
    <w:semiHidden/>
    <w:rsid w:val="003446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 TargetMode="External" /><Relationship Id="rId7" Type="http://schemas.openxmlformats.org/officeDocument/2006/relationships/hyperlink" Target="http://www.fcc.gov/feefiler" TargetMode="External" /><Relationship Id="rId8" Type="http://schemas.openxmlformats.org/officeDocument/2006/relationships/hyperlink" Target="mailto:RROGWIREFAXES@fcc.gov" TargetMode="External" /><Relationship Id="rId9" Type="http://schemas.openxmlformats.org/officeDocument/2006/relationships/hyperlink" Target="http://transition.fcc.gov/fees/wiretran.html"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