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2226F" w14:paraId="6FCB9173" w14:textId="2D851113">
      <w:pPr>
        <w:jc w:val="right"/>
        <w:rPr>
          <w:b/>
          <w:sz w:val="24"/>
        </w:rPr>
      </w:pPr>
    </w:p>
    <w:p w:rsidR="00A2226F" w:rsidRPr="00B60C6C" w14:paraId="6F97D2F3" w14:textId="767843AA">
      <w:pPr>
        <w:jc w:val="right"/>
        <w:rPr>
          <w:rFonts w:ascii="Times New Roman" w:hAnsi="Times New Roman" w:cs="Times New Roman"/>
          <w:b/>
        </w:rPr>
      </w:pPr>
      <w:r w:rsidRPr="00B60C6C">
        <w:rPr>
          <w:rFonts w:ascii="Times New Roman" w:hAnsi="Times New Roman" w:cs="Times New Roman"/>
          <w:b/>
        </w:rPr>
        <w:t>DA 21-</w:t>
      </w:r>
      <w:r w:rsidR="00A964EA">
        <w:rPr>
          <w:rFonts w:ascii="Times New Roman" w:hAnsi="Times New Roman" w:cs="Times New Roman"/>
          <w:b/>
        </w:rPr>
        <w:t>1115</w:t>
      </w:r>
    </w:p>
    <w:p w:rsidR="00A2226F" w:rsidRPr="00B60C6C" w14:paraId="2E849CF4" w14:textId="7EA95358">
      <w:pPr>
        <w:spacing w:before="60"/>
        <w:jc w:val="right"/>
        <w:rPr>
          <w:rFonts w:ascii="Times New Roman" w:hAnsi="Times New Roman" w:cs="Times New Roman"/>
          <w:b/>
        </w:rPr>
      </w:pPr>
      <w:r w:rsidRPr="00B60C6C">
        <w:rPr>
          <w:rFonts w:ascii="Times New Roman" w:hAnsi="Times New Roman" w:cs="Times New Roman"/>
          <w:b/>
        </w:rPr>
        <w:t xml:space="preserve">Released:  </w:t>
      </w:r>
      <w:r w:rsidR="00EF7C49">
        <w:rPr>
          <w:rFonts w:ascii="Times New Roman" w:hAnsi="Times New Roman" w:cs="Times New Roman"/>
          <w:b/>
        </w:rPr>
        <w:t>September 7</w:t>
      </w:r>
      <w:r w:rsidRPr="00B60C6C">
        <w:rPr>
          <w:rFonts w:ascii="Times New Roman" w:hAnsi="Times New Roman" w:cs="Times New Roman"/>
          <w:b/>
        </w:rPr>
        <w:t>, 2021</w:t>
      </w:r>
    </w:p>
    <w:p w:rsidR="00A2226F" w:rsidRPr="00B60C6C" w14:paraId="30860D0A" w14:textId="77777777">
      <w:pPr>
        <w:jc w:val="right"/>
        <w:rPr>
          <w:rFonts w:ascii="Times New Roman" w:hAnsi="Times New Roman" w:cs="Times New Roman"/>
        </w:rPr>
      </w:pPr>
    </w:p>
    <w:p w:rsidR="00A2226F" w:rsidRPr="00B60C6C" w14:paraId="21AF0EA7" w14:textId="135DCAA3">
      <w:pPr>
        <w:spacing w:after="240"/>
        <w:jc w:val="center"/>
        <w:rPr>
          <w:rFonts w:ascii="Times New Roman" w:hAnsi="Times New Roman" w:cs="Times New Roman"/>
          <w:b/>
          <w:highlight w:val="yellow"/>
        </w:rPr>
      </w:pPr>
      <w:r w:rsidRPr="00B60C6C">
        <w:rPr>
          <w:rFonts w:ascii="Times New Roman" w:hAnsi="Times New Roman" w:cs="Times New Roman"/>
          <w:b/>
        </w:rPr>
        <w:t>MEDIA BUREAU SEEKS INFORMATION ON ACCESSIBILITY OF</w:t>
      </w:r>
      <w:r w:rsidR="00935F70">
        <w:rPr>
          <w:rFonts w:ascii="Times New Roman" w:hAnsi="Times New Roman" w:cs="Times New Roman"/>
          <w:b/>
        </w:rPr>
        <w:br/>
      </w:r>
      <w:r w:rsidRPr="00B60C6C">
        <w:rPr>
          <w:rFonts w:ascii="Times New Roman" w:hAnsi="Times New Roman" w:cs="Times New Roman"/>
          <w:b/>
        </w:rPr>
        <w:t xml:space="preserve">CHILDREN’S </w:t>
      </w:r>
      <w:r w:rsidR="00DB37D9">
        <w:rPr>
          <w:rFonts w:ascii="Times New Roman" w:hAnsi="Times New Roman" w:cs="Times New Roman"/>
          <w:b/>
        </w:rPr>
        <w:t xml:space="preserve">EDUCATIONAL AND INFORMATIONAL </w:t>
      </w:r>
      <w:r w:rsidRPr="00B60C6C">
        <w:rPr>
          <w:rFonts w:ascii="Times New Roman" w:hAnsi="Times New Roman" w:cs="Times New Roman"/>
          <w:b/>
        </w:rPr>
        <w:t xml:space="preserve">PROGRAMMING </w:t>
      </w:r>
    </w:p>
    <w:p w:rsidR="00A2226F" w:rsidRPr="00B60C6C" w14:paraId="53D1E439" w14:textId="77777777">
      <w:pPr>
        <w:jc w:val="center"/>
        <w:rPr>
          <w:rFonts w:ascii="Times New Roman" w:hAnsi="Times New Roman" w:cs="Times New Roman"/>
          <w:b/>
        </w:rPr>
      </w:pPr>
      <w:r w:rsidRPr="00B60C6C">
        <w:rPr>
          <w:rFonts w:ascii="Times New Roman" w:hAnsi="Times New Roman" w:cs="Times New Roman"/>
          <w:b/>
        </w:rPr>
        <w:t xml:space="preserve">MB Docket Nos. 18-202 and 17-105 </w:t>
      </w:r>
    </w:p>
    <w:p w:rsidR="00A2226F" w:rsidRPr="00B60C6C" w14:paraId="362D4A74" w14:textId="77777777">
      <w:pPr>
        <w:jc w:val="center"/>
        <w:rPr>
          <w:rFonts w:ascii="Times New Roman" w:hAnsi="Times New Roman" w:cs="Times New Roman"/>
          <w:b/>
        </w:rPr>
      </w:pPr>
    </w:p>
    <w:p w:rsidR="00A2226F" w:rsidRPr="00B60C6C" w14:paraId="028E25A0" w14:textId="7362B89B">
      <w:pPr>
        <w:rPr>
          <w:rFonts w:ascii="Times New Roman" w:hAnsi="Times New Roman" w:cs="Times New Roman"/>
          <w:b/>
        </w:rPr>
      </w:pPr>
      <w:r w:rsidRPr="00B60C6C">
        <w:rPr>
          <w:rFonts w:ascii="Times New Roman" w:hAnsi="Times New Roman" w:cs="Times New Roman"/>
          <w:b/>
        </w:rPr>
        <w:t xml:space="preserve">Comments Due:  </w:t>
      </w:r>
      <w:r w:rsidR="00EF7C49">
        <w:rPr>
          <w:rFonts w:ascii="Times New Roman" w:hAnsi="Times New Roman" w:cs="Times New Roman"/>
          <w:b/>
        </w:rPr>
        <w:t>October 7</w:t>
      </w:r>
      <w:r w:rsidRPr="00B60C6C">
        <w:rPr>
          <w:rFonts w:ascii="Times New Roman" w:hAnsi="Times New Roman" w:cs="Times New Roman"/>
          <w:b/>
        </w:rPr>
        <w:t xml:space="preserve">, 2021 </w:t>
      </w:r>
    </w:p>
    <w:p w:rsidR="00A2226F" w:rsidRPr="00B60C6C" w:rsidP="002B1280" w14:paraId="22462AAB" w14:textId="7208CBE0">
      <w:pPr>
        <w:tabs>
          <w:tab w:val="center" w:pos="4680"/>
        </w:tabs>
        <w:rPr>
          <w:rFonts w:ascii="Times New Roman" w:hAnsi="Times New Roman" w:cs="Times New Roman"/>
          <w:b/>
        </w:rPr>
      </w:pPr>
      <w:r w:rsidRPr="00B60C6C">
        <w:rPr>
          <w:rFonts w:ascii="Times New Roman" w:hAnsi="Times New Roman" w:cs="Times New Roman"/>
          <w:b/>
        </w:rPr>
        <w:t xml:space="preserve">Reply Comments Due:  </w:t>
      </w:r>
      <w:r w:rsidR="00EF7C49">
        <w:rPr>
          <w:rFonts w:ascii="Times New Roman" w:hAnsi="Times New Roman" w:cs="Times New Roman"/>
          <w:b/>
        </w:rPr>
        <w:t>November 8</w:t>
      </w:r>
      <w:r w:rsidRPr="00B60C6C">
        <w:rPr>
          <w:rFonts w:ascii="Times New Roman" w:hAnsi="Times New Roman" w:cs="Times New Roman"/>
          <w:b/>
        </w:rPr>
        <w:t xml:space="preserve">, 2021 </w:t>
      </w:r>
      <w:r w:rsidR="002B1280">
        <w:rPr>
          <w:rFonts w:ascii="Times New Roman" w:hAnsi="Times New Roman" w:cs="Times New Roman"/>
          <w:b/>
        </w:rPr>
        <w:tab/>
      </w:r>
    </w:p>
    <w:p w:rsidR="00A2226F" w:rsidRPr="00B60C6C" w:rsidP="002B1280" w14:paraId="78DF96CB" w14:textId="77777777">
      <w:pPr>
        <w:jc w:val="center"/>
        <w:rPr>
          <w:rFonts w:ascii="Times New Roman" w:hAnsi="Times New Roman" w:cs="Times New Roman"/>
          <w:b/>
        </w:rPr>
      </w:pPr>
    </w:p>
    <w:p w:rsidR="00A2226F" w:rsidRPr="00B60C6C" w14:paraId="34A8F530" w14:textId="65FE349E">
      <w:pPr>
        <w:spacing w:after="120"/>
        <w:ind w:firstLine="720"/>
        <w:rPr>
          <w:rFonts w:ascii="Times New Roman" w:hAnsi="Times New Roman" w:cs="Times New Roman"/>
        </w:rPr>
      </w:pPr>
      <w:r w:rsidRPr="00B60C6C">
        <w:rPr>
          <w:rFonts w:ascii="Times New Roman" w:hAnsi="Times New Roman" w:cs="Times New Roman"/>
        </w:rPr>
        <w:t xml:space="preserve">Through this Public Notice, we invite comment on the accessibility of children’s educational and informational television programing to children with disabilities.  In 2019, the Commission </w:t>
      </w:r>
      <w:r w:rsidR="001B6028">
        <w:rPr>
          <w:rFonts w:ascii="Times New Roman" w:hAnsi="Times New Roman" w:cs="Times New Roman"/>
        </w:rPr>
        <w:t>amended</w:t>
      </w:r>
      <w:r w:rsidRPr="00B60C6C">
        <w:rPr>
          <w:rFonts w:ascii="Times New Roman" w:hAnsi="Times New Roman" w:cs="Times New Roman"/>
        </w:rPr>
        <w:t xml:space="preserve"> the children’s programming rules, </w:t>
      </w:r>
      <w:r w:rsidR="001B6028">
        <w:rPr>
          <w:rFonts w:ascii="Times New Roman" w:hAnsi="Times New Roman" w:cs="Times New Roman"/>
        </w:rPr>
        <w:t>the rules by which</w:t>
      </w:r>
      <w:r w:rsidRPr="00B60C6C">
        <w:rPr>
          <w:rFonts w:ascii="Times New Roman" w:hAnsi="Times New Roman" w:cs="Times New Roman"/>
        </w:rPr>
        <w:t xml:space="preserve"> broadcasters </w:t>
      </w:r>
      <w:r w:rsidR="001B6028">
        <w:rPr>
          <w:rFonts w:ascii="Times New Roman" w:hAnsi="Times New Roman" w:cs="Times New Roman"/>
        </w:rPr>
        <w:t>are obligated to</w:t>
      </w:r>
      <w:r w:rsidRPr="00B60C6C">
        <w:rPr>
          <w:rFonts w:ascii="Times New Roman" w:hAnsi="Times New Roman" w:cs="Times New Roman"/>
        </w:rPr>
        <w:t xml:space="preserve"> serv</w:t>
      </w:r>
      <w:r w:rsidR="001B6028">
        <w:rPr>
          <w:rFonts w:ascii="Times New Roman" w:hAnsi="Times New Roman" w:cs="Times New Roman"/>
        </w:rPr>
        <w:t>e</w:t>
      </w:r>
      <w:r w:rsidRPr="00B60C6C">
        <w:rPr>
          <w:rFonts w:ascii="Times New Roman" w:hAnsi="Times New Roman" w:cs="Times New Roman"/>
        </w:rPr>
        <w:t xml:space="preserve"> the educational and informational needs of children.</w:t>
      </w:r>
      <w:r>
        <w:rPr>
          <w:rStyle w:val="FootnoteReference"/>
          <w:rFonts w:cs="Times New Roman"/>
        </w:rPr>
        <w:footnoteReference w:id="3"/>
      </w:r>
      <w:r w:rsidRPr="00B60C6C">
        <w:rPr>
          <w:rFonts w:ascii="Times New Roman" w:hAnsi="Times New Roman" w:cs="Times New Roman"/>
        </w:rPr>
        <w:t xml:space="preserve">  Among other changes, the revised children’s programming rules allow broadcast licensees to air a limited amount of short-form programming</w:t>
      </w:r>
      <w:r>
        <w:rPr>
          <w:rStyle w:val="FootnoteReference"/>
          <w:rFonts w:cs="Times New Roman"/>
        </w:rPr>
        <w:footnoteReference w:id="4"/>
      </w:r>
      <w:r w:rsidRPr="00B60C6C">
        <w:rPr>
          <w:rFonts w:ascii="Times New Roman" w:hAnsi="Times New Roman" w:cs="Times New Roman"/>
        </w:rPr>
        <w:t xml:space="preserve"> and up to 13 hours per quarter of regularly scheduled weekly programming on a multicast stream.</w:t>
      </w:r>
      <w:r>
        <w:rPr>
          <w:rStyle w:val="FootnoteReference"/>
          <w:rFonts w:cs="Times New Roman"/>
        </w:rPr>
        <w:footnoteReference w:id="5"/>
      </w:r>
      <w:r w:rsidRPr="00B60C6C">
        <w:rPr>
          <w:rFonts w:ascii="Times New Roman" w:hAnsi="Times New Roman" w:cs="Times New Roman"/>
        </w:rPr>
        <w:t xml:space="preserve">  Some commenters raised concerns that these changes may reduce the amount of educational programming accessible to children with</w:t>
      </w:r>
      <w:r w:rsidR="003C1CA9">
        <w:rPr>
          <w:rFonts w:ascii="Times New Roman" w:hAnsi="Times New Roman" w:cs="Times New Roman"/>
        </w:rPr>
        <w:t xml:space="preserve"> </w:t>
      </w:r>
      <w:r w:rsidRPr="00B60C6C">
        <w:rPr>
          <w:rFonts w:ascii="Times New Roman" w:hAnsi="Times New Roman" w:cs="Times New Roman"/>
        </w:rPr>
        <w:t>disabilities</w:t>
      </w:r>
      <w:r w:rsidR="00DB37D9">
        <w:rPr>
          <w:rFonts w:ascii="Times New Roman" w:hAnsi="Times New Roman" w:cs="Times New Roman"/>
        </w:rPr>
        <w:t>.</w:t>
      </w:r>
      <w:r>
        <w:rPr>
          <w:rStyle w:val="FootnoteReference"/>
          <w:rFonts w:cs="Times New Roman"/>
        </w:rPr>
        <w:footnoteReference w:id="6"/>
      </w:r>
      <w:r w:rsidRPr="00B60C6C">
        <w:rPr>
          <w:rFonts w:ascii="Times New Roman" w:hAnsi="Times New Roman" w:cs="Times New Roman"/>
        </w:rPr>
        <w:t xml:space="preserve"> </w:t>
      </w:r>
      <w:r w:rsidR="00D42EAB">
        <w:rPr>
          <w:rFonts w:ascii="Times New Roman" w:hAnsi="Times New Roman" w:cs="Times New Roman"/>
        </w:rPr>
        <w:t xml:space="preserve"> Specifically, although </w:t>
      </w:r>
      <w:r w:rsidR="00AD42E0">
        <w:rPr>
          <w:rFonts w:ascii="Times New Roman" w:hAnsi="Times New Roman" w:cs="Times New Roman"/>
        </w:rPr>
        <w:t xml:space="preserve">all educational and informational programming, including short-form programming and programming </w:t>
      </w:r>
      <w:r w:rsidR="002E5C08">
        <w:rPr>
          <w:rFonts w:ascii="Times New Roman" w:hAnsi="Times New Roman" w:cs="Times New Roman"/>
        </w:rPr>
        <w:t xml:space="preserve">aired </w:t>
      </w:r>
      <w:r w:rsidR="00AD42E0">
        <w:rPr>
          <w:rFonts w:ascii="Times New Roman" w:hAnsi="Times New Roman" w:cs="Times New Roman"/>
        </w:rPr>
        <w:t>on multicast stream</w:t>
      </w:r>
      <w:r w:rsidR="00860817">
        <w:rPr>
          <w:rFonts w:ascii="Times New Roman" w:hAnsi="Times New Roman" w:cs="Times New Roman"/>
        </w:rPr>
        <w:t>s</w:t>
      </w:r>
      <w:r w:rsidR="00AD42E0">
        <w:rPr>
          <w:rFonts w:ascii="Times New Roman" w:hAnsi="Times New Roman" w:cs="Times New Roman"/>
        </w:rPr>
        <w:t>, is subject to the closed</w:t>
      </w:r>
      <w:r w:rsidR="00EF7C49">
        <w:rPr>
          <w:rFonts w:ascii="Times New Roman" w:hAnsi="Times New Roman" w:cs="Times New Roman"/>
        </w:rPr>
        <w:t xml:space="preserve"> </w:t>
      </w:r>
      <w:r w:rsidR="00AD42E0">
        <w:rPr>
          <w:rFonts w:ascii="Times New Roman" w:hAnsi="Times New Roman" w:cs="Times New Roman"/>
        </w:rPr>
        <w:t>captioning requirements, such programming may fall under one of the exemptions to the closed</w:t>
      </w:r>
      <w:r w:rsidR="00EF7C49">
        <w:rPr>
          <w:rFonts w:ascii="Times New Roman" w:hAnsi="Times New Roman" w:cs="Times New Roman"/>
        </w:rPr>
        <w:t xml:space="preserve"> </w:t>
      </w:r>
      <w:r w:rsidR="00AD42E0">
        <w:rPr>
          <w:rFonts w:ascii="Times New Roman" w:hAnsi="Times New Roman" w:cs="Times New Roman"/>
        </w:rPr>
        <w:t>captioning rules.</w:t>
      </w:r>
      <w:r>
        <w:rPr>
          <w:rStyle w:val="FootnoteReference"/>
          <w:rFonts w:cs="Times New Roman"/>
        </w:rPr>
        <w:footnoteReference w:id="7"/>
      </w:r>
      <w:r w:rsidR="00D42EAB">
        <w:rPr>
          <w:rFonts w:ascii="Times New Roman" w:hAnsi="Times New Roman" w:cs="Times New Roman"/>
        </w:rPr>
        <w:t xml:space="preserve">  </w:t>
      </w:r>
      <w:r w:rsidR="00AD42E0">
        <w:rPr>
          <w:rFonts w:ascii="Times New Roman" w:hAnsi="Times New Roman" w:cs="Times New Roman"/>
        </w:rPr>
        <w:t xml:space="preserve">In </w:t>
      </w:r>
      <w:r w:rsidR="00AD42E0">
        <w:rPr>
          <w:rFonts w:ascii="Times New Roman" w:hAnsi="Times New Roman" w:cs="Times New Roman"/>
        </w:rPr>
        <w:t xml:space="preserve">addition, </w:t>
      </w:r>
      <w:r w:rsidR="00425587">
        <w:rPr>
          <w:rFonts w:ascii="Times New Roman" w:hAnsi="Times New Roman" w:cs="Times New Roman"/>
        </w:rPr>
        <w:t xml:space="preserve">there is no audio description requirement </w:t>
      </w:r>
      <w:r w:rsidR="005E31C6">
        <w:rPr>
          <w:rFonts w:ascii="Times New Roman" w:hAnsi="Times New Roman" w:cs="Times New Roman"/>
        </w:rPr>
        <w:t xml:space="preserve">for </w:t>
      </w:r>
      <w:r w:rsidR="00425587">
        <w:rPr>
          <w:rFonts w:ascii="Times New Roman" w:hAnsi="Times New Roman" w:cs="Times New Roman"/>
        </w:rPr>
        <w:t>multicast streams (</w:t>
      </w:r>
      <w:r w:rsidR="005E31C6">
        <w:rPr>
          <w:rFonts w:ascii="Times New Roman" w:hAnsi="Times New Roman" w:cs="Times New Roman"/>
        </w:rPr>
        <w:t>that is, programming aired on multicast streams does not count toward the audio</w:t>
      </w:r>
      <w:r w:rsidR="002B1280">
        <w:rPr>
          <w:rFonts w:ascii="Times New Roman" w:hAnsi="Times New Roman" w:cs="Times New Roman"/>
        </w:rPr>
        <w:t xml:space="preserve"> </w:t>
      </w:r>
      <w:r w:rsidR="005E31C6">
        <w:rPr>
          <w:rFonts w:ascii="Times New Roman" w:hAnsi="Times New Roman" w:cs="Times New Roman"/>
        </w:rPr>
        <w:t>described programming requirement)</w:t>
      </w:r>
      <w:r w:rsidR="00425587">
        <w:rPr>
          <w:rFonts w:ascii="Times New Roman" w:hAnsi="Times New Roman" w:cs="Times New Roman"/>
        </w:rPr>
        <w:t>.</w:t>
      </w:r>
      <w:r>
        <w:rPr>
          <w:rStyle w:val="FootnoteReference"/>
          <w:rFonts w:cs="Times New Roman"/>
        </w:rPr>
        <w:footnoteReference w:id="8"/>
      </w:r>
      <w:r w:rsidR="00720AA0">
        <w:rPr>
          <w:rFonts w:ascii="Times New Roman" w:hAnsi="Times New Roman" w:cs="Times New Roman"/>
        </w:rPr>
        <w:t xml:space="preserve"> </w:t>
      </w:r>
      <w:r w:rsidR="00425587">
        <w:rPr>
          <w:rFonts w:ascii="Times New Roman" w:hAnsi="Times New Roman" w:cs="Times New Roman"/>
        </w:rPr>
        <w:t xml:space="preserve"> Thus, although </w:t>
      </w:r>
      <w:r w:rsidR="008F26EC">
        <w:rPr>
          <w:rFonts w:ascii="Times New Roman" w:hAnsi="Times New Roman" w:cs="Times New Roman"/>
        </w:rPr>
        <w:t>stations may audio</w:t>
      </w:r>
      <w:r w:rsidR="002B1280">
        <w:rPr>
          <w:rFonts w:ascii="Times New Roman" w:hAnsi="Times New Roman" w:cs="Times New Roman"/>
        </w:rPr>
        <w:t xml:space="preserve"> </w:t>
      </w:r>
      <w:r w:rsidR="008F26EC">
        <w:rPr>
          <w:rFonts w:ascii="Times New Roman" w:hAnsi="Times New Roman" w:cs="Times New Roman"/>
        </w:rPr>
        <w:t>describe programming aired on multicast streams voluntarily</w:t>
      </w:r>
      <w:r w:rsidR="00425587">
        <w:rPr>
          <w:rFonts w:ascii="Times New Roman" w:hAnsi="Times New Roman" w:cs="Times New Roman"/>
        </w:rPr>
        <w:t xml:space="preserve">, budget constraints may make it </w:t>
      </w:r>
      <w:r w:rsidR="008F26EC">
        <w:rPr>
          <w:rFonts w:ascii="Times New Roman" w:hAnsi="Times New Roman" w:cs="Times New Roman"/>
        </w:rPr>
        <w:t>unlikely that they will do so</w:t>
      </w:r>
      <w:r w:rsidR="00425587">
        <w:rPr>
          <w:rFonts w:ascii="Times New Roman" w:hAnsi="Times New Roman" w:cs="Times New Roman"/>
        </w:rPr>
        <w:t xml:space="preserve"> in a meaningful way</w:t>
      </w:r>
      <w:r w:rsidR="008F2260">
        <w:rPr>
          <w:rFonts w:ascii="Times New Roman" w:hAnsi="Times New Roman" w:cs="Times New Roman"/>
        </w:rPr>
        <w:t xml:space="preserve">.  </w:t>
      </w:r>
      <w:r w:rsidR="005A754B">
        <w:rPr>
          <w:rFonts w:ascii="Times New Roman" w:hAnsi="Times New Roman" w:cs="Times New Roman"/>
        </w:rPr>
        <w:t>Accordingly</w:t>
      </w:r>
      <w:r w:rsidRPr="00B60C6C">
        <w:rPr>
          <w:rFonts w:ascii="Times New Roman" w:hAnsi="Times New Roman" w:cs="Times New Roman"/>
        </w:rPr>
        <w:t>, the Commission directed the Media Bureau to issue a Public Notice no later than two years after the effective date of the revised rules seeking information on the extent to which short-form programming and regularly scheduled weekly programming aired on multicast streams is closed</w:t>
      </w:r>
      <w:r w:rsidR="00EA755C">
        <w:rPr>
          <w:rFonts w:ascii="Times New Roman" w:hAnsi="Times New Roman" w:cs="Times New Roman"/>
        </w:rPr>
        <w:t xml:space="preserve"> </w:t>
      </w:r>
      <w:r w:rsidRPr="00B60C6C">
        <w:rPr>
          <w:rFonts w:ascii="Times New Roman" w:hAnsi="Times New Roman" w:cs="Times New Roman"/>
        </w:rPr>
        <w:t>captioned and/or audio</w:t>
      </w:r>
      <w:r w:rsidR="00EF7C49">
        <w:rPr>
          <w:rFonts w:ascii="Times New Roman" w:hAnsi="Times New Roman" w:cs="Times New Roman"/>
        </w:rPr>
        <w:t xml:space="preserve"> </w:t>
      </w:r>
      <w:r w:rsidRPr="00B60C6C">
        <w:rPr>
          <w:rFonts w:ascii="Times New Roman" w:hAnsi="Times New Roman" w:cs="Times New Roman"/>
        </w:rPr>
        <w:t xml:space="preserve">described, including </w:t>
      </w:r>
      <w:r w:rsidRPr="00B60C6C">
        <w:rPr>
          <w:rFonts w:ascii="Times New Roman" w:hAnsi="Times New Roman" w:cs="Times New Roman"/>
          <w:bCs/>
          <w:color w:val="000000"/>
        </w:rPr>
        <w:t>on</w:t>
      </w:r>
      <w:r w:rsidRPr="00B60C6C">
        <w:rPr>
          <w:rFonts w:ascii="Times New Roman" w:hAnsi="Times New Roman" w:cs="Times New Roman"/>
          <w:b/>
          <w:bCs/>
          <w:color w:val="000000"/>
        </w:rPr>
        <w:t xml:space="preserve"> </w:t>
      </w:r>
      <w:r w:rsidRPr="00B60C6C">
        <w:rPr>
          <w:rFonts w:ascii="Times New Roman" w:hAnsi="Times New Roman" w:cs="Times New Roman"/>
          <w:bCs/>
          <w:color w:val="000000"/>
        </w:rPr>
        <w:t>multicast channels like PBS KIDS</w:t>
      </w:r>
      <w:r w:rsidRPr="00B60C6C">
        <w:rPr>
          <w:rFonts w:ascii="Times New Roman" w:hAnsi="Times New Roman" w:cs="Times New Roman"/>
        </w:rPr>
        <w:t>.</w:t>
      </w:r>
      <w:r>
        <w:rPr>
          <w:rStyle w:val="FootnoteReference"/>
          <w:rFonts w:cs="Times New Roman"/>
        </w:rPr>
        <w:footnoteReference w:id="9"/>
      </w:r>
      <w:r w:rsidRPr="00B60C6C">
        <w:rPr>
          <w:rFonts w:ascii="Times New Roman" w:hAnsi="Times New Roman" w:cs="Times New Roman"/>
        </w:rPr>
        <w:t xml:space="preserve"> </w:t>
      </w:r>
    </w:p>
    <w:p w:rsidR="00A2226F" w:rsidRPr="00B60C6C" w14:paraId="50D30DA0" w14:textId="72587F59">
      <w:pPr>
        <w:spacing w:after="120"/>
        <w:ind w:firstLine="720"/>
        <w:rPr>
          <w:rFonts w:ascii="Times New Roman" w:hAnsi="Times New Roman" w:cs="Times New Roman"/>
        </w:rPr>
      </w:pPr>
      <w:r w:rsidRPr="00B60C6C">
        <w:rPr>
          <w:rFonts w:ascii="Times New Roman" w:hAnsi="Times New Roman" w:cs="Times New Roman"/>
        </w:rPr>
        <w:t>Consistent with this directive, we seek comment on the extent to which short-form programming and regularly scheduled weekly programming aired on multicast streams is closed</w:t>
      </w:r>
      <w:r w:rsidR="00EA755C">
        <w:rPr>
          <w:rFonts w:ascii="Times New Roman" w:hAnsi="Times New Roman" w:cs="Times New Roman"/>
        </w:rPr>
        <w:t xml:space="preserve"> </w:t>
      </w:r>
      <w:r w:rsidRPr="00B60C6C">
        <w:rPr>
          <w:rFonts w:ascii="Times New Roman" w:hAnsi="Times New Roman" w:cs="Times New Roman"/>
        </w:rPr>
        <w:t>captioned and/or audio</w:t>
      </w:r>
      <w:r w:rsidR="00EF7C49">
        <w:rPr>
          <w:rFonts w:ascii="Times New Roman" w:hAnsi="Times New Roman" w:cs="Times New Roman"/>
        </w:rPr>
        <w:t xml:space="preserve"> </w:t>
      </w:r>
      <w:r w:rsidRPr="00B60C6C">
        <w:rPr>
          <w:rFonts w:ascii="Times New Roman" w:hAnsi="Times New Roman" w:cs="Times New Roman"/>
        </w:rPr>
        <w:t>described.  In particular, we seek specific data on the amount of short-form programming that is closed</w:t>
      </w:r>
      <w:r w:rsidR="00EA755C">
        <w:rPr>
          <w:rFonts w:ascii="Times New Roman" w:hAnsi="Times New Roman" w:cs="Times New Roman"/>
        </w:rPr>
        <w:t xml:space="preserve"> </w:t>
      </w:r>
      <w:r w:rsidRPr="00B60C6C">
        <w:rPr>
          <w:rFonts w:ascii="Times New Roman" w:hAnsi="Times New Roman" w:cs="Times New Roman"/>
        </w:rPr>
        <w:t>captioned and/or audio</w:t>
      </w:r>
      <w:r w:rsidR="00EF7C49">
        <w:rPr>
          <w:rFonts w:ascii="Times New Roman" w:hAnsi="Times New Roman" w:cs="Times New Roman"/>
        </w:rPr>
        <w:t xml:space="preserve"> </w:t>
      </w:r>
      <w:r w:rsidRPr="00B60C6C">
        <w:rPr>
          <w:rFonts w:ascii="Times New Roman" w:hAnsi="Times New Roman" w:cs="Times New Roman"/>
        </w:rPr>
        <w:t>described (e.g., expressed in minutes or hours or as a percentage of the total amount of short-form programming aired on a particular station or channel).  Additionally, we seek specific data on the amount of regularly scheduled weekly programming aired on multicast streams that is closed</w:t>
      </w:r>
      <w:r w:rsidR="00EA755C">
        <w:rPr>
          <w:rFonts w:ascii="Times New Roman" w:hAnsi="Times New Roman" w:cs="Times New Roman"/>
        </w:rPr>
        <w:t xml:space="preserve"> </w:t>
      </w:r>
      <w:r w:rsidRPr="00B60C6C">
        <w:rPr>
          <w:rFonts w:ascii="Times New Roman" w:hAnsi="Times New Roman" w:cs="Times New Roman"/>
        </w:rPr>
        <w:t xml:space="preserve">captioned and/or </w:t>
      </w:r>
      <w:r w:rsidR="00EF7C49">
        <w:rPr>
          <w:rFonts w:ascii="Times New Roman" w:hAnsi="Times New Roman" w:cs="Times New Roman"/>
        </w:rPr>
        <w:t xml:space="preserve">audio </w:t>
      </w:r>
      <w:r w:rsidRPr="00B60C6C">
        <w:rPr>
          <w:rFonts w:ascii="Times New Roman" w:hAnsi="Times New Roman" w:cs="Times New Roman"/>
        </w:rPr>
        <w:t xml:space="preserve">described (e.g., expressed in minutes or hours or as a percentage of the total amount of regularly scheduled weekly programming aired on a particular multicast stream). </w:t>
      </w:r>
    </w:p>
    <w:p w:rsidR="00A2226F" w:rsidRPr="00B60C6C" w14:paraId="4BBE8F23" w14:textId="3828CBCD">
      <w:pPr>
        <w:spacing w:after="120"/>
        <w:ind w:firstLine="720"/>
        <w:rPr>
          <w:rFonts w:ascii="Times New Roman" w:hAnsi="Times New Roman" w:cs="Times New Roman"/>
        </w:rPr>
      </w:pPr>
      <w:r w:rsidRPr="00B60C6C">
        <w:rPr>
          <w:rFonts w:ascii="Times New Roman" w:hAnsi="Times New Roman" w:cs="Times New Roman"/>
        </w:rPr>
        <w:t xml:space="preserve">We also request comment on any changes in the broadcast industry </w:t>
      </w:r>
      <w:r w:rsidR="005C44DD">
        <w:rPr>
          <w:rFonts w:ascii="Times New Roman" w:hAnsi="Times New Roman" w:cs="Times New Roman"/>
        </w:rPr>
        <w:t xml:space="preserve">since our revised children’s television rules were adopted </w:t>
      </w:r>
      <w:r w:rsidRPr="00B60C6C">
        <w:rPr>
          <w:rFonts w:ascii="Times New Roman" w:hAnsi="Times New Roman" w:cs="Times New Roman"/>
        </w:rPr>
        <w:t xml:space="preserve">that have affected the </w:t>
      </w:r>
      <w:r w:rsidR="007A2380">
        <w:rPr>
          <w:rFonts w:ascii="Times New Roman" w:hAnsi="Times New Roman" w:cs="Times New Roman"/>
        </w:rPr>
        <w:t>extent to which</w:t>
      </w:r>
      <w:r w:rsidRPr="00B60C6C">
        <w:rPr>
          <w:rFonts w:ascii="Times New Roman" w:hAnsi="Times New Roman" w:cs="Times New Roman"/>
        </w:rPr>
        <w:t xml:space="preserve"> </w:t>
      </w:r>
      <w:r w:rsidR="007A2380">
        <w:rPr>
          <w:rFonts w:ascii="Times New Roman" w:hAnsi="Times New Roman" w:cs="Times New Roman"/>
        </w:rPr>
        <w:t xml:space="preserve">children’s </w:t>
      </w:r>
      <w:r w:rsidRPr="00B60C6C">
        <w:rPr>
          <w:rFonts w:ascii="Times New Roman" w:hAnsi="Times New Roman" w:cs="Times New Roman"/>
        </w:rPr>
        <w:t>educational and informational programming</w:t>
      </w:r>
      <w:r w:rsidR="007A2380">
        <w:rPr>
          <w:rFonts w:ascii="Times New Roman" w:hAnsi="Times New Roman" w:cs="Times New Roman"/>
        </w:rPr>
        <w:t xml:space="preserve"> is</w:t>
      </w:r>
      <w:r w:rsidRPr="00B60C6C">
        <w:rPr>
          <w:rFonts w:ascii="Times New Roman" w:hAnsi="Times New Roman" w:cs="Times New Roman"/>
        </w:rPr>
        <w:t xml:space="preserve"> accessible</w:t>
      </w:r>
      <w:r w:rsidR="007A2380">
        <w:rPr>
          <w:rFonts w:ascii="Times New Roman" w:hAnsi="Times New Roman" w:cs="Times New Roman"/>
        </w:rPr>
        <w:t>.</w:t>
      </w:r>
      <w:r w:rsidRPr="00B60C6C">
        <w:rPr>
          <w:rFonts w:ascii="Times New Roman" w:hAnsi="Times New Roman" w:cs="Times New Roman"/>
        </w:rPr>
        <w:t xml:space="preserve">  </w:t>
      </w:r>
      <w:r w:rsidR="007A2380">
        <w:rPr>
          <w:rFonts w:ascii="Times New Roman" w:hAnsi="Times New Roman" w:cs="Times New Roman"/>
        </w:rPr>
        <w:t xml:space="preserve">For example, we note that </w:t>
      </w:r>
      <w:r w:rsidRPr="00B60C6C">
        <w:rPr>
          <w:rFonts w:ascii="Times New Roman" w:hAnsi="Times New Roman" w:cs="Times New Roman"/>
        </w:rPr>
        <w:t xml:space="preserve">Media reports indicate that </w:t>
      </w:r>
      <w:r w:rsidRPr="00B60C6C">
        <w:rPr>
          <w:rFonts w:ascii="Times New Roman" w:hAnsi="Times New Roman" w:cs="Times New Roman"/>
        </w:rPr>
        <w:t>Qubo</w:t>
      </w:r>
      <w:r w:rsidRPr="00B60C6C">
        <w:rPr>
          <w:rFonts w:ascii="Times New Roman" w:hAnsi="Times New Roman" w:cs="Times New Roman"/>
        </w:rPr>
        <w:t>—a 24/7 multicast channel for children that provided closed captioning for all of its educational programming—ceased operations in February 2021.</w:t>
      </w:r>
      <w:r>
        <w:rPr>
          <w:rStyle w:val="FootnoteReference"/>
          <w:rFonts w:cs="Times New Roman"/>
        </w:rPr>
        <w:footnoteReference w:id="10"/>
      </w:r>
      <w:r w:rsidRPr="00B60C6C">
        <w:rPr>
          <w:rFonts w:ascii="Times New Roman" w:hAnsi="Times New Roman" w:cs="Times New Roman"/>
        </w:rPr>
        <w:t xml:space="preserve">  We seek comment on </w:t>
      </w:r>
      <w:r w:rsidR="005C44DD">
        <w:rPr>
          <w:rFonts w:ascii="Times New Roman" w:hAnsi="Times New Roman" w:cs="Times New Roman"/>
        </w:rPr>
        <w:t xml:space="preserve">the impact of this change and </w:t>
      </w:r>
      <w:r w:rsidRPr="00B60C6C">
        <w:rPr>
          <w:rFonts w:ascii="Times New Roman" w:hAnsi="Times New Roman" w:cs="Times New Roman"/>
        </w:rPr>
        <w:t xml:space="preserve">whether there are other </w:t>
      </w:r>
      <w:r w:rsidR="005C44DD">
        <w:rPr>
          <w:rFonts w:ascii="Times New Roman" w:hAnsi="Times New Roman" w:cs="Times New Roman"/>
        </w:rPr>
        <w:t>relevant market development</w:t>
      </w:r>
      <w:r w:rsidRPr="00B60C6C">
        <w:rPr>
          <w:rFonts w:ascii="Times New Roman" w:hAnsi="Times New Roman" w:cs="Times New Roman"/>
        </w:rPr>
        <w:t>s, such as the launch of new multicast channels for children or programming changes on existing multicast channels, that have impacted the availability of educational children’s programming that is closed</w:t>
      </w:r>
      <w:r w:rsidR="00EA755C">
        <w:rPr>
          <w:rFonts w:ascii="Times New Roman" w:hAnsi="Times New Roman" w:cs="Times New Roman"/>
        </w:rPr>
        <w:t xml:space="preserve"> </w:t>
      </w:r>
      <w:r w:rsidRPr="00B60C6C">
        <w:rPr>
          <w:rFonts w:ascii="Times New Roman" w:hAnsi="Times New Roman" w:cs="Times New Roman"/>
        </w:rPr>
        <w:t>captioned and/or audio</w:t>
      </w:r>
      <w:r w:rsidR="00EF7C49">
        <w:rPr>
          <w:rFonts w:ascii="Times New Roman" w:hAnsi="Times New Roman" w:cs="Times New Roman"/>
        </w:rPr>
        <w:t xml:space="preserve"> </w:t>
      </w:r>
      <w:r w:rsidRPr="00B60C6C">
        <w:rPr>
          <w:rFonts w:ascii="Times New Roman" w:hAnsi="Times New Roman" w:cs="Times New Roman"/>
        </w:rPr>
        <w:t xml:space="preserve">described.  Comments filed in </w:t>
      </w:r>
      <w:r w:rsidRPr="00B60C6C">
        <w:rPr>
          <w:rFonts w:ascii="Times New Roman" w:hAnsi="Times New Roman" w:cs="Times New Roman"/>
        </w:rPr>
        <w:t xml:space="preserve">response to this Public Notice will help inform the Commission’s determination of whether additional action is warranted </w:t>
      </w:r>
      <w:r w:rsidR="007A2380">
        <w:rPr>
          <w:rFonts w:ascii="Times New Roman" w:hAnsi="Times New Roman" w:cs="Times New Roman"/>
        </w:rPr>
        <w:t xml:space="preserve">to promote increased accessibility of children’s programming on multicast channels </w:t>
      </w:r>
      <w:r w:rsidRPr="00B60C6C">
        <w:rPr>
          <w:rFonts w:ascii="Times New Roman" w:hAnsi="Times New Roman" w:cs="Times New Roman"/>
        </w:rPr>
        <w:t xml:space="preserve">and if so, what measures should be proposed or taken.  </w:t>
      </w:r>
    </w:p>
    <w:p w:rsidR="00A2226F" w:rsidRPr="00B60C6C" w14:paraId="68860DA6" w14:textId="77777777">
      <w:pPr>
        <w:spacing w:after="120"/>
        <w:ind w:firstLine="720"/>
        <w:rPr>
          <w:rFonts w:ascii="Times New Roman" w:hAnsi="Times New Roman" w:cs="Times New Roman"/>
        </w:rPr>
      </w:pP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Rules</w:t>
      </w:r>
      <w:r w:rsidRPr="00B60C6C">
        <w:rPr>
          <w:rFonts w:ascii="Times New Roman" w:eastAsia="Calibri" w:hAnsi="Times New Roman" w:cs="Times New Roman"/>
        </w:rPr>
        <w:t xml:space="preserve">.  This proceeding shall be treated as a “permit-but-disclose” proceeding in accordance with the Commission’s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rules.</w:t>
      </w:r>
      <w:r>
        <w:rPr>
          <w:rFonts w:ascii="Times New Roman" w:eastAsia="Calibri" w:hAnsi="Times New Roman" w:cs="Times New Roman"/>
          <w:vertAlign w:val="superscript"/>
        </w:rPr>
        <w:footnoteReference w:id="11"/>
      </w:r>
      <w:r w:rsidRPr="00B60C6C">
        <w:rPr>
          <w:rFonts w:ascii="Times New Roman" w:eastAsia="Calibri" w:hAnsi="Times New Roman" w:cs="Times New Roman"/>
        </w:rPr>
        <w:t xml:space="preserve">  Persons making </w:t>
      </w:r>
      <w:r w:rsidRPr="00B60C6C">
        <w:rPr>
          <w:rFonts w:ascii="Times New Roman" w:eastAsia="Calibri" w:hAnsi="Times New Roman" w:cs="Times New Roman"/>
          <w:i/>
        </w:rPr>
        <w:t xml:space="preserve">ex </w:t>
      </w:r>
      <w:r w:rsidRPr="00B60C6C">
        <w:rPr>
          <w:rFonts w:ascii="Times New Roman" w:eastAsia="Calibri" w:hAnsi="Times New Roman" w:cs="Times New Roman"/>
          <w:i/>
        </w:rPr>
        <w:t>parte</w:t>
      </w:r>
      <w:r w:rsidRPr="00B60C6C">
        <w:rPr>
          <w:rFonts w:ascii="Times New Roman" w:eastAsia="Calibri" w:hAnsi="Times New Roman" w:cs="Times New Roman"/>
          <w:i/>
        </w:rPr>
        <w:t xml:space="preserve"> </w:t>
      </w:r>
      <w:r w:rsidRPr="00B60C6C">
        <w:rPr>
          <w:rFonts w:ascii="Times New Roman" w:eastAsia="Calibri" w:hAnsi="Times New Roman" w:cs="Times New Roman"/>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 xml:space="preserve">presentations are reminded that memoranda summarizing the presentation must (1) list all persons attending or otherwise participating in the meeting at which the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 xml:space="preserve">meetings are deemed to be written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rPr>
        <w:t xml:space="preserve"> presentations and must be filed consistent with rule 1.1206(b).  In proceedings governed by rule 1.49(f) or for which the Commission has made available a method of electronic filing, written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 xml:space="preserve">presentations and memoranda summarizing oral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presentations, and all attachments thereto, must be filed through the electronic comment filing system available for that proceeding, and must be filed in their native format (</w:t>
      </w:r>
      <w:r w:rsidRPr="00B60C6C">
        <w:rPr>
          <w:rFonts w:ascii="Times New Roman" w:eastAsia="Calibri" w:hAnsi="Times New Roman" w:cs="Times New Roman"/>
          <w:i/>
          <w:iCs/>
        </w:rPr>
        <w:t>e.g.</w:t>
      </w:r>
      <w:r w:rsidRPr="00B60C6C">
        <w:rPr>
          <w:rFonts w:ascii="Times New Roman" w:eastAsia="Calibri" w:hAnsi="Times New Roman" w:cs="Times New Roman"/>
        </w:rPr>
        <w:t xml:space="preserve">, .doc, .xml, .ppt, searchable .pdf).  Participants in this proceeding should familiarize themselves with the Commission’s </w:t>
      </w:r>
      <w:r w:rsidRPr="00B60C6C">
        <w:rPr>
          <w:rFonts w:ascii="Times New Roman" w:eastAsia="Calibri" w:hAnsi="Times New Roman" w:cs="Times New Roman"/>
          <w:i/>
          <w:iCs/>
        </w:rPr>
        <w:t xml:space="preserve">ex </w:t>
      </w:r>
      <w:r w:rsidRPr="00B60C6C">
        <w:rPr>
          <w:rFonts w:ascii="Times New Roman" w:eastAsia="Calibri" w:hAnsi="Times New Roman" w:cs="Times New Roman"/>
          <w:i/>
          <w:iCs/>
        </w:rPr>
        <w:t>parte</w:t>
      </w:r>
      <w:r w:rsidRPr="00B60C6C">
        <w:rPr>
          <w:rFonts w:ascii="Times New Roman" w:eastAsia="Calibri" w:hAnsi="Times New Roman" w:cs="Times New Roman"/>
          <w:i/>
          <w:iCs/>
        </w:rPr>
        <w:t xml:space="preserve"> </w:t>
      </w:r>
      <w:r w:rsidRPr="00B60C6C">
        <w:rPr>
          <w:rFonts w:ascii="Times New Roman" w:eastAsia="Calibri" w:hAnsi="Times New Roman" w:cs="Times New Roman"/>
        </w:rPr>
        <w:t>rules.</w:t>
      </w:r>
    </w:p>
    <w:p w:rsidR="00A2226F" w:rsidRPr="00B60C6C" w14:paraId="79C694A2" w14:textId="77777777">
      <w:pPr>
        <w:spacing w:after="120"/>
        <w:ind w:firstLine="720"/>
        <w:rPr>
          <w:rFonts w:ascii="Times New Roman" w:hAnsi="Times New Roman" w:cs="Times New Roman"/>
        </w:rPr>
      </w:pPr>
      <w:r w:rsidRPr="00B60C6C">
        <w:rPr>
          <w:rFonts w:ascii="Times New Roman" w:hAnsi="Times New Roman" w:cs="Times New Roman"/>
          <w:i/>
          <w:iCs/>
        </w:rPr>
        <w:t>Filing Requirements</w:t>
      </w:r>
      <w:r w:rsidRPr="00B60C6C">
        <w:rPr>
          <w:rFonts w:ascii="Times New Roman" w:hAnsi="Times New Roman" w:cs="Times New Roman"/>
        </w:rPr>
        <w:t xml:space="preserve">.  All filings responsive to this Public Notice must reference MB Docket Nos. 18-202 and 17-105.  </w:t>
      </w:r>
      <w:r w:rsidRPr="00B60C6C">
        <w:rPr>
          <w:rFonts w:ascii="Times New Roman" w:eastAsia="Calibri" w:hAnsi="Times New Roman" w:cs="Times New Roman"/>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60C6C">
        <w:rPr>
          <w:rFonts w:ascii="Times New Roman" w:eastAsia="Calibri" w:hAnsi="Times New Roman" w:cs="Times New Roman"/>
          <w:i/>
        </w:rPr>
        <w:t>See Electronic Filing of Documents in Rulemaking Proceedings</w:t>
      </w:r>
      <w:r w:rsidRPr="00B60C6C">
        <w:rPr>
          <w:rFonts w:ascii="Times New Roman" w:eastAsia="Calibri" w:hAnsi="Times New Roman" w:cs="Times New Roman"/>
        </w:rPr>
        <w:t>, 63 FR 24121 (1998).</w:t>
      </w:r>
    </w:p>
    <w:p w:rsidR="00A2226F" w:rsidRPr="00B60C6C" w14:paraId="52410A4E" w14:textId="77777777">
      <w:pPr>
        <w:numPr>
          <w:ilvl w:val="0"/>
          <w:numId w:val="7"/>
        </w:numPr>
        <w:spacing w:after="120"/>
        <w:rPr>
          <w:rFonts w:ascii="Times New Roman" w:hAnsi="Times New Roman" w:cs="Times New Roman"/>
        </w:rPr>
      </w:pPr>
      <w:r w:rsidRPr="00B60C6C">
        <w:rPr>
          <w:rFonts w:ascii="Times New Roman" w:hAnsi="Times New Roman" w:cs="Times New Roman"/>
        </w:rPr>
        <w:t xml:space="preserve">Electronic Filers:  Comments may be filed electronically using the Internet by accessing the ECFS:  http://apps.fcc.gov/ecfs/.  </w:t>
      </w:r>
    </w:p>
    <w:p w:rsidR="00A2226F" w:rsidRPr="00B60C6C" w14:paraId="24352B21" w14:textId="77777777">
      <w:pPr>
        <w:numPr>
          <w:ilvl w:val="0"/>
          <w:numId w:val="7"/>
        </w:numPr>
        <w:spacing w:after="120"/>
        <w:rPr>
          <w:rFonts w:ascii="Times New Roman" w:hAnsi="Times New Roman" w:cs="Times New Roman"/>
        </w:rPr>
      </w:pPr>
      <w:r w:rsidRPr="00B60C6C">
        <w:rPr>
          <w:rFonts w:ascii="Times New Roman" w:hAnsi="Times New Roman" w:cs="Times New Roman"/>
        </w:rPr>
        <w:t xml:space="preserve">Paper Filers:  Parties who choose to file by paper must file an original and one copy of each filing. </w:t>
      </w:r>
    </w:p>
    <w:p w:rsidR="00A2226F" w:rsidRPr="00B60C6C" w14:paraId="26C44DD5" w14:textId="77777777">
      <w:pPr>
        <w:numPr>
          <w:ilvl w:val="0"/>
          <w:numId w:val="7"/>
        </w:numPr>
        <w:spacing w:after="120"/>
        <w:rPr>
          <w:rFonts w:ascii="Times New Roman" w:hAnsi="Times New Roman" w:cs="Times New Roman"/>
        </w:rPr>
      </w:pPr>
      <w:r w:rsidRPr="00B60C6C">
        <w:rPr>
          <w:rFonts w:ascii="Times New Roman" w:hAnsi="Times New Roman" w:cs="Times New Roman"/>
        </w:rPr>
        <w:t>Filings can be sent by commercial overnight courier, or by first-class or overnight U.S. Postal Service mail.  All filings must be addressed to the Commission’s Secretary, Office of the Secretary, Federal Communications Commission.</w:t>
      </w:r>
    </w:p>
    <w:p w:rsidR="00A2226F" w:rsidRPr="00B60C6C" w14:paraId="53EAAABC" w14:textId="77777777">
      <w:pPr>
        <w:numPr>
          <w:ilvl w:val="1"/>
          <w:numId w:val="7"/>
        </w:numPr>
        <w:spacing w:after="120"/>
        <w:rPr>
          <w:rFonts w:ascii="Times New Roman" w:hAnsi="Times New Roman" w:cs="Times New Roman"/>
        </w:rPr>
      </w:pPr>
      <w:r w:rsidRPr="00B60C6C">
        <w:rPr>
          <w:rFonts w:ascii="Times New Roman" w:hAnsi="Times New Roman" w:cs="Times New Roman"/>
        </w:rPr>
        <w:t>Commercial overnight mail (other than U.S. Postal Service Express Mail and Priority Mail) must be sent to 9050 Junction Drive, Annapolis Junction, MD  20701.</w:t>
      </w:r>
    </w:p>
    <w:p w:rsidR="00A2226F" w:rsidRPr="00B60C6C" w14:paraId="6CA4DDA3" w14:textId="77777777">
      <w:pPr>
        <w:numPr>
          <w:ilvl w:val="1"/>
          <w:numId w:val="7"/>
        </w:numPr>
        <w:spacing w:after="120"/>
        <w:rPr>
          <w:rFonts w:ascii="Times New Roman" w:hAnsi="Times New Roman" w:cs="Times New Roman"/>
        </w:rPr>
      </w:pPr>
      <w:r w:rsidRPr="00B60C6C">
        <w:rPr>
          <w:rFonts w:ascii="Times New Roman" w:hAnsi="Times New Roman" w:cs="Times New Roman"/>
        </w:rPr>
        <w:t>U.S. Postal Service first-class, Express, and Priority mail must be addressed to 45 L Street, NE, Washington, DC 20554.</w:t>
      </w:r>
    </w:p>
    <w:p w:rsidR="00A2226F" w:rsidRPr="00B60C6C" w14:paraId="0BD7B346" w14:textId="77777777">
      <w:pPr>
        <w:numPr>
          <w:ilvl w:val="0"/>
          <w:numId w:val="7"/>
        </w:numPr>
        <w:spacing w:after="120"/>
        <w:rPr>
          <w:rFonts w:ascii="Times New Roman" w:hAnsi="Times New Roman" w:cs="Times New Roman"/>
        </w:rPr>
      </w:pPr>
      <w:r w:rsidRPr="00B60C6C">
        <w:rPr>
          <w:rFonts w:ascii="Times New Roman" w:hAnsi="Times New Roman" w:cs="Times New Roman"/>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A2226F" w:rsidRPr="00B60C6C" w14:paraId="6D053E0C" w14:textId="77777777">
      <w:pPr>
        <w:numPr>
          <w:ilvl w:val="0"/>
          <w:numId w:val="7"/>
        </w:numPr>
        <w:spacing w:after="120"/>
        <w:rPr>
          <w:rFonts w:ascii="Times New Roman" w:hAnsi="Times New Roman" w:cs="Times New Roman"/>
        </w:rPr>
      </w:pPr>
      <w:r w:rsidRPr="00B60C6C">
        <w:rPr>
          <w:rFonts w:ascii="Times New Roman" w:hAnsi="Times New Roman" w:cs="Times New Roman"/>
        </w:rPr>
        <w:t xml:space="preserve">During the time the Commission’s building is closed to the general public and until further notice, if more than one docket or rulemaking number appears in the caption of a </w:t>
      </w:r>
      <w:r w:rsidRPr="00B60C6C">
        <w:rPr>
          <w:rFonts w:ascii="Times New Roman" w:hAnsi="Times New Roman" w:cs="Times New Roman"/>
        </w:rPr>
        <w:t>proceeding, paper filers need not submit two additional copies for each additional docket or rulemaking number; an original and one copy are sufficient.</w:t>
      </w:r>
    </w:p>
    <w:p w:rsidR="00A2226F" w:rsidRPr="00B60C6C" w14:paraId="7D2A4658" w14:textId="77777777">
      <w:pPr>
        <w:spacing w:after="120"/>
        <w:ind w:firstLine="720"/>
        <w:rPr>
          <w:rFonts w:ascii="Times New Roman" w:hAnsi="Times New Roman" w:cs="Times New Roman"/>
        </w:rPr>
      </w:pPr>
      <w:r w:rsidRPr="00B60C6C">
        <w:rPr>
          <w:rFonts w:ascii="Times New Roman" w:hAnsi="Times New Roman" w:cs="Times New Roman"/>
          <w:i/>
          <w:iCs/>
        </w:rPr>
        <w:t>People with Disabilities</w:t>
      </w:r>
      <w:r w:rsidRPr="00B60C6C">
        <w:rPr>
          <w:rFonts w:ascii="Times New Roman" w:hAnsi="Times New Roman" w:cs="Times New Roman"/>
        </w:rPr>
        <w:t xml:space="preserve">.  To request materials in accessible formats for people with disabilities (braille, large print, electronic files, audio format), send an e-mail to </w:t>
      </w:r>
      <w:hyperlink r:id="rId5" w:history="1">
        <w:r w:rsidRPr="00B60C6C">
          <w:rPr>
            <w:rStyle w:val="Hyperlink"/>
            <w:rFonts w:ascii="Times New Roman" w:hAnsi="Times New Roman" w:cs="Times New Roman"/>
          </w:rPr>
          <w:t>fcc504@fcc.gov</w:t>
        </w:r>
      </w:hyperlink>
      <w:r w:rsidRPr="00B60C6C">
        <w:rPr>
          <w:rFonts w:ascii="Times New Roman" w:hAnsi="Times New Roman" w:cs="Times New Roman"/>
        </w:rPr>
        <w:t xml:space="preserve"> or call the FCC’s Consumer and Governmental Affairs Bureau at (202) 418-0530 (voice).</w:t>
      </w:r>
    </w:p>
    <w:p w:rsidR="00A2226F" w:rsidRPr="00B60C6C" w14:paraId="59D9A510" w14:textId="77777777">
      <w:pPr>
        <w:spacing w:after="120"/>
        <w:ind w:firstLine="720"/>
        <w:rPr>
          <w:rFonts w:ascii="Times New Roman" w:hAnsi="Times New Roman" w:cs="Times New Roman"/>
          <w:highlight w:val="yellow"/>
        </w:rPr>
      </w:pPr>
      <w:r w:rsidRPr="00B60C6C">
        <w:rPr>
          <w:rFonts w:ascii="Times New Roman" w:hAnsi="Times New Roman" w:cs="Times New Roman"/>
          <w:i/>
          <w:iCs/>
        </w:rPr>
        <w:t>Availability of Documents</w:t>
      </w:r>
      <w:r w:rsidRPr="00B60C6C">
        <w:rPr>
          <w:rFonts w:ascii="Times New Roman" w:hAnsi="Times New Roman" w:cs="Times New Roman"/>
        </w:rPr>
        <w:t xml:space="preserve">.  Comments, reply comments, and </w:t>
      </w:r>
      <w:r w:rsidRPr="00B60C6C">
        <w:rPr>
          <w:rFonts w:ascii="Times New Roman" w:hAnsi="Times New Roman" w:cs="Times New Roman"/>
          <w:i/>
          <w:iCs/>
        </w:rPr>
        <w:t xml:space="preserve">ex </w:t>
      </w:r>
      <w:r w:rsidRPr="00B60C6C">
        <w:rPr>
          <w:rFonts w:ascii="Times New Roman" w:hAnsi="Times New Roman" w:cs="Times New Roman"/>
          <w:i/>
          <w:iCs/>
        </w:rPr>
        <w:t>parte</w:t>
      </w:r>
      <w:r w:rsidRPr="00B60C6C">
        <w:rPr>
          <w:rFonts w:ascii="Times New Roman" w:hAnsi="Times New Roman" w:cs="Times New Roman"/>
        </w:rPr>
        <w:t xml:space="preserve"> submissions will be available via ECFS.  Documents will be available electronically in ASCII, Microsoft Word, and/or Adobe Acrobat.</w:t>
      </w:r>
    </w:p>
    <w:p w:rsidR="00A2226F" w:rsidRPr="00B60C6C" w14:paraId="0D9E43D6" w14:textId="77777777">
      <w:pPr>
        <w:spacing w:after="120"/>
        <w:ind w:firstLine="720"/>
        <w:rPr>
          <w:rFonts w:ascii="Times New Roman" w:hAnsi="Times New Roman" w:cs="Times New Roman"/>
        </w:rPr>
      </w:pPr>
      <w:r w:rsidRPr="00B60C6C">
        <w:rPr>
          <w:rFonts w:ascii="Times New Roman" w:hAnsi="Times New Roman" w:cs="Times New Roman"/>
          <w:i/>
          <w:iCs/>
        </w:rPr>
        <w:t>Additional Information</w:t>
      </w:r>
      <w:r w:rsidRPr="00B60C6C">
        <w:rPr>
          <w:rFonts w:ascii="Times New Roman" w:hAnsi="Times New Roman" w:cs="Times New Roman"/>
        </w:rPr>
        <w:t xml:space="preserve">.  For additional information, contact Kathy Berthot, </w:t>
      </w:r>
      <w:hyperlink r:id="rId6" w:history="1">
        <w:r w:rsidRPr="00B60C6C">
          <w:rPr>
            <w:rStyle w:val="Hyperlink"/>
            <w:rFonts w:ascii="Times New Roman" w:hAnsi="Times New Roman" w:cs="Times New Roman"/>
          </w:rPr>
          <w:t>Kathy.Berthot@fcc.gov</w:t>
        </w:r>
      </w:hyperlink>
      <w:r w:rsidRPr="00B60C6C">
        <w:rPr>
          <w:rFonts w:ascii="Times New Roman" w:hAnsi="Times New Roman" w:cs="Times New Roman"/>
        </w:rPr>
        <w:t>, of the Media Bureau, Policy Division, (202) 418-7454.</w:t>
      </w:r>
    </w:p>
    <w:p w:rsidR="00A2226F" w:rsidRPr="00B60C6C" w14:paraId="0B9D273C" w14:textId="77777777">
      <w:pPr>
        <w:spacing w:after="120"/>
        <w:jc w:val="center"/>
        <w:rPr>
          <w:rFonts w:ascii="Times New Roman" w:hAnsi="Times New Roman" w:cs="Times New Roman"/>
        </w:rPr>
      </w:pPr>
      <w:r w:rsidRPr="00B60C6C">
        <w:rPr>
          <w:rFonts w:ascii="Times New Roman" w:hAnsi="Times New Roman" w:cs="Times New Roman"/>
        </w:rPr>
        <w:t>-FCC-</w:t>
      </w:r>
    </w:p>
    <w:p w:rsidR="00A2226F" w:rsidRPr="00B60C6C" w14:paraId="26F6EF02" w14:textId="77777777">
      <w:pPr>
        <w:rPr>
          <w:rFonts w:ascii="Times New Roman" w:hAnsi="Times New Roman" w:cs="Times New Roman"/>
          <w:bCs/>
        </w:rPr>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26F" w14:paraId="2429E3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226F" w14:paraId="75FBBD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26F" w14:paraId="59FB4FFB"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26F" w14:paraId="5F0DCE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FF8" w14:paraId="124714A3" w14:textId="77777777">
      <w:r>
        <w:separator/>
      </w:r>
    </w:p>
  </w:footnote>
  <w:footnote w:type="continuationSeparator" w:id="1">
    <w:p w:rsidR="00A67FF8" w14:paraId="39C8AE0B" w14:textId="77777777">
      <w:pPr>
        <w:rPr>
          <w:sz w:val="20"/>
        </w:rPr>
      </w:pPr>
      <w:r>
        <w:rPr>
          <w:sz w:val="20"/>
        </w:rPr>
        <w:t xml:space="preserve">(Continued from previous page)  </w:t>
      </w:r>
      <w:r>
        <w:rPr>
          <w:sz w:val="20"/>
        </w:rPr>
        <w:separator/>
      </w:r>
    </w:p>
  </w:footnote>
  <w:footnote w:type="continuationNotice" w:id="2">
    <w:p w:rsidR="00A67FF8" w14:paraId="6DA277CF" w14:textId="77777777">
      <w:pPr>
        <w:jc w:val="right"/>
        <w:rPr>
          <w:sz w:val="20"/>
        </w:rPr>
      </w:pPr>
      <w:r>
        <w:rPr>
          <w:sz w:val="20"/>
        </w:rPr>
        <w:t>(continued….)</w:t>
      </w:r>
    </w:p>
  </w:footnote>
  <w:footnote w:id="3">
    <w:p w:rsidR="00A2226F" w14:paraId="790F97F0" w14:textId="1E285D9A">
      <w:pPr>
        <w:pStyle w:val="FootnoteText"/>
      </w:pPr>
      <w:r>
        <w:rPr>
          <w:rStyle w:val="FootnoteReference"/>
        </w:rPr>
        <w:footnoteRef/>
      </w:r>
      <w:r>
        <w:t xml:space="preserve"> </w:t>
      </w:r>
      <w:r>
        <w:rPr>
          <w:i/>
          <w:spacing w:val="-2"/>
        </w:rPr>
        <w:t>Children’s Television Programming Rules; Modernization of Media Regulation Initiative</w:t>
      </w:r>
      <w:r>
        <w:t xml:space="preserve">, MB Docket Nos. 18-202 and 17-105, Report and Order, 34 FCC </w:t>
      </w:r>
      <w:r>
        <w:t>Rcd</w:t>
      </w:r>
      <w:r>
        <w:t xml:space="preserve"> 5822 (2019) (</w:t>
      </w:r>
      <w:r>
        <w:rPr>
          <w:i/>
        </w:rPr>
        <w:t>Report and Order</w:t>
      </w:r>
      <w:r>
        <w:t>)</w:t>
      </w:r>
      <w:r w:rsidR="005C44DD">
        <w:t xml:space="preserve">.  </w:t>
      </w:r>
      <w:r w:rsidRPr="000918A0" w:rsidR="005C44DD">
        <w:t xml:space="preserve">The revised children’s programming rules at issue </w:t>
      </w:r>
      <w:r w:rsidRPr="000918A0" w:rsidR="005C44DD">
        <w:rPr>
          <w:szCs w:val="22"/>
        </w:rPr>
        <w:t>took</w:t>
      </w:r>
      <w:r w:rsidRPr="000918A0" w:rsidR="005C44DD">
        <w:t xml:space="preserve"> effect on September 16, 2019.  </w:t>
      </w:r>
      <w:r w:rsidRPr="000918A0" w:rsidR="005C44DD">
        <w:rPr>
          <w:i/>
          <w:iCs/>
        </w:rPr>
        <w:t>Media Bureau Announces Effective Da</w:t>
      </w:r>
      <w:r w:rsidRPr="006E6948" w:rsidR="005C44DD">
        <w:rPr>
          <w:i/>
          <w:iCs/>
        </w:rPr>
        <w:t xml:space="preserve">te and Provides Guidance for </w:t>
      </w:r>
      <w:r w:rsidRPr="006E6948" w:rsidR="005C44DD">
        <w:rPr>
          <w:i/>
          <w:iCs/>
        </w:rPr>
        <w:t>KidVid</w:t>
      </w:r>
      <w:r w:rsidRPr="006E6948" w:rsidR="005C44DD">
        <w:rPr>
          <w:i/>
          <w:iCs/>
        </w:rPr>
        <w:t xml:space="preserve"> Reporting and Compliance with Revised Safe Harbor Processing Guidelines</w:t>
      </w:r>
      <w:r w:rsidRPr="006E6948" w:rsidR="005C44DD">
        <w:t xml:space="preserve">, MB Docket Nos. 18-202 and 17-105, Public Notice, 34 FCC </w:t>
      </w:r>
      <w:r w:rsidRPr="006E6948" w:rsidR="005C44DD">
        <w:t>Rcd</w:t>
      </w:r>
      <w:r w:rsidRPr="006E6948" w:rsidR="005C44DD">
        <w:t xml:space="preserve"> 7878 (MB 2019). </w:t>
      </w:r>
      <w:r w:rsidR="005C44DD">
        <w:rPr>
          <w:snapToGrid w:val="0"/>
        </w:rPr>
        <w:t> </w:t>
      </w:r>
    </w:p>
  </w:footnote>
  <w:footnote w:id="4">
    <w:p w:rsidR="00A2226F" w14:paraId="6644C6EC" w14:textId="7FF204B5">
      <w:pPr>
        <w:pStyle w:val="FootnoteText"/>
      </w:pPr>
      <w:r>
        <w:rPr>
          <w:rStyle w:val="FootnoteReference"/>
        </w:rPr>
        <w:footnoteRef/>
      </w:r>
      <w:r w:rsidR="00836677">
        <w:t xml:space="preserve"> </w:t>
      </w:r>
      <w:r w:rsidR="00836677">
        <w:rPr>
          <w:i/>
          <w:iCs/>
        </w:rPr>
        <w:t>Report and Order</w:t>
      </w:r>
      <w:r w:rsidR="00836677">
        <w:t xml:space="preserve">, 34 FCC </w:t>
      </w:r>
      <w:r w:rsidR="00836677">
        <w:t>Rcd</w:t>
      </w:r>
      <w:r w:rsidR="00836677">
        <w:t xml:space="preserve"> </w:t>
      </w:r>
      <w:r>
        <w:t xml:space="preserve">at 5847-48, paras. 41-42; 47 CFR § 73.671(d) (stating that a television broadcast licensee may count toward its annual children’s programming obligation up to 52 hours of Core Programming that is not regularly scheduled on a weekly basis, such as educational specials, regularly scheduled non-weekly programming, and short-form programming).  Short-form </w:t>
      </w:r>
      <w:r>
        <w:rPr>
          <w:szCs w:val="22"/>
        </w:rPr>
        <w:t>programs are programs less than 30 minutes in length, including public service announcements and interstitials (</w:t>
      </w:r>
      <w:r>
        <w:t>i.e., programming of brief duration that is used as a bridge between two longer programs)</w:t>
      </w:r>
      <w:r>
        <w:rPr>
          <w:szCs w:val="22"/>
        </w:rPr>
        <w:t xml:space="preserve"> that are specifically designed to serve the educational and informational needs of children.  </w:t>
      </w:r>
      <w:r>
        <w:rPr>
          <w:i/>
        </w:rPr>
        <w:t>Report and Order</w:t>
      </w:r>
      <w:r>
        <w:rPr>
          <w:szCs w:val="22"/>
        </w:rPr>
        <w:t xml:space="preserve">, </w:t>
      </w:r>
      <w:r>
        <w:t xml:space="preserve">34 FCC </w:t>
      </w:r>
      <w:r>
        <w:t>Rcd</w:t>
      </w:r>
      <w:r>
        <w:t xml:space="preserve"> at 5838-39, para. 25.    </w:t>
      </w:r>
    </w:p>
  </w:footnote>
  <w:footnote w:id="5">
    <w:p w:rsidR="00A2226F" w14:paraId="77904BEF" w14:textId="77777777">
      <w:pPr>
        <w:pStyle w:val="FootnoteText"/>
      </w:pPr>
      <w:r>
        <w:rPr>
          <w:rStyle w:val="FootnoteReference"/>
        </w:rPr>
        <w:footnoteRef/>
      </w:r>
      <w:r>
        <w:t xml:space="preserve"> </w:t>
      </w:r>
      <w:r>
        <w:rPr>
          <w:i/>
        </w:rPr>
        <w:t>Report and Order</w:t>
      </w:r>
      <w:r>
        <w:rPr>
          <w:szCs w:val="22"/>
        </w:rPr>
        <w:t xml:space="preserve">, </w:t>
      </w:r>
      <w:r>
        <w:t xml:space="preserve">34 FCC </w:t>
      </w:r>
      <w:r>
        <w:t>Rcd</w:t>
      </w:r>
      <w:r>
        <w:t xml:space="preserve"> at 5849, para. 44; 47 CFR § 73.671(d). </w:t>
      </w:r>
    </w:p>
  </w:footnote>
  <w:footnote w:id="6">
    <w:p w:rsidR="00D42EAB" w14:paraId="3D5A156F" w14:textId="40327731">
      <w:pPr>
        <w:pStyle w:val="FootnoteText"/>
      </w:pPr>
      <w:r>
        <w:rPr>
          <w:rStyle w:val="FootnoteReference"/>
        </w:rPr>
        <w:footnoteRef/>
      </w:r>
      <w:r>
        <w:t xml:space="preserve"> </w:t>
      </w:r>
      <w:r>
        <w:rPr>
          <w:i/>
        </w:rPr>
        <w:t>Report and Order</w:t>
      </w:r>
      <w:r>
        <w:rPr>
          <w:szCs w:val="22"/>
        </w:rPr>
        <w:t xml:space="preserve">, </w:t>
      </w:r>
      <w:r>
        <w:t xml:space="preserve">34 FCC </w:t>
      </w:r>
      <w:r>
        <w:t>Rcd</w:t>
      </w:r>
      <w:r>
        <w:t xml:space="preserve"> at 5843 nn.135-36, 5851-52 nn.187-88.</w:t>
      </w:r>
    </w:p>
  </w:footnote>
  <w:footnote w:id="7">
    <w:p w:rsidR="00D42EAB" w:rsidP="00D42EAB" w14:paraId="5C972A54" w14:textId="35754E4C">
      <w:pPr>
        <w:pStyle w:val="FootnoteText"/>
      </w:pPr>
      <w:r>
        <w:rPr>
          <w:rStyle w:val="FootnoteReference"/>
        </w:rPr>
        <w:footnoteRef/>
      </w:r>
      <w:r>
        <w:t xml:space="preserve"> 47 CFR § 79.1(d).  Short-form programming may qualify for an exemption from the closed captioning requirements if it is 10 minutes or less in duration and is interstitial material, a promotional announcement (which may conflict with the commercial limits permitted for children’s programming), or a public service announcement.  47 CFR § 79.1(d)(6).  Short-form programming may also qualify for an exemption if it is locally produced by the broadcast station, has no repeat value (i.e., is aired only once), is of local public interest, is not news programming, and is not able to be captioned using the “electronic </w:t>
      </w:r>
      <w:r>
        <w:t>news room</w:t>
      </w:r>
      <w:r>
        <w:t xml:space="preserve">” technique.  47 CFR § 79.1(d)(8).  In addition, </w:t>
      </w:r>
      <w:r>
        <w:rPr>
          <w:szCs w:val="22"/>
        </w:rPr>
        <w:t xml:space="preserve">the closed captioning rules provide an exemption for program streams with gross revenues of less than $3,000,000, and some commenters in this proceeding suggested that there are few multicast streams that have reached the $3,000,000 gross revenues threshold.  </w:t>
      </w:r>
      <w:r>
        <w:t xml:space="preserve">47 CFR § 79.1(d)(12); </w:t>
      </w:r>
      <w:r>
        <w:rPr>
          <w:i/>
        </w:rPr>
        <w:t>Report and Order</w:t>
      </w:r>
      <w:r>
        <w:rPr>
          <w:szCs w:val="22"/>
        </w:rPr>
        <w:t xml:space="preserve">, </w:t>
      </w:r>
      <w:r>
        <w:t xml:space="preserve">34 FCC </w:t>
      </w:r>
      <w:r>
        <w:t>Rcd</w:t>
      </w:r>
      <w:r>
        <w:t xml:space="preserve"> at 5851 n.187.  </w:t>
      </w:r>
    </w:p>
  </w:footnote>
  <w:footnote w:id="8">
    <w:p w:rsidR="00D8102A" w:rsidP="00D8102A" w14:paraId="59FA5BB6" w14:textId="70498EBA">
      <w:pPr>
        <w:pStyle w:val="FootnoteText"/>
      </w:pPr>
      <w:r>
        <w:rPr>
          <w:rStyle w:val="FootnoteReference"/>
        </w:rPr>
        <w:footnoteRef/>
      </w:r>
      <w:r>
        <w:t xml:space="preserve"> </w:t>
      </w:r>
      <w:r>
        <w:rPr>
          <w:i/>
        </w:rPr>
        <w:t>Report and Order</w:t>
      </w:r>
      <w:r>
        <w:rPr>
          <w:szCs w:val="22"/>
        </w:rPr>
        <w:t xml:space="preserve">, </w:t>
      </w:r>
      <w:r>
        <w:t xml:space="preserve">34 FCC </w:t>
      </w:r>
      <w:r>
        <w:t>Rcd</w:t>
      </w:r>
      <w:r>
        <w:t xml:space="preserve"> at 5842-43, para. 34, 5851 n.187.</w:t>
      </w:r>
      <w:r>
        <w:rPr>
          <w:szCs w:val="22"/>
        </w:rPr>
        <w:t xml:space="preserve">  </w:t>
      </w:r>
      <w:r>
        <w:t xml:space="preserve">Under the audio description rules, commercial television broadcast stations affiliated with one of the top four commercial television broadcast networks (ABC, CBS, Fox, and NBC) and licensed to a community located in one of the top 60 DMAs are required to </w:t>
      </w:r>
      <w:r>
        <w:rPr>
          <w:shd w:val="clear" w:color="auto" w:fill="FFFFFF"/>
        </w:rPr>
        <w:t xml:space="preserve">provide 50 hours of audio description per calendar quarter, either during prime time or on children’s programming, and 37.5 additional hours of audio description per calendar quarter between 6 a.m. and 11:59 p.m. local time, on each programming stream on which they carry one of the top four commercial television broadcast networks.  </w:t>
      </w:r>
      <w:r>
        <w:t xml:space="preserve">47 CFR </w:t>
      </w:r>
      <w:r w:rsidR="00090DDE">
        <w:br/>
      </w:r>
      <w:r>
        <w:t>§ 79.3(b)(1).  For purposes of the audio description rules, the term “children’s programming” refers to any programming that has a target audience of persons 16 years of age and younger, and it is not limited to children’s educational and informational programming.</w:t>
      </w:r>
      <w:r>
        <w:rPr>
          <w:rFonts w:ascii="CIDFont+F3" w:hAnsi="CIDFont+F3" w:cs="CIDFont+F3"/>
          <w:szCs w:val="22"/>
        </w:rPr>
        <w:t xml:space="preserve">  </w:t>
      </w:r>
      <w:r>
        <w:t xml:space="preserve">47 CFR § 79.3(a)(8).  </w:t>
      </w:r>
      <w:r w:rsidRPr="00A53D48">
        <w:rPr>
          <w:snapToGrid w:val="0"/>
        </w:rPr>
        <w:t xml:space="preserve">The Commission recently modernized the terminology in part 79 of the Commission’s rules to use the more common and widely understood term “audio description” rather than “video description.”  </w:t>
      </w:r>
      <w:r w:rsidRPr="00A53D48">
        <w:rPr>
          <w:i/>
          <w:iCs/>
          <w:snapToGrid w:val="0"/>
        </w:rPr>
        <w:t>Video Description:  Implementation of the Twenty-First Century Communications and Video Accessibility Act of 2010</w:t>
      </w:r>
      <w:r w:rsidRPr="00A53D48">
        <w:rPr>
          <w:snapToGrid w:val="0"/>
        </w:rPr>
        <w:t xml:space="preserve">, </w:t>
      </w:r>
      <w:r>
        <w:rPr>
          <w:snapToGrid w:val="0"/>
        </w:rPr>
        <w:t xml:space="preserve">MB Docket No. 11- 43, </w:t>
      </w:r>
      <w:r w:rsidRPr="00A53D48">
        <w:rPr>
          <w:snapToGrid w:val="0"/>
        </w:rPr>
        <w:t xml:space="preserve">Report and Order, 35 FCC </w:t>
      </w:r>
      <w:r w:rsidRPr="00A53D48">
        <w:rPr>
          <w:snapToGrid w:val="0"/>
        </w:rPr>
        <w:t>Rcd</w:t>
      </w:r>
      <w:r w:rsidRPr="00A53D48">
        <w:rPr>
          <w:snapToGrid w:val="0"/>
        </w:rPr>
        <w:t xml:space="preserve"> 12577</w:t>
      </w:r>
      <w:r>
        <w:rPr>
          <w:snapToGrid w:val="0"/>
        </w:rPr>
        <w:t>, 12584, para. 14</w:t>
      </w:r>
      <w:r w:rsidRPr="00A53D48">
        <w:rPr>
          <w:snapToGrid w:val="0"/>
        </w:rPr>
        <w:t xml:space="preserve"> (</w:t>
      </w:r>
      <w:r>
        <w:rPr>
          <w:snapToGrid w:val="0"/>
        </w:rPr>
        <w:t>202</w:t>
      </w:r>
      <w:r w:rsidRPr="00A53D48">
        <w:rPr>
          <w:snapToGrid w:val="0"/>
        </w:rPr>
        <w:t>0)</w:t>
      </w:r>
      <w:r>
        <w:t xml:space="preserve">.  </w:t>
      </w:r>
    </w:p>
  </w:footnote>
  <w:footnote w:id="9">
    <w:p w:rsidR="00A2226F" w:rsidP="000918A0" w14:paraId="1E3F914A" w14:textId="18E48540">
      <w:pPr>
        <w:pStyle w:val="FootnoteText"/>
      </w:pPr>
      <w:r>
        <w:rPr>
          <w:rStyle w:val="FootnoteReference"/>
        </w:rPr>
        <w:footnoteRef/>
      </w:r>
      <w:r w:rsidR="008B25F0">
        <w:t xml:space="preserve"> </w:t>
      </w:r>
      <w:r w:rsidR="008B25F0">
        <w:rPr>
          <w:i/>
        </w:rPr>
        <w:t>Report and Order</w:t>
      </w:r>
      <w:r w:rsidR="008B25F0">
        <w:rPr>
          <w:szCs w:val="22"/>
        </w:rPr>
        <w:t xml:space="preserve">, </w:t>
      </w:r>
      <w:r w:rsidR="008B25F0">
        <w:t xml:space="preserve">34 FCC </w:t>
      </w:r>
      <w:r w:rsidR="008B25F0">
        <w:t>Rcd</w:t>
      </w:r>
      <w:r w:rsidR="008B25F0">
        <w:t xml:space="preserve"> at 5852 n.188.  In response to the concerns raised by commenters, the Commission noted</w:t>
      </w:r>
      <w:r w:rsidR="008B25F0">
        <w:rPr>
          <w:szCs w:val="22"/>
        </w:rPr>
        <w:t xml:space="preserve"> that each broadcast station is required to air at least two-thirds of its Core Programming on its primary stream.  The Commission further noted that all educational programming on PBS KIDS and </w:t>
      </w:r>
      <w:r w:rsidR="008B25F0">
        <w:rPr>
          <w:szCs w:val="22"/>
        </w:rPr>
        <w:t>Qubo</w:t>
      </w:r>
      <w:r w:rsidR="008B25F0">
        <w:rPr>
          <w:szCs w:val="22"/>
        </w:rPr>
        <w:t xml:space="preserve"> multicast streams is closed</w:t>
      </w:r>
      <w:r w:rsidR="00EA755C">
        <w:rPr>
          <w:szCs w:val="22"/>
        </w:rPr>
        <w:t xml:space="preserve"> </w:t>
      </w:r>
      <w:r w:rsidR="008B25F0">
        <w:rPr>
          <w:szCs w:val="22"/>
        </w:rPr>
        <w:t>captioned</w:t>
      </w:r>
      <w:r w:rsidR="008B25F0">
        <w:rPr>
          <w:szCs w:val="22"/>
        </w:rPr>
        <w:t xml:space="preserve"> and that PBS voluntarily provides audio description for approximately 80% of its currently available catalog of children’s programming on PBS KIDS.  </w:t>
      </w:r>
      <w:r w:rsidR="008B25F0">
        <w:rPr>
          <w:i/>
          <w:iCs/>
          <w:szCs w:val="22"/>
        </w:rPr>
        <w:t>Id</w:t>
      </w:r>
      <w:r w:rsidR="008B25F0">
        <w:rPr>
          <w:szCs w:val="22"/>
        </w:rPr>
        <w:t>.</w:t>
      </w:r>
      <w:r w:rsidRPr="000918A0">
        <w:t xml:space="preserve">  </w:t>
      </w:r>
    </w:p>
  </w:footnote>
  <w:footnote w:id="10">
    <w:p w:rsidR="00A2226F" w14:paraId="07B58C7E" w14:textId="1ED317F2">
      <w:pPr>
        <w:pStyle w:val="FootnoteText"/>
      </w:pPr>
      <w:r>
        <w:rPr>
          <w:rStyle w:val="FootnoteReference"/>
        </w:rPr>
        <w:footnoteRef/>
      </w:r>
      <w:r>
        <w:t xml:space="preserve"> </w:t>
      </w:r>
      <w:r w:rsidR="00231F80">
        <w:t>R</w:t>
      </w:r>
      <w:r w:rsidR="008377F7">
        <w:t xml:space="preserve">ob Owen, </w:t>
      </w:r>
      <w:r w:rsidR="008377F7">
        <w:rPr>
          <w:i/>
          <w:iCs/>
        </w:rPr>
        <w:t>What Happened to WINP-TV</w:t>
      </w:r>
      <w:r w:rsidR="00231F80">
        <w:rPr>
          <w:i/>
          <w:iCs/>
        </w:rPr>
        <w:t>’s ION Plus Channel?</w:t>
      </w:r>
      <w:r w:rsidR="00231F80">
        <w:t>, Tribune-Review (PA) (Mar</w:t>
      </w:r>
      <w:r w:rsidR="00090DDE">
        <w:t>.</w:t>
      </w:r>
      <w:r w:rsidR="00231F80">
        <w:t xml:space="preserve"> 10, 2021) (indicating that Scripps ceased operation of children’s network </w:t>
      </w:r>
      <w:r w:rsidR="00231F80">
        <w:t>Qubo</w:t>
      </w:r>
      <w:r w:rsidR="00231F80">
        <w:t xml:space="preserve"> effective February 28, 2021),</w:t>
      </w:r>
      <w:r w:rsidRPr="00231F80" w:rsidR="00231F80">
        <w:t xml:space="preserve"> </w:t>
      </w:r>
      <w:hyperlink r:id="rId1" w:history="1">
        <w:r w:rsidRPr="00976B12" w:rsidR="00231F80">
          <w:rPr>
            <w:rStyle w:val="Hyperlink"/>
          </w:rPr>
          <w:t>https://triblive.com/aande/movies-tv/tv-qa-what-happened-to-winp-tvs-ion-plus-channel/</w:t>
        </w:r>
      </w:hyperlink>
      <w:r w:rsidR="00231F80">
        <w:t>;</w:t>
      </w:r>
      <w:r w:rsidR="00231F80">
        <w:rPr>
          <w:i/>
          <w:iCs/>
        </w:rPr>
        <w:t xml:space="preserve"> </w:t>
      </w:r>
      <w:r>
        <w:t xml:space="preserve">Carolyn </w:t>
      </w:r>
      <w:r>
        <w:t>Micheli</w:t>
      </w:r>
      <w:r>
        <w:t xml:space="preserve">, Press Release, </w:t>
      </w:r>
      <w:r>
        <w:rPr>
          <w:i/>
          <w:iCs/>
        </w:rPr>
        <w:t>Scripps Takes First Steps to Realize ION Synergies With Multicast Networks Moves</w:t>
      </w:r>
      <w:r>
        <w:t xml:space="preserve"> (Jan. 14, 2021) (stating that following its acquisition of broadcast network ION Media, E.W. Scripps will cease operation of </w:t>
      </w:r>
      <w:r>
        <w:t>Qubo</w:t>
      </w:r>
      <w:r>
        <w:t xml:space="preserve">, effective February 28, 2021), </w:t>
      </w:r>
      <w:hyperlink r:id="rId2" w:history="1">
        <w:r>
          <w:rPr>
            <w:rStyle w:val="Hyperlink"/>
          </w:rPr>
          <w:t>https://scripps.com/press-releases/scripps-takes-first-steps-to-realize-ion-synergies-with-multicast-networks-move/</w:t>
        </w:r>
      </w:hyperlink>
      <w:r>
        <w:t xml:space="preserve">.  In 2019, ION Media aired 111 hours per week of educational and informational programming for children on </w:t>
      </w:r>
      <w:r>
        <w:t>Qubo</w:t>
      </w:r>
      <w:r>
        <w:t xml:space="preserve">, representing 66% of its schedule, and </w:t>
      </w:r>
      <w:r>
        <w:t>Qubo</w:t>
      </w:r>
      <w:r>
        <w:t xml:space="preserve"> received approximately 67% national coverage.  </w:t>
      </w:r>
      <w:r>
        <w:rPr>
          <w:i/>
        </w:rPr>
        <w:t>Report and Order</w:t>
      </w:r>
      <w:r>
        <w:rPr>
          <w:szCs w:val="22"/>
        </w:rPr>
        <w:t xml:space="preserve">, </w:t>
      </w:r>
      <w:r>
        <w:t xml:space="preserve">34 FCC </w:t>
      </w:r>
      <w:r>
        <w:t>Rcd</w:t>
      </w:r>
      <w:r>
        <w:t xml:space="preserve"> at 5831, para. 12.</w:t>
      </w:r>
    </w:p>
  </w:footnote>
  <w:footnote w:id="11">
    <w:p w:rsidR="00A2226F" w14:paraId="5ADB719F" w14:textId="77777777">
      <w:pPr>
        <w:pStyle w:val="FootnoteText"/>
      </w:pPr>
      <w:r>
        <w:rPr>
          <w:rStyle w:val="FootnoteReference"/>
          <w:szCs w:val="22"/>
        </w:rPr>
        <w:footnoteRef/>
      </w:r>
      <w:r>
        <w:rPr>
          <w:lang w:val="da-DK"/>
        </w:rPr>
        <w:t xml:space="preserve"> 47 CFR § 1.1200 </w:t>
      </w:r>
      <w:r>
        <w:rPr>
          <w:i/>
          <w:iCs/>
          <w:lang w:val="da-DK"/>
        </w:rPr>
        <w:t>et seq</w:t>
      </w:r>
      <w:r>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4EA" w14:paraId="79DCD5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26F" w:rsidRPr="000B39A1" w14:paraId="67BF0B9D" w14:textId="5CB05F46">
    <w:pPr>
      <w:tabs>
        <w:tab w:val="center" w:pos="4680"/>
        <w:tab w:val="right" w:pos="9360"/>
      </w:tabs>
      <w:rPr>
        <w:rFonts w:ascii="Times New Roman" w:hAnsi="Times New Roman" w:cs="Times New Roman"/>
      </w:rPr>
    </w:pPr>
    <w:r>
      <w:rPr>
        <w:b/>
      </w:rPr>
      <w:tab/>
    </w:r>
    <w:r w:rsidRPr="000B39A1">
      <w:rPr>
        <w:rFonts w:ascii="Times New Roman" w:hAnsi="Times New Roman" w:cs="Times New Roman"/>
        <w:b/>
      </w:rPr>
      <w:t>Federal Communications Commission</w:t>
    </w:r>
    <w:r w:rsidRPr="000B39A1">
      <w:rPr>
        <w:rFonts w:ascii="Times New Roman" w:hAnsi="Times New Roman" w:cs="Times New Roman"/>
        <w:b/>
      </w:rPr>
      <w:tab/>
      <w:t xml:space="preserve">DA </w:t>
    </w:r>
    <w:r w:rsidRPr="000B39A1">
      <w:rPr>
        <w:rFonts w:ascii="Times New Roman" w:hAnsi="Times New Roman" w:cs="Times New Roman"/>
        <w:b/>
      </w:rPr>
      <w:t>21-</w:t>
    </w:r>
    <w:r w:rsidR="00A964EA">
      <w:rPr>
        <w:rFonts w:ascii="Times New Roman" w:hAnsi="Times New Roman" w:cs="Times New Roman"/>
        <w:b/>
      </w:rPr>
      <w:t>1115</w:t>
    </w:r>
  </w:p>
  <w:p w:rsidR="00A2226F" w14:paraId="272D74A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A2226F" w14:paraId="15E0223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26F" w14:paraId="1A24203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226F" w14:textId="77777777">
                          <w:pPr>
                            <w:rPr>
                              <w:rFonts w:ascii="Arial" w:hAnsi="Arial"/>
                              <w:b/>
                            </w:rPr>
                          </w:pPr>
                          <w:r>
                            <w:rPr>
                              <w:rFonts w:ascii="Arial" w:hAnsi="Arial"/>
                              <w:b/>
                            </w:rPr>
                            <w:t>Federal Communications Commission</w:t>
                          </w:r>
                        </w:p>
                        <w:p w:rsidR="00A2226F" w14:textId="77777777">
                          <w:pPr>
                            <w:rPr>
                              <w:rFonts w:ascii="Arial" w:hAnsi="Arial"/>
                              <w:b/>
                            </w:rPr>
                          </w:pPr>
                          <w:r>
                            <w:rPr>
                              <w:rFonts w:ascii="Arial" w:hAnsi="Arial"/>
                              <w:b/>
                            </w:rPr>
                            <w:t>45 L Street NE</w:t>
                          </w:r>
                        </w:p>
                        <w:p w:rsidR="00A2226F"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2226F" w14:paraId="14DCC995" w14:textId="77777777">
                    <w:pPr>
                      <w:rPr>
                        <w:rFonts w:ascii="Arial" w:hAnsi="Arial"/>
                        <w:b/>
                      </w:rPr>
                    </w:pPr>
                    <w:r>
                      <w:rPr>
                        <w:rFonts w:ascii="Arial" w:hAnsi="Arial"/>
                        <w:b/>
                      </w:rPr>
                      <w:t>Federal Communications Commission</w:t>
                    </w:r>
                  </w:p>
                  <w:p w:rsidR="00A2226F" w14:paraId="752E02DC" w14:textId="77777777">
                    <w:pPr>
                      <w:rPr>
                        <w:rFonts w:ascii="Arial" w:hAnsi="Arial"/>
                        <w:b/>
                      </w:rPr>
                    </w:pPr>
                    <w:r>
                      <w:rPr>
                        <w:rFonts w:ascii="Arial" w:hAnsi="Arial"/>
                        <w:b/>
                      </w:rPr>
                      <w:t>45 L Street NE</w:t>
                    </w:r>
                  </w:p>
                  <w:p w:rsidR="00A2226F" w14:paraId="0130B8C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96"/>
        <w:szCs w:val="96"/>
      </w:rPr>
      <w:t>PUBLIC NOTICE</w:t>
    </w:r>
  </w:p>
  <w:p w:rsidR="00A2226F" w14:paraId="76F3B4F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226F" w14:textId="77777777">
                          <w:pPr>
                            <w:spacing w:before="40"/>
                            <w:jc w:val="right"/>
                            <w:rPr>
                              <w:rFonts w:ascii="Arial" w:hAnsi="Arial"/>
                              <w:b/>
                              <w:sz w:val="16"/>
                            </w:rPr>
                          </w:pPr>
                          <w:r>
                            <w:rPr>
                              <w:rFonts w:ascii="Arial" w:hAnsi="Arial"/>
                              <w:b/>
                              <w:sz w:val="16"/>
                            </w:rPr>
                            <w:t>News Media Information 202 / 418-0500</w:t>
                          </w:r>
                        </w:p>
                        <w:p w:rsidR="00A2226F"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A2226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A2226F" w14:paraId="14ECD846" w14:textId="77777777">
                    <w:pPr>
                      <w:spacing w:before="40"/>
                      <w:jc w:val="right"/>
                      <w:rPr>
                        <w:rFonts w:ascii="Arial" w:hAnsi="Arial"/>
                        <w:b/>
                        <w:sz w:val="16"/>
                      </w:rPr>
                    </w:pPr>
                    <w:r>
                      <w:rPr>
                        <w:rFonts w:ascii="Arial" w:hAnsi="Arial"/>
                        <w:b/>
                        <w:sz w:val="16"/>
                      </w:rPr>
                      <w:t>News Media Information 202 / 418-0500</w:t>
                    </w:r>
                  </w:p>
                  <w:p w:rsidR="00A2226F" w14:paraId="5D31A3BC"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A2226F" w14:paraId="546346E0"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6F"/>
    <w:rsid w:val="00057FE2"/>
    <w:rsid w:val="00090DDE"/>
    <w:rsid w:val="000918A0"/>
    <w:rsid w:val="000B39A1"/>
    <w:rsid w:val="001200DE"/>
    <w:rsid w:val="001778C3"/>
    <w:rsid w:val="00191F57"/>
    <w:rsid w:val="001B6028"/>
    <w:rsid w:val="002063FE"/>
    <w:rsid w:val="00231F80"/>
    <w:rsid w:val="002B1280"/>
    <w:rsid w:val="002E5C08"/>
    <w:rsid w:val="002F0998"/>
    <w:rsid w:val="0035033C"/>
    <w:rsid w:val="00351923"/>
    <w:rsid w:val="00382F7E"/>
    <w:rsid w:val="003C1CA9"/>
    <w:rsid w:val="00425587"/>
    <w:rsid w:val="004A52F7"/>
    <w:rsid w:val="0051668E"/>
    <w:rsid w:val="00520CAF"/>
    <w:rsid w:val="0057391A"/>
    <w:rsid w:val="005838F3"/>
    <w:rsid w:val="005A754B"/>
    <w:rsid w:val="005C44DD"/>
    <w:rsid w:val="005E31C6"/>
    <w:rsid w:val="005E7CE2"/>
    <w:rsid w:val="005F2725"/>
    <w:rsid w:val="00620BA3"/>
    <w:rsid w:val="006B4BCF"/>
    <w:rsid w:val="006E6948"/>
    <w:rsid w:val="00720AA0"/>
    <w:rsid w:val="00740CC9"/>
    <w:rsid w:val="0075205D"/>
    <w:rsid w:val="007729F3"/>
    <w:rsid w:val="00775067"/>
    <w:rsid w:val="00777E5C"/>
    <w:rsid w:val="007A2380"/>
    <w:rsid w:val="007A2C1D"/>
    <w:rsid w:val="007E1D46"/>
    <w:rsid w:val="007E2B07"/>
    <w:rsid w:val="007F3C70"/>
    <w:rsid w:val="00836677"/>
    <w:rsid w:val="008377F7"/>
    <w:rsid w:val="00860817"/>
    <w:rsid w:val="00895E09"/>
    <w:rsid w:val="008B25F0"/>
    <w:rsid w:val="008D5F68"/>
    <w:rsid w:val="008F2260"/>
    <w:rsid w:val="008F26EC"/>
    <w:rsid w:val="00935F70"/>
    <w:rsid w:val="00976B12"/>
    <w:rsid w:val="009A164E"/>
    <w:rsid w:val="009D45F2"/>
    <w:rsid w:val="009E2A16"/>
    <w:rsid w:val="00A2226F"/>
    <w:rsid w:val="00A53D48"/>
    <w:rsid w:val="00A67FF8"/>
    <w:rsid w:val="00A964EA"/>
    <w:rsid w:val="00AD42E0"/>
    <w:rsid w:val="00B04AAA"/>
    <w:rsid w:val="00B60C6C"/>
    <w:rsid w:val="00BD6EC9"/>
    <w:rsid w:val="00C269A7"/>
    <w:rsid w:val="00C433A7"/>
    <w:rsid w:val="00CE6616"/>
    <w:rsid w:val="00D34CA9"/>
    <w:rsid w:val="00D42EAB"/>
    <w:rsid w:val="00D571CD"/>
    <w:rsid w:val="00D8102A"/>
    <w:rsid w:val="00DB37D9"/>
    <w:rsid w:val="00DD30DC"/>
    <w:rsid w:val="00DD483C"/>
    <w:rsid w:val="00E00F0D"/>
    <w:rsid w:val="00E172BC"/>
    <w:rsid w:val="00E91C79"/>
    <w:rsid w:val="00EA755C"/>
    <w:rsid w:val="00EF7C49"/>
    <w:rsid w:val="00F234F1"/>
    <w:rsid w:val="00F96873"/>
    <w:rsid w:val="00FA15DE"/>
    <w:rsid w:val="00FB11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828B1D"/>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918A0"/>
    <w:rPr>
      <w:rFonts w:ascii="Calibri" w:hAnsi="Calibri" w:eastAsiaTheme="minorHAnsi" w:cs="Calibri"/>
      <w:sz w:val="22"/>
      <w:szCs w:val="22"/>
    </w:rPr>
  </w:style>
  <w:style w:type="paragraph" w:styleId="Heading1">
    <w:name w:val="heading 1"/>
    <w:basedOn w:val="Normal"/>
    <w:next w:val="ParaNum"/>
    <w:qFormat/>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ind w:hanging="990"/>
    </w:pPr>
    <w:rPr>
      <w:rFonts w:ascii="Arial" w:eastAsia="Times New Roman"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pPr>
      <w:widowControl w:val="0"/>
      <w:jc w:val="center"/>
    </w:pPr>
    <w:rPr>
      <w:rFonts w:ascii="Times New Roman Bold" w:eastAsia="Times New Roman" w:hAnsi="Times New Roman Bold" w:cs="Times New Roman"/>
      <w:b/>
      <w:bCs/>
      <w:caps/>
      <w:snapToGrid w:val="0"/>
      <w:kern w:val="28"/>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tyle>
  <w:style w:type="paragraph" w:styleId="ListParagraph">
    <w:name w:val="List Paragraph"/>
    <w:basedOn w:val="Normal"/>
    <w:uiPriority w:val="34"/>
    <w:qFormat/>
    <w:pPr>
      <w:widowControl w:val="0"/>
      <w:ind w:left="720"/>
      <w:contextualSpacing/>
    </w:pPr>
    <w:rPr>
      <w:rFonts w:ascii="Times New Roman" w:eastAsia="Times New Roman" w:hAnsi="Times New Roman" w:cs="Times New Roman"/>
      <w:snapToGrid w:val="0"/>
      <w:kern w:val="28"/>
      <w:szCs w:val="20"/>
    </w:rPr>
  </w:style>
  <w:style w:type="character" w:customStyle="1" w:styleId="UnresolvedMention1">
    <w:name w:val="Unresolved Mention1"/>
    <w:basedOn w:val="DefaultParagraphFont"/>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1200DE"/>
    <w:rPr>
      <w:color w:val="954F72" w:themeColor="followedHyperlink"/>
      <w:u w:val="single"/>
    </w:rPr>
  </w:style>
  <w:style w:type="paragraph" w:styleId="Revision">
    <w:name w:val="Revision"/>
    <w:hidden/>
    <w:uiPriority w:val="99"/>
    <w:semiHidden/>
    <w:rsid w:val="00425587"/>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Kathy.Berthot@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triblive.com/aande/movies-tv/tv-qa-what-happened-to-winp-tvs-ion-plus-channel/" TargetMode="External" /><Relationship Id="rId2" Type="http://schemas.openxmlformats.org/officeDocument/2006/relationships/hyperlink" Target="https://scripps.com/press-releases/scripps-takes-first-steps-to-realize-ion-synergies-with-multicast-networks-move/"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