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721A90DB">
            <w:pPr>
              <w:rPr>
                <w:szCs w:val="22"/>
              </w:rPr>
            </w:pPr>
            <w:r>
              <w:rPr>
                <w:szCs w:val="22"/>
              </w:rPr>
              <w:t>City Communication</w:t>
            </w:r>
            <w:r w:rsidR="00442324">
              <w:rPr>
                <w:szCs w:val="22"/>
              </w:rPr>
              <w:t>s</w:t>
            </w:r>
            <w:r>
              <w:rPr>
                <w:szCs w:val="22"/>
              </w:rPr>
              <w:t>,</w:t>
            </w:r>
            <w:r w:rsidR="0044528B">
              <w:rPr>
                <w:szCs w:val="22"/>
              </w:rPr>
              <w:t xml:space="preserve"> Inc.</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27500ADB">
            <w:pPr>
              <w:pStyle w:val="TOAHeading"/>
              <w:rPr>
                <w:szCs w:val="22"/>
              </w:rPr>
            </w:pPr>
            <w:r>
              <w:rPr>
                <w:szCs w:val="22"/>
              </w:rPr>
              <w:t>Complaint No</w:t>
            </w:r>
            <w:r w:rsidRPr="00EF2C5A">
              <w:rPr>
                <w:szCs w:val="22"/>
              </w:rPr>
              <w:t>.</w:t>
            </w:r>
            <w:r w:rsidR="006F2F56">
              <w:rPr>
                <w:szCs w:val="22"/>
              </w:rPr>
              <w:t xml:space="preserve"> </w:t>
            </w:r>
            <w:r w:rsidR="003D262D">
              <w:rPr>
                <w:szCs w:val="22"/>
              </w:rPr>
              <w:t>4975753</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354C6CFB">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September</w:t>
      </w:r>
      <w:r w:rsidRPr="00142D97">
        <w:rPr>
          <w:b/>
          <w:spacing w:val="-2"/>
        </w:rPr>
        <w:t xml:space="preserve"> </w:t>
      </w:r>
      <w:r w:rsidR="003605AE">
        <w:rPr>
          <w:b/>
          <w:spacing w:val="-2"/>
        </w:rPr>
        <w:t>8</w:t>
      </w:r>
      <w:r w:rsidRPr="00142D97">
        <w:rPr>
          <w:b/>
          <w:spacing w:val="-2"/>
        </w:rPr>
        <w:t>, 20</w:t>
      </w:r>
      <w:r w:rsidR="006D6CC3">
        <w:rPr>
          <w:b/>
          <w:spacing w:val="-2"/>
        </w:rPr>
        <w:t>2</w:t>
      </w:r>
      <w:r w:rsidR="003D262D">
        <w:rPr>
          <w:b/>
          <w:spacing w:val="-2"/>
        </w:rPr>
        <w:t>1</w:t>
      </w:r>
      <w:r w:rsidRPr="00142D97">
        <w:rPr>
          <w:b/>
          <w:spacing w:val="-2"/>
        </w:rPr>
        <w:tab/>
        <w:t xml:space="preserve">Released: </w:t>
      </w:r>
      <w:r w:rsidR="00442324">
        <w:rPr>
          <w:b/>
          <w:spacing w:val="-2"/>
        </w:rPr>
        <w:t xml:space="preserve"> September</w:t>
      </w:r>
      <w:r w:rsidR="003D262D">
        <w:rPr>
          <w:b/>
          <w:spacing w:val="-2"/>
        </w:rPr>
        <w:t xml:space="preserve"> </w:t>
      </w:r>
      <w:r w:rsidR="003605AE">
        <w:rPr>
          <w:b/>
          <w:spacing w:val="-2"/>
        </w:rPr>
        <w:t>9</w:t>
      </w:r>
      <w:r w:rsidRPr="00142D97">
        <w:rPr>
          <w:b/>
          <w:spacing w:val="-2"/>
        </w:rPr>
        <w:t>, 20</w:t>
      </w:r>
      <w:r w:rsidR="006D6CC3">
        <w:rPr>
          <w:b/>
          <w:spacing w:val="-2"/>
        </w:rPr>
        <w:t>2</w:t>
      </w:r>
      <w:r w:rsidR="003D262D">
        <w:rPr>
          <w:b/>
          <w:spacing w:val="-2"/>
        </w:rPr>
        <w:t>1</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1D23DB12">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City Communication</w:t>
      </w:r>
      <w:r w:rsidR="00442324">
        <w:t>s</w:t>
      </w:r>
      <w:r w:rsidR="0044528B">
        <w:t>, Inc.</w:t>
      </w:r>
      <w:r w:rsidR="006D6CC3">
        <w:t xml:space="preserve"> </w:t>
      </w:r>
      <w:r>
        <w:t>(</w:t>
      </w:r>
      <w:r w:rsidR="003D262D">
        <w:t>City</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3D262D">
        <w:t>City</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757E61DC">
      <w:pPr>
        <w:pStyle w:val="ListParagraph"/>
        <w:widowControl/>
        <w:numPr>
          <w:ilvl w:val="0"/>
          <w:numId w:val="7"/>
        </w:numPr>
        <w:tabs>
          <w:tab w:val="clear" w:pos="1440"/>
        </w:tabs>
        <w:snapToGrid w:val="0"/>
        <w:spacing w:after="120"/>
        <w:ind w:left="0" w:firstLine="720"/>
        <w:contextualSpacing w:val="0"/>
        <w:rPr>
          <w:szCs w:val="22"/>
        </w:rPr>
      </w:pPr>
      <w:r w:rsidRPr="00B82B45">
        <w:rPr>
          <w:szCs w:val="22"/>
        </w:rPr>
        <w:t>In 2018, the Commission codified a rule to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Under the revised rule, upon a finding of material </w:t>
      </w:r>
      <w:r w:rsidRPr="00B82B45">
        <w:rPr>
          <w:szCs w:val="22"/>
        </w:rPr>
        <w:t>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5F3ED0" w:rsidRPr="005F3ED0" w:rsidP="00440166" w14:paraId="5292A789" w14:textId="74B17591">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Pr>
          <w:szCs w:val="22"/>
        </w:rPr>
        <w:t>In the complaint, Complainant also alleges that City’s telemarketer “claimed to be an affiliate with AT&amp;T and was working with AT&amp;T to lower [her] home phone service.”</w:t>
      </w:r>
      <w:r>
        <w:rPr>
          <w:rStyle w:val="FootnoteReference"/>
          <w:szCs w:val="22"/>
        </w:rPr>
        <w:footnoteReference w:id="12"/>
      </w:r>
      <w:r>
        <w:rPr>
          <w:szCs w:val="22"/>
        </w:rPr>
        <w:t xml:space="preserve">  Complainant’s phone service was subsequently disconnected and when she contacted AT&amp;T to have the service reconnected, AT&amp;T “informed me they had no affiliation with [City].”</w:t>
      </w:r>
      <w:r>
        <w:rPr>
          <w:rStyle w:val="FootnoteReference"/>
          <w:szCs w:val="22"/>
        </w:rPr>
        <w:footnoteReference w:id="13"/>
      </w:r>
    </w:p>
    <w:p w:rsidR="00E87EC4" w:rsidP="00A23350" w14:paraId="7E5B2A35" w14:textId="7AEE6518">
      <w:pPr>
        <w:numPr>
          <w:ilvl w:val="0"/>
          <w:numId w:val="7"/>
        </w:numPr>
        <w:tabs>
          <w:tab w:val="clear" w:pos="1440"/>
        </w:tabs>
        <w:spacing w:after="120"/>
        <w:ind w:left="0" w:firstLine="720"/>
      </w:pPr>
      <w:r w:rsidRPr="00142D97">
        <w:t xml:space="preserve">Pursuant to our rules, we notified </w:t>
      </w:r>
      <w:r w:rsidR="003D262D">
        <w:t>City</w:t>
      </w:r>
      <w:r>
        <w:t xml:space="preserve"> of the complaint</w:t>
      </w:r>
      <w:r w:rsidRPr="00142D97">
        <w:t>.</w:t>
      </w:r>
      <w:r>
        <w:rPr>
          <w:rStyle w:val="FootnoteReference"/>
        </w:rPr>
        <w:footnoteReference w:id="14"/>
      </w:r>
      <w:r w:rsidRPr="00142D97">
        <w:t xml:space="preserve">  </w:t>
      </w:r>
      <w:r w:rsidR="003D262D">
        <w:t>City</w:t>
      </w:r>
      <w:r w:rsidR="0044528B">
        <w:t xml:space="preserve"> responded</w:t>
      </w:r>
      <w:r w:rsidR="00CB7D2F">
        <w:t xml:space="preserve"> to the complaint</w:t>
      </w:r>
      <w:r w:rsidR="0044528B">
        <w:t>, s</w:t>
      </w:r>
      <w:r w:rsidR="00996AA4">
        <w:t>tating</w:t>
      </w:r>
      <w:r w:rsidR="0044528B">
        <w:t xml:space="preserve"> th</w:t>
      </w:r>
      <w:r w:rsidR="00996AA4">
        <w:t xml:space="preserve">at Complainant provided authorization for the carrier switch </w:t>
      </w:r>
      <w:r w:rsidR="0044528B">
        <w:t xml:space="preserve">through a </w:t>
      </w:r>
      <w:r w:rsidR="00440166">
        <w:t>TPV</w:t>
      </w:r>
      <w:r w:rsidR="0044528B">
        <w:t xml:space="preserve"> recording</w:t>
      </w:r>
      <w:r>
        <w:t>.</w:t>
      </w:r>
      <w:r>
        <w:rPr>
          <w:rStyle w:val="FootnoteReference"/>
        </w:rPr>
        <w:footnoteReference w:id="15"/>
      </w:r>
      <w:r w:rsidR="0044528B">
        <w:t xml:space="preserve">  </w:t>
      </w:r>
      <w:r w:rsidR="00B82B45">
        <w:rPr>
          <w:szCs w:val="24"/>
        </w:rPr>
        <w:t>City</w:t>
      </w:r>
      <w:r w:rsidRPr="00177A0A" w:rsidR="00B82B45">
        <w:rPr>
          <w:szCs w:val="24"/>
        </w:rPr>
        <w:t xml:space="preserve"> </w:t>
      </w:r>
      <w:r w:rsidR="00440166">
        <w:rPr>
          <w:szCs w:val="24"/>
        </w:rPr>
        <w:t xml:space="preserve">provided the TPV recording, but </w:t>
      </w:r>
      <w:r w:rsidRPr="00177A0A" w:rsidR="00B82B45">
        <w:rPr>
          <w:szCs w:val="24"/>
        </w:rPr>
        <w:t>did not</w:t>
      </w:r>
      <w:r w:rsidR="00440166">
        <w:rPr>
          <w:szCs w:val="24"/>
        </w:rPr>
        <w:t xml:space="preserve"> </w:t>
      </w:r>
      <w:r w:rsidRPr="00177A0A" w:rsidR="00B82B45">
        <w:rPr>
          <w:szCs w:val="24"/>
        </w:rPr>
        <w:t xml:space="preserve">provide </w:t>
      </w:r>
      <w:r w:rsidR="00B82B45">
        <w:rPr>
          <w:szCs w:val="24"/>
        </w:rPr>
        <w:t>the</w:t>
      </w:r>
      <w:r w:rsidRPr="00177A0A" w:rsidR="00B82B45">
        <w:rPr>
          <w:szCs w:val="24"/>
        </w:rPr>
        <w:t xml:space="preserve"> sales call recording or</w:t>
      </w:r>
      <w:r w:rsidR="00B82B45">
        <w:rPr>
          <w:szCs w:val="24"/>
        </w:rPr>
        <w:t xml:space="preserve"> any </w:t>
      </w:r>
      <w:r w:rsidRPr="00177A0A" w:rsidR="00B82B45">
        <w:rPr>
          <w:szCs w:val="24"/>
        </w:rPr>
        <w:t xml:space="preserve">other evidence related to the sales call, such as the script used by the telemarketer who spoke to Complainant, to rebut Complainant’s claim of misrepresentation.  </w:t>
      </w:r>
      <w:r w:rsidRPr="00CB7D2F" w:rsidR="006D7D9E">
        <w:rPr>
          <w:szCs w:val="24"/>
        </w:rPr>
        <w:t>The Division thoroughly reviewed all the evidence in the record provided by both the Complainant and C</w:t>
      </w:r>
      <w:r w:rsidR="00CB7D2F">
        <w:rPr>
          <w:szCs w:val="24"/>
        </w:rPr>
        <w:t>ity</w:t>
      </w:r>
      <w:r w:rsidRPr="00CB7D2F" w:rsidR="006D7D9E">
        <w:rPr>
          <w:szCs w:val="24"/>
        </w:rPr>
        <w:t xml:space="preserve">. </w:t>
      </w:r>
      <w:r w:rsidRPr="00CB7D2F" w:rsidR="006D7D9E">
        <w:rPr>
          <w:szCs w:val="22"/>
        </w:rPr>
        <w:t xml:space="preserve"> 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find that C</w:t>
      </w:r>
      <w:r w:rsidR="0059509C">
        <w:rPr>
          <w:szCs w:val="22"/>
        </w:rPr>
        <w:t>ity</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0059509C">
        <w:rPr>
          <w:szCs w:val="22"/>
        </w:rPr>
        <w:t xml:space="preserve">  </w:t>
      </w:r>
      <w:r w:rsidRPr="00CB7D2F" w:rsidR="006D7D9E">
        <w:rPr>
          <w:szCs w:val="22"/>
        </w:rPr>
        <w:t xml:space="preserve">As the Commission stated in the </w:t>
      </w:r>
      <w:r w:rsidRPr="00CB7D2F" w:rsidR="006D7D9E">
        <w:rPr>
          <w:i/>
          <w:szCs w:val="22"/>
        </w:rPr>
        <w:t>2018 Slamming Order</w:t>
      </w:r>
      <w:r w:rsidRPr="00CB7D2F" w:rsidR="006D7D9E">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6"/>
      </w:r>
      <w:r w:rsidRPr="00CB7D2F" w:rsidR="006D7D9E">
        <w:rPr>
          <w:szCs w:val="22"/>
        </w:rPr>
        <w:t xml:space="preserve">  We therefore find that C</w:t>
      </w:r>
      <w:r w:rsidR="00CB7D2F">
        <w:rPr>
          <w:szCs w:val="22"/>
        </w:rPr>
        <w:t>ity</w:t>
      </w:r>
      <w:r w:rsidRPr="00CB7D2F" w:rsidR="006D7D9E">
        <w:rPr>
          <w:szCs w:val="22"/>
        </w:rPr>
        <w:t>’s actions resulted in an unauthorized change in Complainant’s telecommunications service provider, as defined by the rules, and we discuss C</w:t>
      </w:r>
      <w:r w:rsidR="00CB7D2F">
        <w:rPr>
          <w:szCs w:val="22"/>
        </w:rPr>
        <w:t>ity</w:t>
      </w:r>
      <w:r w:rsidRPr="00CB7D2F" w:rsidR="006D7D9E">
        <w:rPr>
          <w:szCs w:val="22"/>
        </w:rPr>
        <w:t>’s liability below.</w:t>
      </w:r>
      <w:r>
        <w:rPr>
          <w:rStyle w:val="FootnoteReference"/>
          <w:szCs w:val="22"/>
        </w:rPr>
        <w:footnoteReference w:id="17"/>
      </w:r>
      <w:r w:rsidRPr="00A23350" w:rsidR="00FD5F16">
        <w:rPr>
          <w:szCs w:val="24"/>
        </w:rPr>
        <w:t xml:space="preserve">      </w:t>
      </w:r>
    </w:p>
    <w:p w:rsidR="00E87EC4" w:rsidP="004A1870" w14:paraId="0A6F2D17" w14:textId="3BA73649">
      <w:pPr>
        <w:widowControl/>
        <w:numPr>
          <w:ilvl w:val="0"/>
          <w:numId w:val="7"/>
        </w:numPr>
        <w:tabs>
          <w:tab w:val="clear" w:pos="1440"/>
        </w:tabs>
        <w:spacing w:after="120"/>
        <w:ind w:left="0" w:firstLine="720"/>
      </w:pPr>
      <w:r>
        <w:t>City</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8"/>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City</w:t>
      </w:r>
      <w:r>
        <w:t xml:space="preserve"> may pursue any collection against Complainant for those charges.</w:t>
      </w:r>
      <w:r>
        <w:rPr>
          <w:rStyle w:val="FootnoteReference"/>
        </w:rPr>
        <w:footnoteReference w:id="19"/>
      </w:r>
      <w:r>
        <w:t xml:space="preserve">  Any charges imposed by </w:t>
      </w:r>
      <w:r>
        <w:t>City</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0"/>
      </w:r>
    </w:p>
    <w:p w:rsidR="00E87EC4" w:rsidP="008A32BF" w14:paraId="66218C51" w14:textId="29581428">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3D262D">
        <w:t>City</w:t>
      </w:r>
      <w:r w:rsidR="00FD5F16">
        <w:t xml:space="preserve"> Communication</w:t>
      </w:r>
      <w:r w:rsidR="00F2035B">
        <w:t>s</w:t>
      </w:r>
      <w:r w:rsidR="000A1D19">
        <w:t>, Inc.</w:t>
      </w:r>
      <w:r w:rsidRPr="006D6CC3">
        <w:t xml:space="preserve"> </w:t>
      </w:r>
      <w:r w:rsidR="004B41C6">
        <w:t>IS</w:t>
      </w:r>
      <w:r>
        <w:t xml:space="preserve"> GRANTED</w:t>
      </w:r>
      <w:r w:rsidRPr="00142D97">
        <w:t>.</w:t>
      </w:r>
    </w:p>
    <w:p w:rsidR="004B41C6" w:rsidRPr="00FD5F16" w:rsidP="00FD5F16" w14:paraId="7FDD1154" w14:textId="3309FF73">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3D262D">
        <w:rPr>
          <w:szCs w:val="22"/>
        </w:rPr>
        <w:t>City</w:t>
      </w:r>
      <w:r w:rsidR="0044528B">
        <w:rPr>
          <w:szCs w:val="22"/>
        </w:rPr>
        <w:t xml:space="preserve"> </w:t>
      </w:r>
      <w:r w:rsidR="00FD5F16">
        <w:rPr>
          <w:szCs w:val="22"/>
        </w:rPr>
        <w:t>Communication</w:t>
      </w:r>
      <w:r w:rsidR="00F2035B">
        <w:rPr>
          <w:szCs w:val="22"/>
        </w:rPr>
        <w:t>s</w:t>
      </w:r>
      <w:r w:rsidR="000A1D19">
        <w:rPr>
          <w:szCs w:val="22"/>
        </w:rPr>
        <w:t>, Inc.</w:t>
      </w:r>
      <w:r w:rsidR="00B841CA">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3A1659FB">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3D262D">
        <w:t>4975753</w:t>
      </w:r>
      <w:r>
        <w:t xml:space="preserve"> (filed </w:t>
      </w:r>
      <w:r w:rsidR="003D262D">
        <w:t>Aug. 20</w:t>
      </w:r>
      <w:r>
        <w:t>, 202</w:t>
      </w:r>
      <w:r w:rsidR="003D262D">
        <w:t>1</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0B90580A">
      <w:pPr>
        <w:pStyle w:val="FootnoteText"/>
      </w:pPr>
      <w:r>
        <w:rPr>
          <w:rStyle w:val="FootnoteReference"/>
        </w:rPr>
        <w:footnoteRef/>
      </w:r>
      <w:r>
        <w:t xml:space="preserve"> </w:t>
      </w:r>
      <w:r w:rsidRPr="000C7E88">
        <w:rPr>
          <w:i/>
          <w:iCs/>
        </w:rPr>
        <w:t>See</w:t>
      </w:r>
      <w:r>
        <w:t xml:space="preserve"> Informal Complaint No. </w:t>
      </w:r>
      <w:r w:rsidR="00FD5F16">
        <w:t>4975753</w:t>
      </w:r>
      <w:r>
        <w:t>.</w:t>
      </w:r>
    </w:p>
  </w:footnote>
  <w:footnote w:id="12">
    <w:p w:rsidR="002C43CB" w14:paraId="56F82300" w14:textId="2317929C">
      <w:pPr>
        <w:pStyle w:val="FootnoteText"/>
      </w:pPr>
      <w:r>
        <w:rPr>
          <w:rStyle w:val="FootnoteReference"/>
        </w:rPr>
        <w:footnoteRef/>
      </w:r>
      <w:r>
        <w:t xml:space="preserve"> </w:t>
      </w:r>
      <w:r w:rsidRPr="002C43CB">
        <w:rPr>
          <w:i/>
          <w:iCs/>
        </w:rPr>
        <w:t>Id.</w:t>
      </w:r>
    </w:p>
  </w:footnote>
  <w:footnote w:id="13">
    <w:p w:rsidR="005F3ED0" w:rsidP="005F3ED0" w14:paraId="6562E0E2" w14:textId="77777777">
      <w:pPr>
        <w:pStyle w:val="FootnoteText"/>
      </w:pPr>
      <w:r>
        <w:rPr>
          <w:rStyle w:val="FootnoteReference"/>
        </w:rPr>
        <w:footnoteRef/>
      </w:r>
      <w:r>
        <w:t xml:space="preserve"> </w:t>
      </w:r>
      <w:r w:rsidRPr="00EE67D0">
        <w:rPr>
          <w:i/>
          <w:iCs/>
        </w:rPr>
        <w:t>Id</w:t>
      </w:r>
      <w:r>
        <w:t>.</w:t>
      </w:r>
    </w:p>
  </w:footnote>
  <w:footnote w:id="14">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5">
    <w:p w:rsidR="00996AA4" w14:paraId="4022C8EC" w14:textId="27A231E1">
      <w:pPr>
        <w:pStyle w:val="FootnoteText"/>
      </w:pPr>
      <w:r>
        <w:rPr>
          <w:rStyle w:val="FootnoteReference"/>
        </w:rPr>
        <w:footnoteRef/>
      </w:r>
      <w:r>
        <w:t xml:space="preserve"> </w:t>
      </w:r>
      <w:r w:rsidRPr="00996AA4">
        <w:rPr>
          <w:i/>
          <w:iCs/>
        </w:rPr>
        <w:t>See</w:t>
      </w:r>
      <w:r>
        <w:t xml:space="preserve"> </w:t>
      </w:r>
      <w:r w:rsidR="003D262D">
        <w:t>City</w:t>
      </w:r>
      <w:r>
        <w:t xml:space="preserve"> Response to Informal Complaint No. </w:t>
      </w:r>
      <w:r w:rsidR="003D262D">
        <w:t>4975753</w:t>
      </w:r>
      <w:r>
        <w:t xml:space="preserve"> (filed </w:t>
      </w:r>
      <w:r w:rsidR="003D262D">
        <w:t>Sept. 1</w:t>
      </w:r>
      <w:r>
        <w:t>, 202</w:t>
      </w:r>
      <w:r w:rsidR="003D262D">
        <w:t>1</w:t>
      </w:r>
      <w:r>
        <w:t>).</w:t>
      </w:r>
    </w:p>
  </w:footnote>
  <w:footnote w:id="16">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7">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8">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9">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0">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63BD4917">
    <w:pPr>
      <w:pStyle w:val="Header"/>
      <w:rPr>
        <w:b w:val="0"/>
      </w:rPr>
    </w:pPr>
    <w:r>
      <w:tab/>
      <w:t>Federal Communications Commission</w:t>
    </w:r>
    <w:r>
      <w:tab/>
    </w:r>
    <w:r w:rsidR="00AE241C">
      <w:t xml:space="preserve">DA </w:t>
    </w:r>
    <w:r w:rsidR="003D262D">
      <w:t>21-</w:t>
    </w:r>
    <w:r w:rsidR="003605AE">
      <w:t>1124</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55C3BFF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3D262D">
      <w:rPr>
        <w:spacing w:val="-2"/>
      </w:rPr>
      <w:t>1-</w:t>
    </w:r>
    <w:r w:rsidR="003605AE">
      <w:rPr>
        <w:spacing w:val="-2"/>
      </w:rPr>
      <w:t>1124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6039"/>
    <w:rsid w:val="00037F90"/>
    <w:rsid w:val="000409FA"/>
    <w:rsid w:val="00056F0B"/>
    <w:rsid w:val="000875BF"/>
    <w:rsid w:val="00096D8C"/>
    <w:rsid w:val="000A1D19"/>
    <w:rsid w:val="000C0B65"/>
    <w:rsid w:val="000C7E88"/>
    <w:rsid w:val="000E05FE"/>
    <w:rsid w:val="000E3D42"/>
    <w:rsid w:val="00122BD5"/>
    <w:rsid w:val="00133F79"/>
    <w:rsid w:val="00142D97"/>
    <w:rsid w:val="00177A0A"/>
    <w:rsid w:val="00194A66"/>
    <w:rsid w:val="001C1F54"/>
    <w:rsid w:val="001D6BCF"/>
    <w:rsid w:val="001E01CA"/>
    <w:rsid w:val="001F3959"/>
    <w:rsid w:val="00210356"/>
    <w:rsid w:val="00275CF5"/>
    <w:rsid w:val="0028301F"/>
    <w:rsid w:val="0028304E"/>
    <w:rsid w:val="00285017"/>
    <w:rsid w:val="002A2D2E"/>
    <w:rsid w:val="002C00E8"/>
    <w:rsid w:val="002C43CB"/>
    <w:rsid w:val="002F09DF"/>
    <w:rsid w:val="00305DCB"/>
    <w:rsid w:val="00343749"/>
    <w:rsid w:val="003605AE"/>
    <w:rsid w:val="003660ED"/>
    <w:rsid w:val="0037166F"/>
    <w:rsid w:val="00384F89"/>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84334"/>
    <w:rsid w:val="004A1870"/>
    <w:rsid w:val="004A7371"/>
    <w:rsid w:val="004B41C6"/>
    <w:rsid w:val="004C2EE3"/>
    <w:rsid w:val="004E4A22"/>
    <w:rsid w:val="00511968"/>
    <w:rsid w:val="0055614C"/>
    <w:rsid w:val="00566D06"/>
    <w:rsid w:val="0059509C"/>
    <w:rsid w:val="005E14C2"/>
    <w:rsid w:val="005F3ED0"/>
    <w:rsid w:val="005F7CD1"/>
    <w:rsid w:val="00607BA5"/>
    <w:rsid w:val="0061180A"/>
    <w:rsid w:val="00626EB6"/>
    <w:rsid w:val="00655D03"/>
    <w:rsid w:val="00683388"/>
    <w:rsid w:val="00683F84"/>
    <w:rsid w:val="006A6A81"/>
    <w:rsid w:val="006D6CC3"/>
    <w:rsid w:val="006D7D9E"/>
    <w:rsid w:val="006F2F56"/>
    <w:rsid w:val="006F7393"/>
    <w:rsid w:val="0070224F"/>
    <w:rsid w:val="007115F7"/>
    <w:rsid w:val="00766B85"/>
    <w:rsid w:val="00785689"/>
    <w:rsid w:val="0079754B"/>
    <w:rsid w:val="007A1E6D"/>
    <w:rsid w:val="007B0EB2"/>
    <w:rsid w:val="00810B6F"/>
    <w:rsid w:val="00822CE0"/>
    <w:rsid w:val="00841AB1"/>
    <w:rsid w:val="00856985"/>
    <w:rsid w:val="008A32BF"/>
    <w:rsid w:val="008B5281"/>
    <w:rsid w:val="008C68F1"/>
    <w:rsid w:val="00910DFB"/>
    <w:rsid w:val="00921803"/>
    <w:rsid w:val="00923668"/>
    <w:rsid w:val="00926503"/>
    <w:rsid w:val="00955FC0"/>
    <w:rsid w:val="009726D8"/>
    <w:rsid w:val="00996AA4"/>
    <w:rsid w:val="009D7308"/>
    <w:rsid w:val="009F0064"/>
    <w:rsid w:val="009F6F0E"/>
    <w:rsid w:val="009F76DB"/>
    <w:rsid w:val="00A15D6E"/>
    <w:rsid w:val="00A23350"/>
    <w:rsid w:val="00A32C3B"/>
    <w:rsid w:val="00A45F4F"/>
    <w:rsid w:val="00A600A9"/>
    <w:rsid w:val="00A92978"/>
    <w:rsid w:val="00AA55B7"/>
    <w:rsid w:val="00AA5B9E"/>
    <w:rsid w:val="00AB2407"/>
    <w:rsid w:val="00AB53DF"/>
    <w:rsid w:val="00AE241C"/>
    <w:rsid w:val="00B06C6D"/>
    <w:rsid w:val="00B07E5C"/>
    <w:rsid w:val="00B205BD"/>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B7D2F"/>
    <w:rsid w:val="00CC72B6"/>
    <w:rsid w:val="00CE1F45"/>
    <w:rsid w:val="00CE5BF4"/>
    <w:rsid w:val="00CF10D8"/>
    <w:rsid w:val="00D0218D"/>
    <w:rsid w:val="00D22481"/>
    <w:rsid w:val="00D25FB5"/>
    <w:rsid w:val="00D26C2C"/>
    <w:rsid w:val="00D44223"/>
    <w:rsid w:val="00D60674"/>
    <w:rsid w:val="00DA2529"/>
    <w:rsid w:val="00DB130A"/>
    <w:rsid w:val="00DB2EBB"/>
    <w:rsid w:val="00DC10A1"/>
    <w:rsid w:val="00DC655F"/>
    <w:rsid w:val="00DD0B59"/>
    <w:rsid w:val="00DD7EBD"/>
    <w:rsid w:val="00DF62B6"/>
    <w:rsid w:val="00E07225"/>
    <w:rsid w:val="00E5409F"/>
    <w:rsid w:val="00E87EC4"/>
    <w:rsid w:val="00ED0DB7"/>
    <w:rsid w:val="00EE6488"/>
    <w:rsid w:val="00EE67D0"/>
    <w:rsid w:val="00EF2C5A"/>
    <w:rsid w:val="00F021FA"/>
    <w:rsid w:val="00F2035B"/>
    <w:rsid w:val="00F62E97"/>
    <w:rsid w:val="00F64209"/>
    <w:rsid w:val="00F86B2C"/>
    <w:rsid w:val="00F93BF5"/>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