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94871" w:rsidRPr="00483995" w:rsidP="00B94871" w14:paraId="6ADCAA8B" w14:textId="70872D58">
      <w:pPr>
        <w:jc w:val="right"/>
        <w:rPr>
          <w:b/>
        </w:rPr>
      </w:pPr>
      <w:bookmarkStart w:id="0" w:name="_Hlk61015702"/>
      <w:r w:rsidRPr="00483995">
        <w:rPr>
          <w:b/>
        </w:rPr>
        <w:t xml:space="preserve">DA </w:t>
      </w:r>
      <w:r w:rsidRPr="00483995" w:rsidR="00C77F50">
        <w:rPr>
          <w:b/>
        </w:rPr>
        <w:t>21</w:t>
      </w:r>
      <w:r w:rsidRPr="00483995" w:rsidR="00DA622C">
        <w:rPr>
          <w:b/>
        </w:rPr>
        <w:t>-</w:t>
      </w:r>
      <w:r w:rsidR="00EF492C">
        <w:rPr>
          <w:b/>
        </w:rPr>
        <w:t>1130</w:t>
      </w:r>
    </w:p>
    <w:p w:rsidR="00B94871" w:rsidRPr="00483995" w:rsidP="00B94871" w14:paraId="2E8791E8" w14:textId="40D122ED">
      <w:pPr>
        <w:spacing w:before="60"/>
        <w:jc w:val="right"/>
        <w:rPr>
          <w:b/>
        </w:rPr>
      </w:pPr>
      <w:r w:rsidRPr="00483995">
        <w:rPr>
          <w:b/>
        </w:rPr>
        <w:t xml:space="preserve">Released: </w:t>
      </w:r>
      <w:r w:rsidRPr="00483995" w:rsidR="003E23CC">
        <w:rPr>
          <w:b/>
        </w:rPr>
        <w:t xml:space="preserve">September </w:t>
      </w:r>
      <w:r w:rsidR="00A15AFD">
        <w:rPr>
          <w:b/>
        </w:rPr>
        <w:t>10</w:t>
      </w:r>
      <w:r w:rsidRPr="00483995">
        <w:rPr>
          <w:b/>
        </w:rPr>
        <w:t>, 2021</w:t>
      </w:r>
    </w:p>
    <w:p w:rsidR="00B94871" w:rsidP="00B94871" w14:paraId="21F52B0E" w14:textId="77777777">
      <w:pPr>
        <w:jc w:val="right"/>
      </w:pPr>
    </w:p>
    <w:p w:rsidR="00B03101" w:rsidP="00DA622C" w14:paraId="6C2CE47A" w14:textId="381B7DC3">
      <w:pPr>
        <w:jc w:val="center"/>
        <w:rPr>
          <w:b/>
          <w:bCs/>
        </w:rPr>
      </w:pPr>
      <w:r w:rsidRPr="00DA622C">
        <w:rPr>
          <w:b/>
          <w:bCs/>
        </w:rPr>
        <w:t xml:space="preserve">MEDIA BUREAU </w:t>
      </w:r>
      <w:r>
        <w:rPr>
          <w:b/>
          <w:bCs/>
        </w:rPr>
        <w:t xml:space="preserve">REMINDS BROADCASTERS OF UPCOMING </w:t>
      </w:r>
      <w:r w:rsidR="00C77F50">
        <w:rPr>
          <w:b/>
          <w:bCs/>
        </w:rPr>
        <w:t xml:space="preserve">WINDOW FOR FILING </w:t>
      </w:r>
      <w:r w:rsidRPr="00DA622C">
        <w:rPr>
          <w:b/>
          <w:bCs/>
        </w:rPr>
        <w:t>BIENNIAL OWNERSHIP REPORT</w:t>
      </w:r>
      <w:r w:rsidR="00C77F50">
        <w:rPr>
          <w:b/>
          <w:bCs/>
        </w:rPr>
        <w:t>S</w:t>
      </w:r>
      <w:r w:rsidRPr="00DA622C">
        <w:rPr>
          <w:b/>
          <w:bCs/>
        </w:rPr>
        <w:t xml:space="preserve"> </w:t>
      </w:r>
      <w:r w:rsidR="006C35B5">
        <w:rPr>
          <w:b/>
          <w:bCs/>
        </w:rPr>
        <w:t>AND ANNOUNCES INFORMATION SESSION ON OCTOBER 5, 2021</w:t>
      </w:r>
    </w:p>
    <w:p w:rsidR="00B03101" w:rsidP="00DA622C" w14:paraId="48EC5BFF" w14:textId="77777777">
      <w:pPr>
        <w:jc w:val="center"/>
        <w:rPr>
          <w:b/>
          <w:bCs/>
        </w:rPr>
      </w:pPr>
    </w:p>
    <w:p w:rsidR="00C77F50" w:rsidP="00DA622C" w14:paraId="3E32BD8C" w14:textId="734CC0C3">
      <w:pPr>
        <w:jc w:val="center"/>
        <w:rPr>
          <w:b/>
          <w:bCs/>
        </w:rPr>
      </w:pPr>
      <w:r>
        <w:rPr>
          <w:b/>
          <w:bCs/>
        </w:rPr>
        <w:t>Filing Window Opens on October 1, 2021</w:t>
      </w:r>
    </w:p>
    <w:p w:rsidR="00C77F50" w:rsidP="00DA622C" w14:paraId="4A1B0FC5" w14:textId="77777777">
      <w:pPr>
        <w:jc w:val="center"/>
        <w:rPr>
          <w:b/>
          <w:bCs/>
        </w:rPr>
      </w:pPr>
    </w:p>
    <w:p w:rsidR="00B94871" w:rsidP="003951B7" w14:paraId="53B768D2" w14:textId="77777777">
      <w:pPr>
        <w:rPr>
          <w:b/>
        </w:rPr>
      </w:pPr>
    </w:p>
    <w:p w:rsidR="00B03101" w:rsidP="00DA622C" w14:paraId="3BA9F69B" w14:textId="5E59DCF2">
      <w:pPr>
        <w:ind w:firstLine="720"/>
      </w:pPr>
      <w:r w:rsidRPr="00927E48">
        <w:t xml:space="preserve">By this </w:t>
      </w:r>
      <w:r w:rsidR="006C35B5">
        <w:t>Public N</w:t>
      </w:r>
      <w:r w:rsidRPr="00927E48">
        <w:t>otice, the Media Bureau (Bureau) reminds commercial and noncommercial broadcasters of their upcoming obligation to file 2021 biennial ownership report</w:t>
      </w:r>
      <w:r>
        <w:t>s</w:t>
      </w:r>
      <w:r w:rsidR="001A2B82">
        <w:t xml:space="preserve"> on FCC Form 323 or 323-E, </w:t>
      </w:r>
      <w:r w:rsidR="00133484">
        <w:t>respectively</w:t>
      </w:r>
      <w:r w:rsidRPr="00927E48">
        <w:t xml:space="preserve">. </w:t>
      </w:r>
      <w:r w:rsidR="003951B7">
        <w:t xml:space="preserve"> </w:t>
      </w:r>
      <w:r w:rsidRPr="00927E48">
        <w:t xml:space="preserve">The broadcast ownership report filing window will open on October 1, 2021, and all reports must be </w:t>
      </w:r>
      <w:r>
        <w:t xml:space="preserve">submitted </w:t>
      </w:r>
      <w:r w:rsidRPr="00927E48">
        <w:t>by December 1, 2021.</w:t>
      </w:r>
      <w:r>
        <w:rPr>
          <w:rStyle w:val="FootnoteReference"/>
        </w:rPr>
        <w:footnoteReference w:id="2"/>
      </w:r>
      <w:r w:rsidRPr="00927E48">
        <w:t xml:space="preserve"> </w:t>
      </w:r>
    </w:p>
    <w:p w:rsidR="003951B7" w:rsidP="00DA622C" w14:paraId="0B2C1D79" w14:textId="77777777">
      <w:pPr>
        <w:ind w:firstLine="720"/>
      </w:pPr>
    </w:p>
    <w:p w:rsidR="001A2B82" w:rsidP="001A2B82" w14:paraId="3C8DDA30" w14:textId="1889FFAB">
      <w:pPr>
        <w:ind w:firstLine="720"/>
      </w:pPr>
      <w:r w:rsidRPr="001A2B82">
        <w:t>Pursuant to the Commission’s rules, licensees of commercial and non-commercial full power television, Class A television, low power television, AM radio, and FM radio stations must file biennial ownership reports with the Commission in odd-numbered years.</w:t>
      </w:r>
      <w:r>
        <w:rPr>
          <w:vertAlign w:val="superscript"/>
        </w:rPr>
        <w:footnoteReference w:id="3"/>
      </w:r>
      <w:r w:rsidRPr="001A2B82">
        <w:t xml:space="preserve">  </w:t>
      </w:r>
      <w:r>
        <w:t>Information contained in th</w:t>
      </w:r>
      <w:r w:rsidR="00DD2112">
        <w:t>is year’s</w:t>
      </w:r>
      <w:r>
        <w:t xml:space="preserve"> b</w:t>
      </w:r>
      <w:r w:rsidRPr="001A2B82">
        <w:t xml:space="preserve">iennial ownership reports must </w:t>
      </w:r>
      <w:r>
        <w:t>be c</w:t>
      </w:r>
      <w:r w:rsidRPr="001A2B82">
        <w:t>urrent as of October 1</w:t>
      </w:r>
      <w:r>
        <w:t>, 2021</w:t>
      </w:r>
      <w:r w:rsidRPr="001A2B82">
        <w:t>.</w:t>
      </w:r>
      <w:r>
        <w:rPr>
          <w:rStyle w:val="FootnoteReference"/>
        </w:rPr>
        <w:footnoteReference w:id="4"/>
      </w:r>
      <w:r w:rsidRPr="001A2B82">
        <w:t xml:space="preserve"> </w:t>
      </w:r>
      <w:r>
        <w:t xml:space="preserve"> </w:t>
      </w:r>
      <w:r w:rsidR="00DD2112">
        <w:t>R</w:t>
      </w:r>
      <w:r w:rsidRPr="001A2B82">
        <w:t>eports must provide all information required by, and comply with all requirements set forth in, the current version of the relevant broadcast ownership report form (FCC Form 323 or 323-E).</w:t>
      </w:r>
      <w:r>
        <w:rPr>
          <w:rStyle w:val="FootnoteReference"/>
        </w:rPr>
        <w:footnoteReference w:id="5"/>
      </w:r>
      <w:r w:rsidRPr="001A2B82">
        <w:t xml:space="preserve">  </w:t>
      </w:r>
      <w:r w:rsidR="00F43EA6">
        <w:t xml:space="preserve">Further information about biennial ownership reports is available on the </w:t>
      </w:r>
      <w:r w:rsidR="00782E67">
        <w:rPr>
          <w:szCs w:val="22"/>
        </w:rPr>
        <w:t>Commission</w:t>
      </w:r>
      <w:r w:rsidRPr="00927E48" w:rsidR="00F43EA6">
        <w:rPr>
          <w:szCs w:val="22"/>
        </w:rPr>
        <w:t>’s web page at</w:t>
      </w:r>
      <w:r w:rsidR="00F43EA6">
        <w:rPr>
          <w:szCs w:val="22"/>
        </w:rPr>
        <w:t xml:space="preserve"> </w:t>
      </w:r>
      <w:hyperlink r:id="rId5" w:history="1">
        <w:r w:rsidRPr="00575BAA" w:rsidR="00F43EA6">
          <w:rPr>
            <w:rStyle w:val="Hyperlink"/>
            <w:szCs w:val="22"/>
          </w:rPr>
          <w:t>www.fcc.gov/media/ownership-report-commercial-broadcast-station-form-323</w:t>
        </w:r>
      </w:hyperlink>
      <w:r w:rsidR="00F43EA6">
        <w:rPr>
          <w:szCs w:val="22"/>
        </w:rPr>
        <w:t>.</w:t>
      </w:r>
    </w:p>
    <w:p w:rsidR="001A2B82" w:rsidP="001A2B82" w14:paraId="578450C1" w14:textId="77777777">
      <w:pPr>
        <w:ind w:firstLine="720"/>
      </w:pPr>
    </w:p>
    <w:p w:rsidR="001A2B82" w:rsidRPr="001A2B82" w:rsidP="001A2B82" w14:paraId="7D1D1B0E" w14:textId="33D40F51">
      <w:pPr>
        <w:ind w:firstLine="720"/>
      </w:pPr>
      <w:r>
        <w:t>We remind stations that r</w:t>
      </w:r>
      <w:r w:rsidRPr="001A2B82">
        <w:t xml:space="preserve">eporting </w:t>
      </w:r>
      <w:r w:rsidR="00DD2112">
        <w:t>ownership</w:t>
      </w:r>
      <w:r w:rsidRPr="001A2B82" w:rsidR="00DD2112">
        <w:t xml:space="preserve"> </w:t>
      </w:r>
      <w:r w:rsidRPr="001A2B82">
        <w:t>information has long been a fundamental obligation of broadcast licensees.</w:t>
      </w:r>
      <w:r>
        <w:rPr>
          <w:vertAlign w:val="superscript"/>
        </w:rPr>
        <w:footnoteReference w:id="6"/>
      </w:r>
      <w:r w:rsidRPr="001A2B82">
        <w:t xml:space="preserve">  The accurate and timely filing of </w:t>
      </w:r>
      <w:r w:rsidR="00DD2112">
        <w:t>such</w:t>
      </w:r>
      <w:r w:rsidRPr="001A2B82" w:rsidR="00DD2112">
        <w:t xml:space="preserve"> </w:t>
      </w:r>
      <w:r w:rsidRPr="001A2B82">
        <w:t xml:space="preserve">information is critical to ensuring that the </w:t>
      </w:r>
      <w:r w:rsidR="00DD2112">
        <w:t xml:space="preserve">Commission and the </w:t>
      </w:r>
      <w:r w:rsidRPr="001A2B82">
        <w:t xml:space="preserve">public know who owns, operates, and controls broadcast stations.  Additionally, </w:t>
      </w:r>
      <w:r w:rsidR="00471889">
        <w:t>such</w:t>
      </w:r>
      <w:r w:rsidRPr="001A2B82">
        <w:t xml:space="preserve"> ownership information is crucial to an understanding of the broadcast industry as a whole, including an understanding of the diversity and multiplicity of owners.</w:t>
      </w:r>
      <w:r w:rsidR="00A031CB">
        <w:t xml:space="preserve">  </w:t>
      </w:r>
      <w:bookmarkStart w:id="2" w:name="_Hlk81908112"/>
      <w:r w:rsidRPr="00A031CB" w:rsidR="00A031CB">
        <w:t>Given the importance of the biennial ownership reporting requirement, we encourage licensees</w:t>
      </w:r>
      <w:r w:rsidR="002A4221">
        <w:t xml:space="preserve"> to prepare accordingly and to file their reports during the designated window.</w:t>
      </w:r>
      <w:bookmarkEnd w:id="2"/>
      <w:r w:rsidR="00320A63">
        <w:t xml:space="preserve">  </w:t>
      </w:r>
      <w:r w:rsidR="00A031CB">
        <w:t>C</w:t>
      </w:r>
      <w:r w:rsidRPr="00A031CB" w:rsidR="00A031CB">
        <w:t xml:space="preserve">ommission staff may pursue </w:t>
      </w:r>
      <w:r w:rsidR="006C35B5">
        <w:t xml:space="preserve">enforcement </w:t>
      </w:r>
      <w:r w:rsidRPr="00A031CB" w:rsidR="00A031CB">
        <w:t xml:space="preserve">action against licensees that fail to file </w:t>
      </w:r>
      <w:r w:rsidR="00A031CB">
        <w:t>t</w:t>
      </w:r>
      <w:r w:rsidRPr="00A031CB" w:rsidR="00A031CB">
        <w:t>heir biennial ownership reports</w:t>
      </w:r>
      <w:r w:rsidR="00A031CB">
        <w:t xml:space="preserve"> in a </w:t>
      </w:r>
      <w:r w:rsidR="002A4221">
        <w:t xml:space="preserve">timely or </w:t>
      </w:r>
      <w:r w:rsidR="00A031CB">
        <w:t>complete manner.</w:t>
      </w:r>
      <w:r>
        <w:rPr>
          <w:rStyle w:val="FootnoteReference"/>
        </w:rPr>
        <w:footnoteReference w:id="7"/>
      </w:r>
      <w:r w:rsidR="006C35B5">
        <w:t xml:space="preserve"> </w:t>
      </w:r>
    </w:p>
    <w:p w:rsidR="001A2B82" w:rsidP="00DA622C" w14:paraId="0EB77BDE" w14:textId="2CDBA10A">
      <w:pPr>
        <w:ind w:firstLine="720"/>
      </w:pPr>
    </w:p>
    <w:p w:rsidR="00DA622C" w:rsidRPr="00927E48" w:rsidP="00DA622C" w14:paraId="3E3D2C09" w14:textId="54AEDA6B">
      <w:pPr>
        <w:ind w:firstLine="720"/>
        <w:rPr>
          <w:szCs w:val="22"/>
        </w:rPr>
      </w:pPr>
      <w:r>
        <w:t>T</w:t>
      </w:r>
      <w:r w:rsidR="00863FEE">
        <w:t>o assist filers</w:t>
      </w:r>
      <w:r w:rsidR="001A2B82">
        <w:t xml:space="preserve"> with this biennial obligation</w:t>
      </w:r>
      <w:r w:rsidRPr="00927E48">
        <w:t xml:space="preserve">, the Bureau will host a public information session on </w:t>
      </w:r>
      <w:r w:rsidRPr="00927E48">
        <w:rPr>
          <w:color w:val="000000" w:themeColor="text1"/>
        </w:rPr>
        <w:t xml:space="preserve">October 5, 2021 </w:t>
      </w:r>
      <w:r w:rsidRPr="003951B7">
        <w:t xml:space="preserve">at </w:t>
      </w:r>
      <w:r>
        <w:t>2</w:t>
      </w:r>
      <w:r w:rsidRPr="003951B7">
        <w:t>:00 p.m.</w:t>
      </w:r>
      <w:r>
        <w:t xml:space="preserve">  Bureau staff </w:t>
      </w:r>
      <w:r w:rsidRPr="00B03101">
        <w:t xml:space="preserve">will present an overview of biennial Forms 323 and 323-E and respond to questions </w:t>
      </w:r>
      <w:r w:rsidR="002A4221">
        <w:t xml:space="preserve">raised </w:t>
      </w:r>
      <w:r w:rsidRPr="00B03101">
        <w:t>by onlin</w:t>
      </w:r>
      <w:r w:rsidRPr="00927E48">
        <w:t xml:space="preserve">e attendees. </w:t>
      </w:r>
      <w:r w:rsidR="002A4221">
        <w:t xml:space="preserve"> </w:t>
      </w:r>
      <w:r w:rsidRPr="00927E48">
        <w:t xml:space="preserve">This session is designed to assist both novice and experienced filers. </w:t>
      </w:r>
    </w:p>
    <w:p w:rsidR="00DA622C" w:rsidRPr="00927E48" w:rsidP="00DA622C" w14:paraId="4BCF36C0" w14:textId="77777777">
      <w:pPr>
        <w:rPr>
          <w:szCs w:val="22"/>
        </w:rPr>
      </w:pPr>
    </w:p>
    <w:p w:rsidR="00DA622C" w:rsidRPr="00927E48" w:rsidP="00DA622C" w14:paraId="677449A7" w14:textId="6C8367BC">
      <w:pPr>
        <w:ind w:firstLine="720"/>
      </w:pPr>
      <w:bookmarkStart w:id="3" w:name="_Hlk34296904"/>
      <w:r w:rsidRPr="00927E48">
        <w:rPr>
          <w:szCs w:val="22"/>
        </w:rPr>
        <w:t xml:space="preserve">The October 5, 2021 information session will be convened in an online format and will be available to the public via live feed from the FCC’s web page at </w:t>
      </w:r>
      <w:hyperlink r:id="rId6" w:history="1">
        <w:r w:rsidRPr="00927E48">
          <w:rPr>
            <w:rStyle w:val="Hyperlink"/>
            <w:szCs w:val="22"/>
          </w:rPr>
          <w:t>www.fcc.gov/live</w:t>
        </w:r>
      </w:hyperlink>
      <w:r w:rsidRPr="00927E48">
        <w:rPr>
          <w:szCs w:val="22"/>
        </w:rPr>
        <w:t xml:space="preserve">. </w:t>
      </w:r>
      <w:r w:rsidRPr="00927E48">
        <w:rPr>
          <w:color w:val="FF0000"/>
          <w:szCs w:val="22"/>
        </w:rPr>
        <w:t xml:space="preserve"> </w:t>
      </w:r>
      <w:r w:rsidRPr="00DA622C">
        <w:rPr>
          <w:color w:val="000000" w:themeColor="text1"/>
          <w:szCs w:val="22"/>
        </w:rPr>
        <w:t>T</w:t>
      </w:r>
      <w:r w:rsidRPr="00DA622C">
        <w:rPr>
          <w:iCs/>
          <w:color w:val="000000" w:themeColor="text1"/>
          <w:szCs w:val="22"/>
        </w:rPr>
        <w:t xml:space="preserve">he public may also follow the meeting on the Commission’s </w:t>
      </w:r>
      <w:r w:rsidRPr="00DA622C" w:rsidR="002A4221">
        <w:rPr>
          <w:iCs/>
          <w:color w:val="000000" w:themeColor="text1"/>
          <w:szCs w:val="22"/>
        </w:rPr>
        <w:t>YouTube</w:t>
      </w:r>
      <w:r w:rsidRPr="00DA622C">
        <w:rPr>
          <w:iCs/>
          <w:color w:val="000000" w:themeColor="text1"/>
          <w:szCs w:val="22"/>
        </w:rPr>
        <w:t xml:space="preserve"> page at</w:t>
      </w:r>
      <w:r w:rsidRPr="00927E48">
        <w:rPr>
          <w:iCs/>
          <w:color w:val="FF0000"/>
          <w:szCs w:val="22"/>
        </w:rPr>
        <w:t xml:space="preserve"> </w:t>
      </w:r>
      <w:hyperlink r:id="rId7" w:history="1">
        <w:r w:rsidRPr="00C952FC">
          <w:rPr>
            <w:rStyle w:val="Hyperlink"/>
            <w:iCs/>
            <w:szCs w:val="22"/>
          </w:rPr>
          <w:t>https://www.youtube.com/user/fccdotgovvideo</w:t>
        </w:r>
      </w:hyperlink>
      <w:r w:rsidRPr="00927E48">
        <w:rPr>
          <w:iCs/>
          <w:color w:val="FF0000"/>
          <w:szCs w:val="22"/>
        </w:rPr>
        <w:t xml:space="preserve">.  </w:t>
      </w:r>
      <w:r w:rsidRPr="00927E48">
        <w:t>Online viewers may submit questions to form323@fcc.gov during the presentation.</w:t>
      </w:r>
      <w:r w:rsidR="003951B7">
        <w:t xml:space="preserve"> </w:t>
      </w:r>
      <w:r w:rsidRPr="00927E48">
        <w:t xml:space="preserve"> Please type “Info Session” in the subject line for all e-mails related to this event. </w:t>
      </w:r>
      <w:r w:rsidR="002A4221">
        <w:t xml:space="preserve"> </w:t>
      </w:r>
      <w:r w:rsidRPr="00DA622C">
        <w:rPr>
          <w:color w:val="000000" w:themeColor="text1"/>
        </w:rPr>
        <w:t xml:space="preserve">Those </w:t>
      </w:r>
      <w:r w:rsidR="00471889">
        <w:rPr>
          <w:color w:val="000000" w:themeColor="text1"/>
        </w:rPr>
        <w:t xml:space="preserve">who </w:t>
      </w:r>
      <w:r w:rsidR="003951B7">
        <w:rPr>
          <w:color w:val="000000" w:themeColor="text1"/>
        </w:rPr>
        <w:t xml:space="preserve">cannot </w:t>
      </w:r>
      <w:r w:rsidR="002A4221">
        <w:rPr>
          <w:color w:val="000000" w:themeColor="text1"/>
        </w:rPr>
        <w:t>join the information session live on October 5</w:t>
      </w:r>
      <w:r w:rsidRPr="00483995" w:rsidR="002A4221">
        <w:rPr>
          <w:color w:val="000000" w:themeColor="text1"/>
          <w:vertAlign w:val="superscript"/>
        </w:rPr>
        <w:t>th</w:t>
      </w:r>
      <w:r w:rsidR="003951B7">
        <w:rPr>
          <w:color w:val="000000" w:themeColor="text1"/>
        </w:rPr>
        <w:t xml:space="preserve"> </w:t>
      </w:r>
      <w:r w:rsidRPr="00DA622C">
        <w:rPr>
          <w:color w:val="000000" w:themeColor="text1"/>
        </w:rPr>
        <w:t xml:space="preserve">can view </w:t>
      </w:r>
      <w:r w:rsidR="003951B7">
        <w:rPr>
          <w:color w:val="000000" w:themeColor="text1"/>
        </w:rPr>
        <w:t>it</w:t>
      </w:r>
      <w:r w:rsidRPr="00DA622C">
        <w:rPr>
          <w:color w:val="000000" w:themeColor="text1"/>
        </w:rPr>
        <w:t xml:space="preserve"> at a later date via the Commission’s </w:t>
      </w:r>
      <w:r w:rsidRPr="00DA622C" w:rsidR="002A4221">
        <w:rPr>
          <w:color w:val="000000" w:themeColor="text1"/>
        </w:rPr>
        <w:t>YouTube</w:t>
      </w:r>
      <w:r w:rsidRPr="00DA622C">
        <w:rPr>
          <w:color w:val="000000" w:themeColor="text1"/>
        </w:rPr>
        <w:t xml:space="preserve"> page. </w:t>
      </w:r>
    </w:p>
    <w:p w:rsidR="00DA622C" w:rsidRPr="00927E48" w:rsidP="00DA622C" w14:paraId="733A66B4" w14:textId="77777777">
      <w:pPr>
        <w:rPr>
          <w:szCs w:val="22"/>
        </w:rPr>
      </w:pPr>
    </w:p>
    <w:p w:rsidR="00DA622C" w:rsidRPr="00927E48" w:rsidP="00DA622C" w14:paraId="2282FBD5" w14:textId="77777777">
      <w:pPr>
        <w:ind w:firstLine="720"/>
        <w:rPr>
          <w:szCs w:val="22"/>
        </w:rPr>
      </w:pPr>
      <w:r w:rsidRPr="00927E48">
        <w:rPr>
          <w:szCs w:val="22"/>
        </w:rPr>
        <w:t xml:space="preserve">Open captioning will be provided for this event.  Other reasonable accommodations for people with disabilities are available upon request.  Requests for such accommodations should be submitted via e-mail to </w:t>
      </w:r>
      <w:hyperlink r:id="rId8" w:history="1">
        <w:r w:rsidRPr="00927E48">
          <w:rPr>
            <w:rStyle w:val="Hyperlink"/>
            <w:szCs w:val="22"/>
          </w:rPr>
          <w:t>fcc504@fcc.gov</w:t>
        </w:r>
      </w:hyperlink>
      <w:r w:rsidRPr="00927E48">
        <w:rPr>
          <w:szCs w:val="22"/>
        </w:rPr>
        <w:t xml:space="preserve">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   </w:t>
      </w:r>
    </w:p>
    <w:bookmarkEnd w:id="3"/>
    <w:p w:rsidR="00DA622C" w:rsidRPr="00927E48" w:rsidP="00DA622C" w14:paraId="1603D859" w14:textId="77777777"/>
    <w:p w:rsidR="00995773" w:rsidRPr="00995773" w:rsidP="00995773" w14:paraId="2C8F8A20" w14:textId="00AE5226">
      <w:pPr>
        <w:ind w:firstLine="720"/>
        <w:rPr>
          <w:b/>
          <w:bCs/>
          <w:szCs w:val="22"/>
        </w:rPr>
      </w:pPr>
      <w:r w:rsidRPr="00927E48">
        <w:t xml:space="preserve">For additional information, please contact Jake Riehm at </w:t>
      </w:r>
      <w:hyperlink r:id="rId9" w:history="1">
        <w:r w:rsidRPr="00927E48">
          <w:rPr>
            <w:rStyle w:val="Hyperlink"/>
          </w:rPr>
          <w:t>Jake.Riehm@fcc.gov</w:t>
        </w:r>
      </w:hyperlink>
      <w:r w:rsidRPr="00927E48">
        <w:t xml:space="preserve"> or William Durdach at </w:t>
      </w:r>
      <w:hyperlink r:id="rId10" w:history="1">
        <w:r w:rsidRPr="00927E48">
          <w:rPr>
            <w:rStyle w:val="Hyperlink"/>
          </w:rPr>
          <w:t>William.Durdach@fcc.gov</w:t>
        </w:r>
      </w:hyperlink>
      <w:r w:rsidRPr="00927E48">
        <w:t xml:space="preserve">. </w:t>
      </w:r>
      <w:r w:rsidR="003951B7">
        <w:t xml:space="preserve"> </w:t>
      </w:r>
      <w:r w:rsidRPr="00927E48">
        <w:t xml:space="preserve">Alternatively, you may send an email to </w:t>
      </w:r>
      <w:hyperlink r:id="rId11" w:history="1">
        <w:r w:rsidRPr="00927E48">
          <w:rPr>
            <w:rStyle w:val="Hyperlink"/>
          </w:rPr>
          <w:t>form323@fcc.gov</w:t>
        </w:r>
      </w:hyperlink>
      <w:r w:rsidRPr="00927E48">
        <w:t xml:space="preserve">. </w:t>
      </w:r>
    </w:p>
    <w:p w:rsidR="00DA622C" w:rsidP="00995773" w14:paraId="19B2C585" w14:textId="77777777">
      <w:pPr>
        <w:ind w:firstLine="720"/>
        <w:jc w:val="center"/>
        <w:rPr>
          <w:b/>
          <w:bCs/>
          <w:szCs w:val="22"/>
        </w:rPr>
      </w:pPr>
    </w:p>
    <w:p w:rsidR="00DA622C" w:rsidP="00995773" w14:paraId="7A503543" w14:textId="77777777">
      <w:pPr>
        <w:ind w:firstLine="720"/>
        <w:jc w:val="center"/>
        <w:rPr>
          <w:b/>
          <w:bCs/>
          <w:szCs w:val="22"/>
        </w:rPr>
      </w:pPr>
    </w:p>
    <w:p w:rsidR="00E66670" w:rsidP="003951B7" w14:paraId="27D4F3BB" w14:textId="110C31CC">
      <w:pPr>
        <w:ind w:firstLine="720"/>
        <w:jc w:val="center"/>
        <w:rPr>
          <w:szCs w:val="22"/>
        </w:rPr>
      </w:pPr>
      <w:r w:rsidRPr="00995773">
        <w:rPr>
          <w:b/>
          <w:bCs/>
          <w:szCs w:val="22"/>
        </w:rPr>
        <w:t>– FCC –</w:t>
      </w:r>
    </w:p>
    <w:p w:rsidR="00E66670" w:rsidP="00B94871" w14:paraId="2F970834" w14:textId="77777777">
      <w:pPr>
        <w:ind w:firstLine="720"/>
        <w:rPr>
          <w:szCs w:val="22"/>
        </w:rPr>
      </w:pPr>
    </w:p>
    <w:p w:rsidR="00B94871" w:rsidP="00B94871" w14:paraId="5022805E" w14:textId="77777777">
      <w:pPr>
        <w:ind w:firstLine="720"/>
        <w:rPr>
          <w:szCs w:val="22"/>
        </w:rPr>
      </w:pPr>
      <w:r>
        <w:rPr>
          <w:szCs w:val="22"/>
        </w:rPr>
        <w:t>.</w:t>
      </w:r>
    </w:p>
    <w:bookmarkEnd w:id="0"/>
    <w:p w:rsidR="00DB4C88" w:rsidP="00471397" w14:paraId="56A368F1" w14:textId="77777777">
      <w:pPr>
        <w:ind w:left="2160" w:firstLine="720"/>
        <w:rPr>
          <w:rFonts w:asciiTheme="minorHAnsi" w:hAnsiTheme="minorHAnsi" w:cstheme="minorHAnsi"/>
          <w:bCs/>
        </w:rPr>
      </w:pPr>
    </w:p>
    <w:sectPr w:rsidSect="000E588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A533F9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6BAC3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DAF82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39339E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26BE" w14:paraId="0489E505" w14:textId="77777777">
      <w:r>
        <w:separator/>
      </w:r>
    </w:p>
  </w:footnote>
  <w:footnote w:type="continuationSeparator" w:id="1">
    <w:p w:rsidR="00BC26BE" w14:paraId="25549A96" w14:textId="77777777">
      <w:r>
        <w:continuationSeparator/>
      </w:r>
    </w:p>
  </w:footnote>
  <w:footnote w:id="2">
    <w:p w:rsidR="00CB5AB6" w:rsidRPr="00320A63" w14:paraId="1032D61B" w14:textId="494149D6">
      <w:pPr>
        <w:pStyle w:val="FootnoteText"/>
      </w:pPr>
      <w:r w:rsidRPr="00320A63">
        <w:rPr>
          <w:rStyle w:val="FootnoteReference"/>
          <w:sz w:val="20"/>
        </w:rPr>
        <w:footnoteRef/>
      </w:r>
      <w:r w:rsidRPr="00320A63">
        <w:t xml:space="preserve"> </w:t>
      </w:r>
      <w:r w:rsidRPr="00320A63" w:rsidR="00483995">
        <w:rPr>
          <w:i/>
          <w:iCs/>
        </w:rPr>
        <w:t>See</w:t>
      </w:r>
      <w:r w:rsidRPr="00320A63" w:rsidR="00483995">
        <w:t xml:space="preserve"> 47 C.F.R. §§ 73.3615(a), (d); 73.6026; 74.797.</w:t>
      </w:r>
    </w:p>
  </w:footnote>
  <w:footnote w:id="3">
    <w:p w:rsidR="001A2B82" w:rsidRPr="00320A63" w:rsidP="001A2B82" w14:paraId="60A3DEFF" w14:textId="1F0A2CE5">
      <w:pPr>
        <w:pStyle w:val="FootnoteText"/>
      </w:pPr>
      <w:r w:rsidRPr="00320A63">
        <w:rPr>
          <w:rStyle w:val="FootnoteReference"/>
          <w:sz w:val="20"/>
        </w:rPr>
        <w:footnoteRef/>
      </w:r>
      <w:r w:rsidRPr="00320A63">
        <w:t xml:space="preserve"> </w:t>
      </w:r>
      <w:bookmarkStart w:id="1" w:name="_Hlk72504917"/>
      <w:r w:rsidRPr="00320A63" w:rsidR="009A53EE">
        <w:rPr>
          <w:i/>
          <w:iCs/>
        </w:rPr>
        <w:t>Id.</w:t>
      </w:r>
      <w:r w:rsidRPr="00320A63" w:rsidR="00625103">
        <w:rPr>
          <w:i/>
          <w:iCs/>
        </w:rPr>
        <w:t xml:space="preserve"> </w:t>
      </w:r>
      <w:r w:rsidRPr="00320A63" w:rsidR="00625103">
        <w:t>§§ 73.3615(a), (d); 73.6026; 74.797.</w:t>
      </w:r>
      <w:bookmarkEnd w:id="1"/>
    </w:p>
  </w:footnote>
  <w:footnote w:id="4">
    <w:p w:rsidR="001A2B82" w:rsidRPr="00320A63" w14:paraId="6223BAAB" w14:textId="750D15E9">
      <w:pPr>
        <w:pStyle w:val="FootnoteText"/>
      </w:pPr>
      <w:r w:rsidRPr="00320A63">
        <w:rPr>
          <w:rStyle w:val="FootnoteReference"/>
          <w:sz w:val="20"/>
        </w:rPr>
        <w:footnoteRef/>
      </w:r>
      <w:r w:rsidRPr="00320A63">
        <w:t xml:space="preserve"> </w:t>
      </w:r>
      <w:r w:rsidRPr="00320A63">
        <w:rPr>
          <w:i/>
          <w:iCs/>
        </w:rPr>
        <w:t>Id.</w:t>
      </w:r>
      <w:r w:rsidRPr="00320A63">
        <w:t xml:space="preserve"> §§ 73.3615(a), (d); 74.797.  </w:t>
      </w:r>
    </w:p>
  </w:footnote>
  <w:footnote w:id="5">
    <w:p w:rsidR="001A2B82" w:rsidRPr="00320A63" w14:paraId="05D15D5C" w14:textId="577631FA">
      <w:pPr>
        <w:pStyle w:val="FootnoteText"/>
      </w:pPr>
      <w:r w:rsidRPr="00320A63">
        <w:rPr>
          <w:rStyle w:val="FootnoteReference"/>
          <w:sz w:val="20"/>
        </w:rPr>
        <w:footnoteRef/>
      </w:r>
      <w:r w:rsidRPr="00320A63">
        <w:t xml:space="preserve"> </w:t>
      </w:r>
      <w:r w:rsidRPr="00320A63">
        <w:rPr>
          <w:i/>
          <w:iCs/>
        </w:rPr>
        <w:t>Id.</w:t>
      </w:r>
      <w:r w:rsidRPr="00320A63">
        <w:t xml:space="preserve"> §§ 73.3615(a), (d); 74.797.</w:t>
      </w:r>
    </w:p>
  </w:footnote>
  <w:footnote w:id="6">
    <w:p w:rsidR="001A2B82" w:rsidRPr="00320A63" w:rsidP="001A2B82" w14:paraId="09AEC0AB" w14:textId="77777777">
      <w:pPr>
        <w:pStyle w:val="FootnoteText"/>
      </w:pPr>
      <w:r w:rsidRPr="00320A63">
        <w:rPr>
          <w:rStyle w:val="FootnoteReference"/>
          <w:sz w:val="20"/>
        </w:rPr>
        <w:footnoteRef/>
      </w:r>
      <w:r w:rsidRPr="00320A63">
        <w:t xml:space="preserve"> We note further that a licensee must maintain its current ownership report in the station’s Online Public Inspection File, which is intended to “encourage a continuing dialogue between broadcasters and the public to ensure stations meet their obligations and remain responsive to the needs of the local community.”  </w:t>
      </w:r>
      <w:r w:rsidRPr="00320A63">
        <w:rPr>
          <w:color w:val="000000"/>
        </w:rPr>
        <w:t xml:space="preserve">Media Bureau, FCC, </w:t>
      </w:r>
      <w:r w:rsidRPr="00320A63">
        <w:rPr>
          <w:i/>
          <w:iCs/>
          <w:color w:val="000000"/>
        </w:rPr>
        <w:t>The Public and Broadcasting 27</w:t>
      </w:r>
      <w:r w:rsidRPr="00320A63">
        <w:rPr>
          <w:color w:val="000000"/>
        </w:rPr>
        <w:t xml:space="preserve"> (2019).</w:t>
      </w:r>
    </w:p>
  </w:footnote>
  <w:footnote w:id="7">
    <w:p w:rsidR="00320A63" w:rsidP="00320A63" w14:paraId="252323B3" w14:textId="44DAA178">
      <w:pPr>
        <w:shd w:val="clear" w:color="auto" w:fill="FFFFFF"/>
      </w:pPr>
      <w:r w:rsidRPr="00320A63">
        <w:rPr>
          <w:rStyle w:val="FootnoteReference"/>
          <w:sz w:val="20"/>
          <w:szCs w:val="20"/>
        </w:rPr>
        <w:footnoteRef/>
      </w:r>
      <w:r w:rsidRPr="00320A63">
        <w:rPr>
          <w:sz w:val="20"/>
          <w:szCs w:val="20"/>
        </w:rPr>
        <w:t xml:space="preserve"> </w:t>
      </w:r>
      <w:r>
        <w:rPr>
          <w:i/>
          <w:iCs/>
          <w:sz w:val="20"/>
          <w:szCs w:val="20"/>
        </w:rPr>
        <w:t xml:space="preserve">See </w:t>
      </w:r>
      <w:r>
        <w:rPr>
          <w:i/>
          <w:sz w:val="20"/>
          <w:szCs w:val="20"/>
        </w:rPr>
        <w:t>Media Bureau Reminds Broadcasters of the Obligation to File Biennial Ownership Reports</w:t>
      </w:r>
      <w:r w:rsidRPr="00320A63">
        <w:rPr>
          <w:sz w:val="20"/>
          <w:szCs w:val="20"/>
        </w:rPr>
        <w:t xml:space="preserve">, </w:t>
      </w:r>
      <w:r>
        <w:rPr>
          <w:sz w:val="20"/>
          <w:szCs w:val="20"/>
        </w:rPr>
        <w:t>Public Notice</w:t>
      </w:r>
      <w:r w:rsidRPr="00320A63">
        <w:rPr>
          <w:sz w:val="20"/>
          <w:szCs w:val="20"/>
        </w:rPr>
        <w:t xml:space="preserve">, </w:t>
      </w:r>
      <w:r>
        <w:rPr>
          <w:sz w:val="20"/>
          <w:szCs w:val="20"/>
        </w:rPr>
        <w:t>DA</w:t>
      </w:r>
      <w:r w:rsidRPr="00320A63">
        <w:rPr>
          <w:sz w:val="20"/>
          <w:szCs w:val="20"/>
        </w:rPr>
        <w:t xml:space="preserve"> </w:t>
      </w:r>
      <w:r>
        <w:rPr>
          <w:sz w:val="20"/>
          <w:szCs w:val="20"/>
        </w:rPr>
        <w:t>21</w:t>
      </w:r>
      <w:r w:rsidRPr="00320A63">
        <w:rPr>
          <w:sz w:val="20"/>
          <w:szCs w:val="20"/>
        </w:rPr>
        <w:t>-7</w:t>
      </w:r>
      <w:r>
        <w:rPr>
          <w:sz w:val="20"/>
          <w:szCs w:val="20"/>
        </w:rPr>
        <w:t xml:space="preserve">11, at 2 </w:t>
      </w:r>
      <w:r w:rsidRPr="00320A63">
        <w:rPr>
          <w:sz w:val="20"/>
          <w:szCs w:val="20"/>
        </w:rPr>
        <w:t>(</w:t>
      </w:r>
      <w:r>
        <w:rPr>
          <w:sz w:val="20"/>
          <w:szCs w:val="20"/>
        </w:rPr>
        <w:t xml:space="preserve">MB </w:t>
      </w:r>
      <w:r w:rsidRPr="00320A63">
        <w:rPr>
          <w:sz w:val="20"/>
          <w:szCs w:val="20"/>
        </w:rPr>
        <w:t xml:space="preserve">June </w:t>
      </w:r>
      <w:r>
        <w:rPr>
          <w:sz w:val="20"/>
          <w:szCs w:val="20"/>
        </w:rPr>
        <w:t>21</w:t>
      </w:r>
      <w:r w:rsidRPr="00320A63">
        <w:rPr>
          <w:sz w:val="20"/>
          <w:szCs w:val="20"/>
        </w:rPr>
        <w:t>, 20</w:t>
      </w:r>
      <w:r>
        <w:rPr>
          <w:sz w:val="20"/>
          <w:szCs w:val="20"/>
        </w:rPr>
        <w:t>21</w:t>
      </w:r>
      <w:r w:rsidRPr="00320A63">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92C" w14:paraId="10D5A5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E542685" w14:textId="307A0125">
    <w:pPr>
      <w:tabs>
        <w:tab w:val="center" w:pos="4680"/>
        <w:tab w:val="right" w:pos="9360"/>
      </w:tabs>
    </w:pPr>
    <w:r w:rsidRPr="009838BC">
      <w:rPr>
        <w:b/>
      </w:rPr>
      <w:tab/>
      <w:t>Federal Communications Commission</w:t>
    </w:r>
    <w:r w:rsidRPr="009838BC">
      <w:rPr>
        <w:b/>
      </w:rPr>
      <w:tab/>
    </w:r>
    <w:r w:rsidR="009B14A9">
      <w:rPr>
        <w:b/>
      </w:rPr>
      <w:t>DA 21-</w:t>
    </w:r>
    <w:r w:rsidR="00EF492C">
      <w:rPr>
        <w:b/>
      </w:rPr>
      <w:t>1130</w:t>
    </w:r>
  </w:p>
  <w:p w:rsidR="009838BC" w:rsidRPr="009838BC" w:rsidP="009838BC" w14:paraId="7D56B20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01F89E2C"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A66DD7E" w14:textId="77777777">
    <w:pPr>
      <w:spacing w:before="40"/>
      <w:rPr>
        <w:rFonts w:ascii="Arial" w:hAnsi="Arial" w:cs="Arial"/>
        <w:b/>
        <w:sz w:val="96"/>
      </w:rPr>
    </w:pPr>
    <w:r>
      <w:rPr>
        <w:noProof/>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A321FDE" w14:textId="77777777">
                    <w:pPr>
                      <w:rPr>
                        <w:rFonts w:ascii="Arial" w:hAnsi="Arial"/>
                        <w:b/>
                      </w:rPr>
                    </w:pPr>
                    <w:r>
                      <w:rPr>
                        <w:rFonts w:ascii="Arial" w:hAnsi="Arial"/>
                        <w:b/>
                      </w:rPr>
                      <w:t>Federal Communications Commission</w:t>
                    </w:r>
                  </w:p>
                  <w:p w:rsidR="009838BC" w:rsidP="009838BC" w14:paraId="4FFD6190" w14:textId="77777777">
                    <w:pPr>
                      <w:rPr>
                        <w:rFonts w:ascii="Arial" w:hAnsi="Arial"/>
                        <w:b/>
                      </w:rPr>
                    </w:pPr>
                    <w:r>
                      <w:rPr>
                        <w:rFonts w:ascii="Arial" w:hAnsi="Arial"/>
                        <w:b/>
                      </w:rPr>
                      <w:t>45 L St., N.E.</w:t>
                    </w:r>
                  </w:p>
                  <w:p w:rsidR="009838BC" w:rsidP="009838BC" w14:paraId="4694A9F4" w14:textId="77777777">
                    <w:pPr>
                      <w:rPr>
                        <w:rFonts w:ascii="Arial" w:hAnsi="Arial"/>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074C1028"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139D1B3F" w14:textId="77777777">
                    <w:pPr>
                      <w:spacing w:before="40"/>
                      <w:jc w:val="right"/>
                      <w:rPr>
                        <w:rFonts w:ascii="Arial" w:hAnsi="Arial"/>
                        <w:b/>
                        <w:sz w:val="16"/>
                      </w:rPr>
                    </w:pPr>
                    <w:r>
                      <w:rPr>
                        <w:rFonts w:ascii="Arial" w:hAnsi="Arial"/>
                        <w:b/>
                        <w:sz w:val="16"/>
                      </w:rPr>
                      <w:t>News Media Information 202 / 418-0500</w:t>
                    </w:r>
                  </w:p>
                  <w:p w:rsidR="009838BC" w:rsidP="009838BC" w14:paraId="0D2B081F"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46E344A2" w14:textId="77777777">
                    <w:pPr>
                      <w:jc w:val="right"/>
                    </w:pPr>
                    <w:r>
                      <w:rPr>
                        <w:rFonts w:ascii="Arial" w:hAnsi="Arial"/>
                        <w:b/>
                        <w:sz w:val="16"/>
                      </w:rPr>
                      <w:t>TTY: 1-888-835-5322</w:t>
                    </w:r>
                  </w:p>
                </w:txbxContent>
              </v:textbox>
            </v:shape>
          </w:pict>
        </mc:Fallback>
      </mc:AlternateContent>
    </w:r>
  </w:p>
  <w:p w:rsidR="006F7393" w:rsidRPr="009838BC" w:rsidP="009838BC" w14:paraId="0C1478C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34099"/>
    <w:multiLevelType w:val="multilevel"/>
    <w:tmpl w:val="B8C2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A6128A1"/>
    <w:multiLevelType w:val="multilevel"/>
    <w:tmpl w:val="E22898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02EC"/>
    <w:rsid w:val="000072CE"/>
    <w:rsid w:val="0001133C"/>
    <w:rsid w:val="00013A8B"/>
    <w:rsid w:val="00021445"/>
    <w:rsid w:val="00035CB5"/>
    <w:rsid w:val="00036039"/>
    <w:rsid w:val="00037F90"/>
    <w:rsid w:val="000838BC"/>
    <w:rsid w:val="00083E55"/>
    <w:rsid w:val="000875BF"/>
    <w:rsid w:val="00096D8C"/>
    <w:rsid w:val="000A0C58"/>
    <w:rsid w:val="000C0B65"/>
    <w:rsid w:val="000D6132"/>
    <w:rsid w:val="000E3D42"/>
    <w:rsid w:val="000E4CEA"/>
    <w:rsid w:val="000E5884"/>
    <w:rsid w:val="00106BA6"/>
    <w:rsid w:val="00107ED1"/>
    <w:rsid w:val="00122BD5"/>
    <w:rsid w:val="00133484"/>
    <w:rsid w:val="00135299"/>
    <w:rsid w:val="001435AD"/>
    <w:rsid w:val="0016124C"/>
    <w:rsid w:val="001952BF"/>
    <w:rsid w:val="001979D9"/>
    <w:rsid w:val="001A03C3"/>
    <w:rsid w:val="001A2B82"/>
    <w:rsid w:val="001D4DB7"/>
    <w:rsid w:val="001D6BCF"/>
    <w:rsid w:val="001E01CA"/>
    <w:rsid w:val="002060D9"/>
    <w:rsid w:val="00211B69"/>
    <w:rsid w:val="00220A05"/>
    <w:rsid w:val="00223840"/>
    <w:rsid w:val="00224431"/>
    <w:rsid w:val="00226822"/>
    <w:rsid w:val="00244B84"/>
    <w:rsid w:val="00252405"/>
    <w:rsid w:val="00260594"/>
    <w:rsid w:val="00270323"/>
    <w:rsid w:val="00280367"/>
    <w:rsid w:val="00285017"/>
    <w:rsid w:val="002A2D2E"/>
    <w:rsid w:val="002A4221"/>
    <w:rsid w:val="002A5D08"/>
    <w:rsid w:val="002B6659"/>
    <w:rsid w:val="00310011"/>
    <w:rsid w:val="003127A5"/>
    <w:rsid w:val="00320A63"/>
    <w:rsid w:val="00326FAE"/>
    <w:rsid w:val="00343749"/>
    <w:rsid w:val="00357D50"/>
    <w:rsid w:val="00363F5C"/>
    <w:rsid w:val="003659C2"/>
    <w:rsid w:val="00385009"/>
    <w:rsid w:val="003901F3"/>
    <w:rsid w:val="003925DC"/>
    <w:rsid w:val="003951B7"/>
    <w:rsid w:val="00396430"/>
    <w:rsid w:val="003A2A36"/>
    <w:rsid w:val="003B0550"/>
    <w:rsid w:val="003B694F"/>
    <w:rsid w:val="003E2395"/>
    <w:rsid w:val="003E23CC"/>
    <w:rsid w:val="003E24BB"/>
    <w:rsid w:val="003E4C46"/>
    <w:rsid w:val="003F00B3"/>
    <w:rsid w:val="003F171C"/>
    <w:rsid w:val="0040067A"/>
    <w:rsid w:val="0040532F"/>
    <w:rsid w:val="00412FC5"/>
    <w:rsid w:val="004201D3"/>
    <w:rsid w:val="004210BC"/>
    <w:rsid w:val="00422276"/>
    <w:rsid w:val="004242F1"/>
    <w:rsid w:val="0043016E"/>
    <w:rsid w:val="00433ED4"/>
    <w:rsid w:val="00445A00"/>
    <w:rsid w:val="00446C00"/>
    <w:rsid w:val="00451B0F"/>
    <w:rsid w:val="0045446E"/>
    <w:rsid w:val="0046125F"/>
    <w:rsid w:val="00464452"/>
    <w:rsid w:val="0047044A"/>
    <w:rsid w:val="00471397"/>
    <w:rsid w:val="00471889"/>
    <w:rsid w:val="00483995"/>
    <w:rsid w:val="00487524"/>
    <w:rsid w:val="00496106"/>
    <w:rsid w:val="004B00A4"/>
    <w:rsid w:val="004C12D0"/>
    <w:rsid w:val="004C2EE3"/>
    <w:rsid w:val="004D1E33"/>
    <w:rsid w:val="004D35EA"/>
    <w:rsid w:val="004E4A22"/>
    <w:rsid w:val="005026AB"/>
    <w:rsid w:val="0051009D"/>
    <w:rsid w:val="00511968"/>
    <w:rsid w:val="0051634B"/>
    <w:rsid w:val="0055614C"/>
    <w:rsid w:val="0055652A"/>
    <w:rsid w:val="00556A53"/>
    <w:rsid w:val="00575BAA"/>
    <w:rsid w:val="00580457"/>
    <w:rsid w:val="005A54D3"/>
    <w:rsid w:val="005C4DB1"/>
    <w:rsid w:val="005D05F2"/>
    <w:rsid w:val="005F00DA"/>
    <w:rsid w:val="00607BA5"/>
    <w:rsid w:val="00625103"/>
    <w:rsid w:val="00626EB6"/>
    <w:rsid w:val="006353A3"/>
    <w:rsid w:val="00642217"/>
    <w:rsid w:val="00655D03"/>
    <w:rsid w:val="00674320"/>
    <w:rsid w:val="00683F84"/>
    <w:rsid w:val="00687507"/>
    <w:rsid w:val="006A6A81"/>
    <w:rsid w:val="006B2322"/>
    <w:rsid w:val="006B27B4"/>
    <w:rsid w:val="006C1132"/>
    <w:rsid w:val="006C35B5"/>
    <w:rsid w:val="006D51D0"/>
    <w:rsid w:val="006E26AF"/>
    <w:rsid w:val="006E350A"/>
    <w:rsid w:val="006F7393"/>
    <w:rsid w:val="0070224F"/>
    <w:rsid w:val="007115F7"/>
    <w:rsid w:val="00720A31"/>
    <w:rsid w:val="00745BF5"/>
    <w:rsid w:val="00782E67"/>
    <w:rsid w:val="00785689"/>
    <w:rsid w:val="0079754B"/>
    <w:rsid w:val="007A1E6D"/>
    <w:rsid w:val="007A30B2"/>
    <w:rsid w:val="007B6ABB"/>
    <w:rsid w:val="007C517D"/>
    <w:rsid w:val="007E04F2"/>
    <w:rsid w:val="007E1349"/>
    <w:rsid w:val="007E3DD9"/>
    <w:rsid w:val="00805614"/>
    <w:rsid w:val="00822CE0"/>
    <w:rsid w:val="008329B8"/>
    <w:rsid w:val="00837C62"/>
    <w:rsid w:val="00841AB1"/>
    <w:rsid w:val="00850EA3"/>
    <w:rsid w:val="00850F01"/>
    <w:rsid w:val="00863FEE"/>
    <w:rsid w:val="00874BDC"/>
    <w:rsid w:val="00881DE3"/>
    <w:rsid w:val="00893007"/>
    <w:rsid w:val="00896686"/>
    <w:rsid w:val="008B219F"/>
    <w:rsid w:val="008B4DB8"/>
    <w:rsid w:val="008C20C8"/>
    <w:rsid w:val="008C22FD"/>
    <w:rsid w:val="008C7B49"/>
    <w:rsid w:val="008F43BB"/>
    <w:rsid w:val="00910F12"/>
    <w:rsid w:val="00925331"/>
    <w:rsid w:val="00926503"/>
    <w:rsid w:val="00927E48"/>
    <w:rsid w:val="00930ECF"/>
    <w:rsid w:val="00940F56"/>
    <w:rsid w:val="00943118"/>
    <w:rsid w:val="00947EEE"/>
    <w:rsid w:val="009838BC"/>
    <w:rsid w:val="00995773"/>
    <w:rsid w:val="009A53EE"/>
    <w:rsid w:val="009B14A9"/>
    <w:rsid w:val="009B28A6"/>
    <w:rsid w:val="009E1208"/>
    <w:rsid w:val="009E1E23"/>
    <w:rsid w:val="009E5F77"/>
    <w:rsid w:val="009E70E4"/>
    <w:rsid w:val="00A02B10"/>
    <w:rsid w:val="00A031CB"/>
    <w:rsid w:val="00A15AFD"/>
    <w:rsid w:val="00A349B7"/>
    <w:rsid w:val="00A436C7"/>
    <w:rsid w:val="00A4394B"/>
    <w:rsid w:val="00A45F4F"/>
    <w:rsid w:val="00A600A9"/>
    <w:rsid w:val="00A64A49"/>
    <w:rsid w:val="00A654C4"/>
    <w:rsid w:val="00A72733"/>
    <w:rsid w:val="00A74E58"/>
    <w:rsid w:val="00A75B8C"/>
    <w:rsid w:val="00A866AC"/>
    <w:rsid w:val="00A86D9D"/>
    <w:rsid w:val="00A901E1"/>
    <w:rsid w:val="00A91F92"/>
    <w:rsid w:val="00AA55B7"/>
    <w:rsid w:val="00AA5B9E"/>
    <w:rsid w:val="00AB2407"/>
    <w:rsid w:val="00AB53DF"/>
    <w:rsid w:val="00B00D4E"/>
    <w:rsid w:val="00B03101"/>
    <w:rsid w:val="00B07E5C"/>
    <w:rsid w:val="00B1189B"/>
    <w:rsid w:val="00B20363"/>
    <w:rsid w:val="00B25951"/>
    <w:rsid w:val="00B27611"/>
    <w:rsid w:val="00B326E3"/>
    <w:rsid w:val="00B425FA"/>
    <w:rsid w:val="00B44975"/>
    <w:rsid w:val="00B44AA0"/>
    <w:rsid w:val="00B76421"/>
    <w:rsid w:val="00B811F7"/>
    <w:rsid w:val="00B82CA7"/>
    <w:rsid w:val="00B83D86"/>
    <w:rsid w:val="00B94871"/>
    <w:rsid w:val="00BA5DC6"/>
    <w:rsid w:val="00BA6196"/>
    <w:rsid w:val="00BC26BE"/>
    <w:rsid w:val="00BC6D8C"/>
    <w:rsid w:val="00BD2265"/>
    <w:rsid w:val="00BD33EB"/>
    <w:rsid w:val="00C03201"/>
    <w:rsid w:val="00C07451"/>
    <w:rsid w:val="00C16AF2"/>
    <w:rsid w:val="00C17278"/>
    <w:rsid w:val="00C34006"/>
    <w:rsid w:val="00C377F8"/>
    <w:rsid w:val="00C426B1"/>
    <w:rsid w:val="00C44BBA"/>
    <w:rsid w:val="00C56DE2"/>
    <w:rsid w:val="00C746EB"/>
    <w:rsid w:val="00C77F50"/>
    <w:rsid w:val="00C82B6B"/>
    <w:rsid w:val="00C90D6A"/>
    <w:rsid w:val="00C952FC"/>
    <w:rsid w:val="00CA0FDC"/>
    <w:rsid w:val="00CA210E"/>
    <w:rsid w:val="00CB5AB6"/>
    <w:rsid w:val="00CC72B6"/>
    <w:rsid w:val="00CD6D42"/>
    <w:rsid w:val="00CE52FA"/>
    <w:rsid w:val="00CE5744"/>
    <w:rsid w:val="00D0218D"/>
    <w:rsid w:val="00D03793"/>
    <w:rsid w:val="00D17F63"/>
    <w:rsid w:val="00D216CD"/>
    <w:rsid w:val="00D2214C"/>
    <w:rsid w:val="00D324CE"/>
    <w:rsid w:val="00D33C60"/>
    <w:rsid w:val="00D35DE6"/>
    <w:rsid w:val="00D47A05"/>
    <w:rsid w:val="00D66D68"/>
    <w:rsid w:val="00D80A70"/>
    <w:rsid w:val="00DA2529"/>
    <w:rsid w:val="00DA622C"/>
    <w:rsid w:val="00DB130A"/>
    <w:rsid w:val="00DB4C88"/>
    <w:rsid w:val="00DC0195"/>
    <w:rsid w:val="00DC10A1"/>
    <w:rsid w:val="00DC1843"/>
    <w:rsid w:val="00DC655F"/>
    <w:rsid w:val="00DD2112"/>
    <w:rsid w:val="00DD7EBD"/>
    <w:rsid w:val="00DF0295"/>
    <w:rsid w:val="00DF428E"/>
    <w:rsid w:val="00DF62B6"/>
    <w:rsid w:val="00E07225"/>
    <w:rsid w:val="00E155B7"/>
    <w:rsid w:val="00E25F17"/>
    <w:rsid w:val="00E3434E"/>
    <w:rsid w:val="00E37323"/>
    <w:rsid w:val="00E47433"/>
    <w:rsid w:val="00E527DE"/>
    <w:rsid w:val="00E5409F"/>
    <w:rsid w:val="00E66670"/>
    <w:rsid w:val="00E732A1"/>
    <w:rsid w:val="00EC0185"/>
    <w:rsid w:val="00EE3459"/>
    <w:rsid w:val="00EE4893"/>
    <w:rsid w:val="00EE73EE"/>
    <w:rsid w:val="00EF492C"/>
    <w:rsid w:val="00F021FA"/>
    <w:rsid w:val="00F0776C"/>
    <w:rsid w:val="00F170E1"/>
    <w:rsid w:val="00F36390"/>
    <w:rsid w:val="00F36A7D"/>
    <w:rsid w:val="00F43EA6"/>
    <w:rsid w:val="00F542A2"/>
    <w:rsid w:val="00F57ACA"/>
    <w:rsid w:val="00F609DB"/>
    <w:rsid w:val="00F62E97"/>
    <w:rsid w:val="00F64209"/>
    <w:rsid w:val="00F823E7"/>
    <w:rsid w:val="00F864E1"/>
    <w:rsid w:val="00F90878"/>
    <w:rsid w:val="00F93BF5"/>
    <w:rsid w:val="00F96F63"/>
    <w:rsid w:val="00FA788E"/>
    <w:rsid w:val="00FB0EB0"/>
    <w:rsid w:val="00FD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B3F32F"/>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A63"/>
    <w:rPr>
      <w:sz w:val="24"/>
      <w:szCs w:val="24"/>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sz w:val="22"/>
      <w:szCs w:val="20"/>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sz w:val="22"/>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sz w:val="22"/>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sz w:val="22"/>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sz w:val="22"/>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sz w:val="22"/>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sz w:val="22"/>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sz w:val="22"/>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sz w:val="22"/>
      <w:szCs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ootnote Text Char4,f"/>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caps/>
      <w:noProof/>
      <w:snapToGrid w:val="0"/>
      <w:kern w:val="28"/>
      <w:sz w:val="22"/>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sz w:val="22"/>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sz w:val="22"/>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sz w:val="22"/>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sz w:val="22"/>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sz w:val="22"/>
      <w:szCs w:val="20"/>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widowControl w:val="0"/>
      <w:tabs>
        <w:tab w:val="center" w:pos="4680"/>
        <w:tab w:val="right" w:pos="9360"/>
      </w:tabs>
      <w:ind w:firstLine="1080"/>
    </w:pPr>
    <w:rPr>
      <w:rFonts w:ascii="Arial" w:hAnsi="Arial" w:cs="Arial"/>
      <w:b/>
      <w:snapToGrid w:val="0"/>
      <w:kern w:val="28"/>
      <w:sz w:val="96"/>
      <w:szCs w:val="96"/>
    </w:rPr>
  </w:style>
  <w:style w:type="paragraph" w:styleId="Footer">
    <w:name w:val="footer"/>
    <w:basedOn w:val="Normal"/>
    <w:link w:val="FooterChar"/>
    <w:uiPriority w:val="99"/>
    <w:pPr>
      <w:widowControl w:val="0"/>
      <w:tabs>
        <w:tab w:val="center" w:pos="4320"/>
        <w:tab w:val="right" w:pos="8640"/>
      </w:tabs>
    </w:pPr>
    <w:rPr>
      <w:snapToGrid w:val="0"/>
      <w:kern w:val="28"/>
      <w:sz w:val="22"/>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sz w:val="22"/>
      <w:szCs w:val="20"/>
    </w:rPr>
  </w:style>
  <w:style w:type="paragraph" w:customStyle="1" w:styleId="Paratitle">
    <w:name w:val="Para title"/>
    <w:basedOn w:val="Normal"/>
    <w:pPr>
      <w:widowControl w:val="0"/>
      <w:tabs>
        <w:tab w:val="center" w:pos="9270"/>
      </w:tabs>
      <w:spacing w:after="240"/>
    </w:pPr>
    <w:rPr>
      <w:snapToGrid w:val="0"/>
      <w:spacing w:val="-2"/>
      <w:kern w:val="28"/>
      <w:sz w:val="22"/>
      <w:szCs w:val="20"/>
    </w:rPr>
  </w:style>
  <w:style w:type="paragraph" w:customStyle="1" w:styleId="Bullet">
    <w:name w:val="Bullet"/>
    <w:basedOn w:val="Normal"/>
    <w:pPr>
      <w:widowControl w:val="0"/>
      <w:numPr>
        <w:numId w:val="1"/>
      </w:numPr>
      <w:tabs>
        <w:tab w:val="clear" w:pos="360"/>
        <w:tab w:val="left" w:pos="2160"/>
      </w:tabs>
      <w:spacing w:after="220"/>
      <w:ind w:left="2160" w:hanging="720"/>
    </w:pPr>
    <w:rPr>
      <w:snapToGrid w:val="0"/>
      <w:kern w:val="28"/>
      <w:sz w:val="22"/>
      <w:szCs w:val="20"/>
    </w:r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sz w:val="22"/>
      <w:szCs w:val="20"/>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 w:val="22"/>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xmsonormal">
    <w:name w:val="x_msonormal"/>
    <w:basedOn w:val="Normal"/>
    <w:rsid w:val="00B94871"/>
    <w:rPr>
      <w:rFonts w:ascii="Calibri" w:hAnsi="Calibri" w:eastAsiaTheme="minorHAnsi" w:cs="Calibri"/>
      <w:sz w:val="22"/>
      <w:szCs w:val="22"/>
    </w:rPr>
  </w:style>
  <w:style w:type="paragraph" w:customStyle="1" w:styleId="xmsonospacing">
    <w:name w:val="x_msonospacing"/>
    <w:basedOn w:val="Normal"/>
    <w:rsid w:val="00B94871"/>
    <w:rPr>
      <w:rFonts w:ascii="Calibri" w:hAnsi="Calibri" w:eastAsiaTheme="minorHAnsi" w:cs="Calibri"/>
      <w:sz w:val="22"/>
      <w:szCs w:val="22"/>
    </w:rPr>
  </w:style>
  <w:style w:type="paragraph" w:customStyle="1" w:styleId="xmsolistparagraph">
    <w:name w:val="x_msolistparagraph"/>
    <w:basedOn w:val="Normal"/>
    <w:rsid w:val="00B94871"/>
    <w:pPr>
      <w:ind w:left="720"/>
    </w:pPr>
    <w:rPr>
      <w:rFonts w:ascii="Calibri" w:hAnsi="Calibri" w:eastAsiaTheme="minorHAnsi" w:cs="Calibri"/>
    </w:rPr>
  </w:style>
  <w:style w:type="paragraph" w:styleId="ListParagraph">
    <w:name w:val="List Paragraph"/>
    <w:basedOn w:val="Normal"/>
    <w:uiPriority w:val="34"/>
    <w:qFormat/>
    <w:rsid w:val="00B94871"/>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52405"/>
    <w:rPr>
      <w:rFonts w:asciiTheme="minorHAnsi" w:eastAsiaTheme="minorHAnsi" w:hAnsiTheme="minorHAnsi" w:cstheme="minorBidi"/>
      <w:sz w:val="22"/>
      <w:szCs w:val="22"/>
    </w:rPr>
  </w:style>
  <w:style w:type="paragraph" w:styleId="NormalWeb">
    <w:name w:val="Normal (Web)"/>
    <w:basedOn w:val="Normal"/>
    <w:uiPriority w:val="99"/>
    <w:unhideWhenUsed/>
    <w:rsid w:val="00252405"/>
    <w:pPr>
      <w:spacing w:before="100" w:beforeAutospacing="1" w:after="100" w:afterAutospacing="1"/>
    </w:pPr>
  </w:style>
  <w:style w:type="paragraph" w:styleId="Title">
    <w:name w:val="Title"/>
    <w:basedOn w:val="Normal"/>
    <w:link w:val="TitleChar"/>
    <w:qFormat/>
    <w:rsid w:val="00252405"/>
    <w:pPr>
      <w:jc w:val="center"/>
    </w:pPr>
    <w:rPr>
      <w:rFonts w:ascii="Arial" w:hAnsi="Arial" w:cs="Arial"/>
      <w:b/>
      <w:bCs/>
      <w:sz w:val="22"/>
      <w:szCs w:val="20"/>
    </w:rPr>
  </w:style>
  <w:style w:type="character" w:customStyle="1" w:styleId="TitleChar">
    <w:name w:val="Title Char"/>
    <w:basedOn w:val="DefaultParagraphFont"/>
    <w:link w:val="Title"/>
    <w:rsid w:val="00252405"/>
    <w:rPr>
      <w:rFonts w:ascii="Arial" w:hAnsi="Arial" w:cs="Arial"/>
      <w:b/>
      <w:bCs/>
      <w:sz w:val="22"/>
    </w:rPr>
  </w:style>
  <w:style w:type="character" w:customStyle="1" w:styleId="normaltextrun">
    <w:name w:val="normaltextrun"/>
    <w:basedOn w:val="DefaultParagraphFont"/>
    <w:rsid w:val="00252405"/>
  </w:style>
  <w:style w:type="paragraph" w:styleId="BodyText">
    <w:name w:val="Body Text"/>
    <w:basedOn w:val="Normal"/>
    <w:link w:val="BodyTextChar"/>
    <w:uiPriority w:val="1"/>
    <w:qFormat/>
    <w:rsid w:val="00252405"/>
    <w:pPr>
      <w:widowControl w:val="0"/>
      <w:ind w:left="111"/>
    </w:pPr>
    <w:rPr>
      <w:rFonts w:ascii="Calibri" w:eastAsia="Calibri" w:hAnsi="Calibri" w:cstheme="minorBidi"/>
    </w:rPr>
  </w:style>
  <w:style w:type="character" w:customStyle="1" w:styleId="BodyTextChar">
    <w:name w:val="Body Text Char"/>
    <w:basedOn w:val="DefaultParagraphFont"/>
    <w:link w:val="BodyText"/>
    <w:uiPriority w:val="1"/>
    <w:rsid w:val="00252405"/>
    <w:rPr>
      <w:rFonts w:ascii="Calibri" w:eastAsia="Calibri" w:hAnsi="Calibri" w:cstheme="minorBidi"/>
      <w:sz w:val="24"/>
      <w:szCs w:val="24"/>
    </w:rPr>
  </w:style>
  <w:style w:type="character" w:customStyle="1" w:styleId="UnresolvedMention1">
    <w:name w:val="Unresolved Mention1"/>
    <w:basedOn w:val="DefaultParagraphFont"/>
    <w:uiPriority w:val="99"/>
    <w:rsid w:val="00E66670"/>
    <w:rPr>
      <w:color w:val="605E5C"/>
      <w:shd w:val="clear" w:color="auto" w:fill="E1DFDD"/>
    </w:rPr>
  </w:style>
  <w:style w:type="character" w:styleId="FollowedHyperlink">
    <w:name w:val="FollowedHyperlink"/>
    <w:basedOn w:val="DefaultParagraphFont"/>
    <w:uiPriority w:val="99"/>
    <w:semiHidden/>
    <w:unhideWhenUsed/>
    <w:rsid w:val="00DA622C"/>
    <w:rPr>
      <w:color w:val="954F72" w:themeColor="followedHyperlink"/>
      <w:u w:val="single"/>
    </w:rPr>
  </w:style>
  <w:style w:type="character" w:customStyle="1" w:styleId="UnresolvedMention">
    <w:name w:val="Unresolved Mention"/>
    <w:basedOn w:val="DefaultParagraphFont"/>
    <w:uiPriority w:val="99"/>
    <w:rsid w:val="00DA622C"/>
    <w:rPr>
      <w:color w:val="605E5C"/>
      <w:shd w:val="clear" w:color="auto" w:fill="E1DFDD"/>
    </w:rPr>
  </w:style>
  <w:style w:type="character" w:styleId="CommentReference">
    <w:name w:val="annotation reference"/>
    <w:basedOn w:val="DefaultParagraphFont"/>
    <w:uiPriority w:val="99"/>
    <w:semiHidden/>
    <w:unhideWhenUsed/>
    <w:rsid w:val="00B03101"/>
    <w:rPr>
      <w:sz w:val="16"/>
      <w:szCs w:val="16"/>
    </w:rPr>
  </w:style>
  <w:style w:type="paragraph" w:styleId="CommentText">
    <w:name w:val="annotation text"/>
    <w:basedOn w:val="Normal"/>
    <w:link w:val="CommentTextChar"/>
    <w:uiPriority w:val="99"/>
    <w:semiHidden/>
    <w:unhideWhenUsed/>
    <w:rsid w:val="00B03101"/>
    <w:rPr>
      <w:sz w:val="20"/>
    </w:rPr>
  </w:style>
  <w:style w:type="character" w:customStyle="1" w:styleId="CommentTextChar">
    <w:name w:val="Comment Text Char"/>
    <w:basedOn w:val="DefaultParagraphFont"/>
    <w:link w:val="CommentText"/>
    <w:uiPriority w:val="99"/>
    <w:semiHidden/>
    <w:rsid w:val="00B03101"/>
    <w:rPr>
      <w:snapToGrid w:val="0"/>
      <w:kern w:val="28"/>
    </w:rPr>
  </w:style>
  <w:style w:type="paragraph" w:styleId="CommentSubject">
    <w:name w:val="annotation subject"/>
    <w:basedOn w:val="CommentText"/>
    <w:next w:val="CommentText"/>
    <w:link w:val="CommentSubjectChar"/>
    <w:uiPriority w:val="99"/>
    <w:semiHidden/>
    <w:unhideWhenUsed/>
    <w:rsid w:val="00B03101"/>
    <w:rPr>
      <w:b/>
      <w:bCs/>
    </w:rPr>
  </w:style>
  <w:style w:type="character" w:customStyle="1" w:styleId="CommentSubjectChar">
    <w:name w:val="Comment Subject Char"/>
    <w:basedOn w:val="CommentTextChar"/>
    <w:link w:val="CommentSubject"/>
    <w:uiPriority w:val="99"/>
    <w:semiHidden/>
    <w:rsid w:val="00B03101"/>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William.Durdach@fcc.gov" TargetMode="External" /><Relationship Id="rId11" Type="http://schemas.openxmlformats.org/officeDocument/2006/relationships/hyperlink" Target="mailto:form323@fcc.gov"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media/ownership-report-commercial-broadcast-station-form-323" TargetMode="External" /><Relationship Id="rId6" Type="http://schemas.openxmlformats.org/officeDocument/2006/relationships/hyperlink" Target="http://www.fcc.gov/live" TargetMode="External" /><Relationship Id="rId7" Type="http://schemas.openxmlformats.org/officeDocument/2006/relationships/hyperlink" Target="https://www.youtube.com/user/fccdotgovvideo" TargetMode="External" /><Relationship Id="rId8" Type="http://schemas.openxmlformats.org/officeDocument/2006/relationships/hyperlink" Target="mailto:fcc504@fcc.gov" TargetMode="External" /><Relationship Id="rId9" Type="http://schemas.openxmlformats.org/officeDocument/2006/relationships/hyperlink" Target="mailto:Jake.Riehm@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