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40CFF" w14:paraId="2255C18D" w14:textId="77777777">
      <w:pPr>
        <w:jc w:val="right"/>
        <w:rPr>
          <w:sz w:val="24"/>
        </w:rPr>
      </w:pPr>
    </w:p>
    <w:p w:rsidR="00940CFF" w14:paraId="404AEB3C" w14:textId="0F84EDE3">
      <w:pPr>
        <w:jc w:val="right"/>
        <w:rPr>
          <w:b/>
          <w:sz w:val="24"/>
        </w:rPr>
      </w:pPr>
      <w:r>
        <w:rPr>
          <w:b/>
          <w:sz w:val="24"/>
        </w:rPr>
        <w:t>DA 2</w:t>
      </w:r>
      <w:r w:rsidR="00864530">
        <w:rPr>
          <w:b/>
          <w:sz w:val="24"/>
        </w:rPr>
        <w:t>1-</w:t>
      </w:r>
      <w:r w:rsidR="00BE035F">
        <w:rPr>
          <w:b/>
          <w:sz w:val="24"/>
        </w:rPr>
        <w:t>1132</w:t>
      </w:r>
    </w:p>
    <w:p w:rsidR="00940CFF" w14:paraId="152F27F4" w14:textId="22F7BDB7">
      <w:pPr>
        <w:spacing w:before="60"/>
        <w:jc w:val="right"/>
        <w:rPr>
          <w:b/>
          <w:sz w:val="24"/>
        </w:rPr>
      </w:pPr>
      <w:r>
        <w:rPr>
          <w:b/>
          <w:sz w:val="24"/>
        </w:rPr>
        <w:t xml:space="preserve">Released:  </w:t>
      </w:r>
      <w:r w:rsidR="00864530">
        <w:rPr>
          <w:b/>
          <w:sz w:val="24"/>
        </w:rPr>
        <w:t xml:space="preserve">September </w:t>
      </w:r>
      <w:r w:rsidR="00BE035F">
        <w:rPr>
          <w:b/>
          <w:sz w:val="24"/>
        </w:rPr>
        <w:t>10</w:t>
      </w:r>
      <w:r w:rsidR="004F40FB">
        <w:rPr>
          <w:b/>
          <w:sz w:val="24"/>
        </w:rPr>
        <w:t>, 2021</w:t>
      </w:r>
    </w:p>
    <w:p w:rsidR="00940CFF" w14:paraId="4D1C763C" w14:textId="77777777">
      <w:pPr>
        <w:jc w:val="right"/>
        <w:rPr>
          <w:sz w:val="24"/>
        </w:rPr>
      </w:pPr>
    </w:p>
    <w:p w:rsidR="00940CFF" w:rsidP="00983BED" w14:paraId="57F0B748" w14:textId="6F724B60">
      <w:pPr>
        <w:spacing w:after="240"/>
        <w:jc w:val="center"/>
        <w:rPr>
          <w:rFonts w:ascii="Times New Roman Bold" w:hAnsi="Times New Roman Bold"/>
          <w:b/>
          <w:caps/>
          <w:sz w:val="24"/>
        </w:rPr>
      </w:pPr>
      <w:r>
        <w:rPr>
          <w:rFonts w:ascii="Times New Roman Bold" w:hAnsi="Times New Roman Bold"/>
          <w:b/>
          <w:caps/>
          <w:sz w:val="24"/>
        </w:rPr>
        <w:t>CORRECTION</w:t>
      </w:r>
      <w:r w:rsidR="00E22C54">
        <w:rPr>
          <w:rFonts w:ascii="Times New Roman Bold" w:hAnsi="Times New Roman Bold"/>
          <w:b/>
          <w:caps/>
          <w:sz w:val="24"/>
        </w:rPr>
        <w:t xml:space="preserve"> </w:t>
      </w:r>
      <w:r>
        <w:rPr>
          <w:rFonts w:ascii="Times New Roman Bold" w:hAnsi="Times New Roman Bold"/>
          <w:b/>
          <w:caps/>
          <w:sz w:val="24"/>
        </w:rPr>
        <w:t xml:space="preserve">OF </w:t>
      </w:r>
      <w:r w:rsidR="00E22C54">
        <w:rPr>
          <w:rFonts w:ascii="Times New Roman Bold" w:hAnsi="Times New Roman Bold"/>
          <w:b/>
          <w:caps/>
          <w:sz w:val="24"/>
        </w:rPr>
        <w:t xml:space="preserve">select INVENTORY </w:t>
      </w:r>
      <w:r>
        <w:rPr>
          <w:rFonts w:ascii="Times New Roman Bold" w:hAnsi="Times New Roman Bold"/>
          <w:b/>
          <w:caps/>
          <w:sz w:val="24"/>
        </w:rPr>
        <w:t>ANNOUNCED IN</w:t>
      </w:r>
      <w:r w:rsidR="00E22C54">
        <w:rPr>
          <w:rFonts w:ascii="Times New Roman Bold" w:hAnsi="Times New Roman Bold"/>
          <w:b/>
          <w:caps/>
          <w:sz w:val="24"/>
        </w:rPr>
        <w:t xml:space="preserve"> the auction of flexible-use service licenses in THE 3.45</w:t>
      </w:r>
      <w:r w:rsidR="00E22C54">
        <w:rPr>
          <w:rFonts w:ascii="Times New Roman Bold" w:hAnsi="Times New Roman Bold" w:hint="eastAsia"/>
          <w:b/>
          <w:caps/>
          <w:sz w:val="24"/>
        </w:rPr>
        <w:t>–</w:t>
      </w:r>
      <w:r w:rsidR="00E22C54">
        <w:rPr>
          <w:rFonts w:ascii="Times New Roman Bold" w:hAnsi="Times New Roman Bold"/>
          <w:b/>
          <w:caps/>
          <w:sz w:val="24"/>
        </w:rPr>
        <w:t>3.55 gh</w:t>
      </w:r>
      <w:r w:rsidRPr="00F939E2" w:rsidR="00E22C54">
        <w:rPr>
          <w:rFonts w:ascii="Times New Roman Bold" w:hAnsi="Times New Roman Bold"/>
          <w:b/>
          <w:sz w:val="24"/>
        </w:rPr>
        <w:t>z</w:t>
      </w:r>
      <w:r w:rsidR="00E22C54">
        <w:rPr>
          <w:rFonts w:ascii="Times New Roman Bold" w:hAnsi="Times New Roman Bold"/>
          <w:b/>
          <w:caps/>
          <w:sz w:val="24"/>
        </w:rPr>
        <w:t xml:space="preserve"> Band for next</w:t>
      </w:r>
      <w:r w:rsidR="00A45E8E">
        <w:rPr>
          <w:rFonts w:ascii="Times New Roman Bold" w:hAnsi="Times New Roman Bold"/>
          <w:b/>
          <w:caps/>
          <w:sz w:val="24"/>
        </w:rPr>
        <w:noBreakHyphen/>
      </w:r>
      <w:r w:rsidR="00E22C54">
        <w:rPr>
          <w:rFonts w:ascii="Times New Roman Bold" w:hAnsi="Times New Roman Bold"/>
          <w:b/>
          <w:caps/>
          <w:sz w:val="24"/>
        </w:rPr>
        <w:t>generation wireless services (Auction 110)</w:t>
      </w:r>
    </w:p>
    <w:p w:rsidR="00940CFF" w14:paraId="45969A73" w14:textId="3C242B95">
      <w:pPr>
        <w:jc w:val="center"/>
        <w:rPr>
          <w:b/>
          <w:sz w:val="24"/>
        </w:rPr>
      </w:pPr>
      <w:r>
        <w:rPr>
          <w:b/>
          <w:sz w:val="24"/>
        </w:rPr>
        <w:t>AU Docket No. 21-62</w:t>
      </w:r>
    </w:p>
    <w:p w:rsidR="00940CFF" w14:paraId="3DB0043F" w14:textId="77777777">
      <w:bookmarkStart w:id="0" w:name="TOChere"/>
    </w:p>
    <w:p w:rsidR="003236B1" w:rsidP="00F60FA0" w14:paraId="462D9C6C" w14:textId="63A0850D">
      <w:pPr>
        <w:pStyle w:val="ParaNum"/>
        <w:widowControl/>
      </w:pPr>
      <w:r>
        <w:t xml:space="preserve">By this Public Notice, the Office of Economics and Analytics </w:t>
      </w:r>
      <w:r w:rsidR="00394EA3">
        <w:t xml:space="preserve">(OEA) </w:t>
      </w:r>
      <w:r w:rsidR="00ED3F2C">
        <w:t>and the Wireless Telecommunications Bureau</w:t>
      </w:r>
      <w:r w:rsidR="00394EA3">
        <w:t xml:space="preserve"> </w:t>
      </w:r>
      <w:r w:rsidR="004C002A">
        <w:t>(WTB)</w:t>
      </w:r>
      <w:r w:rsidR="00394EA3">
        <w:t xml:space="preserve"> announce a </w:t>
      </w:r>
      <w:r w:rsidR="00090FB8">
        <w:t xml:space="preserve">correction </w:t>
      </w:r>
      <w:r w:rsidR="006E7946">
        <w:t>of</w:t>
      </w:r>
      <w:r w:rsidR="00C85031">
        <w:t xml:space="preserve"> </w:t>
      </w:r>
      <w:r w:rsidR="00104B30">
        <w:t>an error in</w:t>
      </w:r>
      <w:r w:rsidR="00C85031">
        <w:t xml:space="preserve"> </w:t>
      </w:r>
      <w:r w:rsidR="00544947">
        <w:t>Attachment A</w:t>
      </w:r>
      <w:r w:rsidR="00E00F4A">
        <w:t xml:space="preserve"> </w:t>
      </w:r>
      <w:r w:rsidR="004B4B2F">
        <w:t>(</w:t>
      </w:r>
      <w:r w:rsidRPr="004B4B2F" w:rsidR="004B4B2F">
        <w:t>PEA Information, Upfront Payments, and Minimum Opening Bids</w:t>
      </w:r>
      <w:r w:rsidR="004B4B2F">
        <w:t xml:space="preserve">) </w:t>
      </w:r>
      <w:r w:rsidR="00562205">
        <w:t xml:space="preserve">to </w:t>
      </w:r>
      <w:r w:rsidR="000C0B04">
        <w:t xml:space="preserve">accurately </w:t>
      </w:r>
      <w:r w:rsidR="009565DF">
        <w:t>indica</w:t>
      </w:r>
      <w:r w:rsidR="00864530">
        <w:t xml:space="preserve">te that </w:t>
      </w:r>
      <w:r w:rsidR="00B80D4B">
        <w:t>co</w:t>
      </w:r>
      <w:r w:rsidR="00116141">
        <w:t xml:space="preserve">ordination requirements </w:t>
      </w:r>
      <w:r w:rsidR="00393539">
        <w:t>apply</w:t>
      </w:r>
      <w:r w:rsidR="00116141">
        <w:t xml:space="preserve"> to </w:t>
      </w:r>
      <w:r w:rsidR="00B6751E">
        <w:t>both</w:t>
      </w:r>
      <w:r w:rsidR="00116141">
        <w:t xml:space="preserve"> the upper six blocks (Category 2 blocks E-J) </w:t>
      </w:r>
      <w:r w:rsidR="00104B30">
        <w:t>and</w:t>
      </w:r>
      <w:r w:rsidR="00116141">
        <w:t xml:space="preserve"> the lower four blocks (Category 1 blocks A-D)</w:t>
      </w:r>
      <w:r w:rsidR="00864530">
        <w:t xml:space="preserve"> in </w:t>
      </w:r>
      <w:r w:rsidR="005D72E4">
        <w:t xml:space="preserve">Partial Economic Area (PEA) </w:t>
      </w:r>
      <w:r w:rsidR="00EC25EB">
        <w:t xml:space="preserve">240 </w:t>
      </w:r>
      <w:r w:rsidR="005D72E4">
        <w:t>(</w:t>
      </w:r>
      <w:r w:rsidR="00864530">
        <w:t>Charlotte</w:t>
      </w:r>
      <w:r w:rsidR="00EC25EB">
        <w:t>sville</w:t>
      </w:r>
      <w:r w:rsidR="00864530">
        <w:t xml:space="preserve">, </w:t>
      </w:r>
      <w:r w:rsidR="00DE4258">
        <w:t>VA</w:t>
      </w:r>
      <w:r w:rsidR="005D72E4">
        <w:t>).</w:t>
      </w:r>
      <w:r w:rsidR="00116141">
        <w:t xml:space="preserve">  </w:t>
      </w:r>
    </w:p>
    <w:p w:rsidR="00394EA3" w:rsidP="00547DC2" w14:paraId="0B7A1958" w14:textId="445261ED">
      <w:pPr>
        <w:pStyle w:val="ParaNum"/>
        <w:widowControl/>
      </w:pPr>
      <w:r>
        <w:t xml:space="preserve">On June 9, 2021, OEA and WTB </w:t>
      </w:r>
      <w:r w:rsidR="0020229C">
        <w:t>released</w:t>
      </w:r>
      <w:r>
        <w:t xml:space="preserve"> a public notice establishing the procedures to be used for Auction 110.</w:t>
      </w:r>
      <w:r>
        <w:rPr>
          <w:rStyle w:val="FootnoteReference"/>
        </w:rPr>
        <w:footnoteReference w:id="3"/>
      </w:r>
      <w:r>
        <w:t xml:space="preserve">  </w:t>
      </w:r>
      <w:r w:rsidR="0020229C">
        <w:t xml:space="preserve">The </w:t>
      </w:r>
      <w:r w:rsidRPr="0020229C" w:rsidR="0020229C">
        <w:rPr>
          <w:i/>
          <w:iCs/>
        </w:rPr>
        <w:t>Auction 110 Procedures Public Notice</w:t>
      </w:r>
      <w:r w:rsidR="0020229C">
        <w:t xml:space="preserve"> detailed application requirements, minimum opening bids, upfront payments, and other procedures for Auction 110.  </w:t>
      </w:r>
      <w:r>
        <w:t>Bidding in Auction 110 is scheduled to begin on October 5, 2021.</w:t>
      </w:r>
      <w:r w:rsidR="00D94A9B">
        <w:t xml:space="preserve">  The window for submitting a short-form application to participate in </w:t>
      </w:r>
      <w:r w:rsidR="00A15E5A">
        <w:t xml:space="preserve">Auction 110 </w:t>
      </w:r>
      <w:r w:rsidR="00AA6F26">
        <w:t>ended</w:t>
      </w:r>
      <w:r w:rsidR="00A15E5A">
        <w:t xml:space="preserve"> on July 21, 2021.</w:t>
      </w:r>
    </w:p>
    <w:p w:rsidR="00AF78B2" w:rsidP="00547DC2" w14:paraId="67220489" w14:textId="18C38669">
      <w:pPr>
        <w:pStyle w:val="ParaNum"/>
        <w:widowControl/>
      </w:pPr>
      <w:r>
        <w:t xml:space="preserve">Auction 110 will offer 4,060 new flexible-use licenses for spectrum in the </w:t>
      </w:r>
      <w:r w:rsidRPr="004F0F5E" w:rsidR="00F939E2">
        <w:rPr>
          <w:snapToGrid/>
        </w:rPr>
        <w:t>3.45–3.55</w:t>
      </w:r>
      <w:r w:rsidR="00F939E2">
        <w:t xml:space="preserve"> GHz band (</w:t>
      </w:r>
      <w:r>
        <w:t>3.45 GHz band</w:t>
      </w:r>
      <w:r w:rsidR="00F939E2">
        <w:t>)</w:t>
      </w:r>
      <w:r>
        <w:t xml:space="preserve"> throughout the contiguous United States.</w:t>
      </w:r>
      <w:r>
        <w:rPr>
          <w:rStyle w:val="FootnoteReference"/>
        </w:rPr>
        <w:footnoteReference w:id="4"/>
      </w:r>
      <w:r>
        <w:t xml:space="preserve">  The 100 megahertz of spectrum in the band will be licensed on an unpaired basis and divided into ten 10-megahertz blocks in </w:t>
      </w:r>
      <w:r w:rsidR="0015110F">
        <w:t xml:space="preserve">the </w:t>
      </w:r>
      <w:r w:rsidR="00394EA3">
        <w:t>PEA</w:t>
      </w:r>
      <w:r w:rsidR="0015110F">
        <w:t>s</w:t>
      </w:r>
      <w:r>
        <w:t xml:space="preserve"> located in the contiguous 48 states and the District of Columbia.</w:t>
      </w:r>
      <w:r>
        <w:rPr>
          <w:rStyle w:val="FootnoteReference"/>
        </w:rPr>
        <w:footnoteReference w:id="5"/>
      </w:r>
      <w:r>
        <w:t xml:space="preserve">  These 10-megahertz blocks </w:t>
      </w:r>
      <w:r w:rsidR="00083DBB">
        <w:t>will be</w:t>
      </w:r>
      <w:r>
        <w:t xml:space="preserve"> designated as A through J.</w:t>
      </w:r>
      <w:r>
        <w:rPr>
          <w:rStyle w:val="FootnoteReference"/>
        </w:rPr>
        <w:footnoteReference w:id="6"/>
      </w:r>
    </w:p>
    <w:p w:rsidR="00C014D1" w:rsidP="00547DC2" w14:paraId="44A83412" w14:textId="13701C64">
      <w:pPr>
        <w:pStyle w:val="ParaNum"/>
        <w:widowControl/>
      </w:pPr>
      <w:r>
        <w:t xml:space="preserve">In most PEAs, new licensees generally will have unrestricted use of all ten frequency blocks.  </w:t>
      </w:r>
      <w:r w:rsidR="000B3AC7">
        <w:t xml:space="preserve">Certain </w:t>
      </w:r>
      <w:r w:rsidR="009C2334">
        <w:t>blocks</w:t>
      </w:r>
      <w:r w:rsidR="000B3AC7">
        <w:t xml:space="preserve"> in the 3.45 GHz band are subject to cooperative sharing requirements, as described in the </w:t>
      </w:r>
      <w:r w:rsidR="000B3AC7">
        <w:rPr>
          <w:i/>
          <w:iCs/>
        </w:rPr>
        <w:t xml:space="preserve">3.45 </w:t>
      </w:r>
      <w:r w:rsidRPr="00154729" w:rsidR="000B3AC7">
        <w:rPr>
          <w:i/>
          <w:iCs/>
        </w:rPr>
        <w:t>GHz</w:t>
      </w:r>
      <w:r w:rsidR="000B3AC7">
        <w:rPr>
          <w:i/>
          <w:iCs/>
        </w:rPr>
        <w:t xml:space="preserve"> Second Report and Order</w:t>
      </w:r>
      <w:r w:rsidRPr="00355598" w:rsidR="000B3AC7">
        <w:t>,</w:t>
      </w:r>
      <w:r>
        <w:rPr>
          <w:rStyle w:val="FootnoteReference"/>
        </w:rPr>
        <w:footnoteReference w:id="7"/>
      </w:r>
      <w:r w:rsidR="000B3AC7">
        <w:t xml:space="preserve"> and the Public Notice issued</w:t>
      </w:r>
      <w:r w:rsidRPr="00FE5789" w:rsidR="000B3AC7">
        <w:t xml:space="preserve"> jointly by the Commission, through </w:t>
      </w:r>
      <w:r w:rsidRPr="00FE5789" w:rsidR="7A50EAFD">
        <w:t>WTB</w:t>
      </w:r>
      <w:r w:rsidRPr="00FE5789" w:rsidR="000B3AC7">
        <w:t>, and the National Telecommunications and Information Administration</w:t>
      </w:r>
      <w:r w:rsidR="000B3AC7">
        <w:t xml:space="preserve"> </w:t>
      </w:r>
      <w:r w:rsidR="000B3AC7">
        <w:t>(NTIA).</w:t>
      </w:r>
      <w:r>
        <w:rPr>
          <w:rStyle w:val="FootnoteReference"/>
        </w:rPr>
        <w:footnoteReference w:id="8"/>
      </w:r>
      <w:r w:rsidR="000B3AC7">
        <w:t xml:space="preserve">  Under this cooperative sharing framework, existing federal users are prohibited from causing harmful interference to non-federal operations, except in limited circumstances and locations—Cooperative Planning Areas</w:t>
      </w:r>
      <w:r w:rsidR="00997B8B">
        <w:t xml:space="preserve"> (CPAs)</w:t>
      </w:r>
      <w:r w:rsidR="000B3AC7">
        <w:t xml:space="preserve"> and Periodic Use Areas</w:t>
      </w:r>
      <w:r w:rsidR="00997B8B">
        <w:t xml:space="preserve"> (PUAs)</w:t>
      </w:r>
      <w:r w:rsidR="000B3AC7">
        <w:t xml:space="preserve">—where </w:t>
      </w:r>
      <w:r w:rsidRPr="00115E2E" w:rsidR="008B4807">
        <w:t>non-federal systems will not be entitled to protection against harmful interference from federal operations</w:t>
      </w:r>
      <w:r w:rsidR="000B3AC7">
        <w:t>.</w:t>
      </w:r>
      <w:r>
        <w:rPr>
          <w:rStyle w:val="FootnoteReference"/>
        </w:rPr>
        <w:footnoteReference w:id="9"/>
      </w:r>
      <w:r w:rsidR="000B3AC7">
        <w:t xml:space="preserve">  </w:t>
      </w:r>
      <w:r w:rsidR="0097157C">
        <w:t xml:space="preserve">In PEAs that cover, wholly or in part, </w:t>
      </w:r>
      <w:r w:rsidR="00997B8B">
        <w:t>CPA</w:t>
      </w:r>
      <w:r w:rsidR="0097157C">
        <w:t>s or P</w:t>
      </w:r>
      <w:r w:rsidR="00997B8B">
        <w:t>UA</w:t>
      </w:r>
      <w:r w:rsidR="0097157C">
        <w:t>s</w:t>
      </w:r>
      <w:r w:rsidR="000B3AC7">
        <w:t>, incumbent federal station operators</w:t>
      </w:r>
      <w:r>
        <w:rPr>
          <w:rStyle w:val="FootnoteReference"/>
        </w:rPr>
        <w:footnoteReference w:id="10"/>
      </w:r>
      <w:r w:rsidR="000B3AC7">
        <w:t xml:space="preserve"> and new flexible-use </w:t>
      </w:r>
      <w:r w:rsidR="009C2334">
        <w:t>licensees</w:t>
      </w:r>
      <w:r w:rsidR="000B3AC7">
        <w:t xml:space="preserve"> must coordinate with each other to facilitate shared use of the band in these specified areas and during specified time periods as described in the </w:t>
      </w:r>
      <w:r w:rsidRPr="00DA2EE7" w:rsidR="000B3AC7">
        <w:rPr>
          <w:i/>
          <w:iCs/>
        </w:rPr>
        <w:t>3.45 GHz Second Report and Order</w:t>
      </w:r>
      <w:r w:rsidR="000B3AC7">
        <w:t>.</w:t>
      </w:r>
      <w:r>
        <w:rPr>
          <w:rStyle w:val="FootnoteReference"/>
        </w:rPr>
        <w:footnoteReference w:id="11"/>
      </w:r>
    </w:p>
    <w:p w:rsidR="00AF78B2" w:rsidP="00547DC2" w14:paraId="0C52D87D" w14:textId="63E30494">
      <w:pPr>
        <w:pStyle w:val="ParaNum"/>
        <w:widowControl/>
      </w:pPr>
      <w:r>
        <w:t>In some of the PEAs where coordination is required, all ten blocks will be subject to the same restrictions</w:t>
      </w:r>
      <w:r w:rsidR="00C24AEC">
        <w:t>.</w:t>
      </w:r>
      <w:r>
        <w:t xml:space="preserve">  </w:t>
      </w:r>
      <w:r w:rsidR="00322289">
        <w:t>I</w:t>
      </w:r>
      <w:r w:rsidR="00284989">
        <w:t>n</w:t>
      </w:r>
      <w:r>
        <w:t xml:space="preserve"> others</w:t>
      </w:r>
      <w:r w:rsidR="00547F21">
        <w:t>,</w:t>
      </w:r>
      <w:r>
        <w:t xml:space="preserve"> the restrictions </w:t>
      </w:r>
      <w:r w:rsidR="00A0740B">
        <w:t>will</w:t>
      </w:r>
      <w:r>
        <w:t xml:space="preserve"> vary depending upon the frequency block</w:t>
      </w:r>
      <w:r w:rsidR="00966EA5">
        <w:t>.  S</w:t>
      </w:r>
      <w:r>
        <w:t>pecifically, in some PEAs subject to coordination with federal incumbents, the A through D blocks may be subject to different restrictions than the E through J blocks.</w:t>
      </w:r>
      <w:r>
        <w:rPr>
          <w:rStyle w:val="FootnoteReference"/>
        </w:rPr>
        <w:footnoteReference w:id="12"/>
      </w:r>
      <w:r w:rsidR="00284989">
        <w:t xml:space="preserve">  Accordingly, the </w:t>
      </w:r>
      <w:r w:rsidRPr="00966EA5" w:rsidR="00284989">
        <w:rPr>
          <w:i/>
          <w:iCs/>
        </w:rPr>
        <w:t>Auction 110 Procedures Public Notice</w:t>
      </w:r>
      <w:r w:rsidR="00284989">
        <w:t xml:space="preserve"> established bidding categories as follows: </w:t>
      </w:r>
      <w:r w:rsidR="00FA5517">
        <w:t xml:space="preserve"> </w:t>
      </w:r>
      <w:r w:rsidR="00284989">
        <w:t xml:space="preserve">in PEAs where all ten blocks </w:t>
      </w:r>
      <w:r w:rsidR="00531AAE">
        <w:t xml:space="preserve">would </w:t>
      </w:r>
      <w:r w:rsidR="00284989">
        <w:t xml:space="preserve">either </w:t>
      </w:r>
      <w:r w:rsidR="00531AAE">
        <w:t xml:space="preserve">be </w:t>
      </w:r>
      <w:r w:rsidR="00284989">
        <w:t xml:space="preserve">unrestricted or all subject to the same restrictions, the ten blocks </w:t>
      </w:r>
      <w:r w:rsidR="00636CC7">
        <w:t xml:space="preserve">would </w:t>
      </w:r>
      <w:r w:rsidR="00284989">
        <w:t>be considered Category 1, or “Cat1.”</w:t>
      </w:r>
      <w:r>
        <w:rPr>
          <w:rStyle w:val="FootnoteReference"/>
        </w:rPr>
        <w:footnoteReference w:id="13"/>
      </w:r>
      <w:r w:rsidR="00284989">
        <w:t xml:space="preserve">  In PEAs where the </w:t>
      </w:r>
      <w:r w:rsidR="00827129">
        <w:t xml:space="preserve">restrictions </w:t>
      </w:r>
      <w:r w:rsidR="00636CC7">
        <w:t xml:space="preserve">would </w:t>
      </w:r>
      <w:r w:rsidR="00827129">
        <w:t xml:space="preserve">differ among the ten blocks according to the frequency, the four blocks A through D </w:t>
      </w:r>
      <w:r w:rsidR="007E083C">
        <w:t xml:space="preserve">would </w:t>
      </w:r>
      <w:r w:rsidR="00827129">
        <w:t xml:space="preserve">be considered Category 1, or “Cat1,” while the six blocks E through J </w:t>
      </w:r>
      <w:r w:rsidR="001C4A91">
        <w:t xml:space="preserve">would </w:t>
      </w:r>
      <w:r w:rsidR="00827129">
        <w:t>be considered Category 2, or “Cat2,” for bidding.</w:t>
      </w:r>
      <w:r>
        <w:rPr>
          <w:rStyle w:val="FootnoteReference"/>
        </w:rPr>
        <w:footnoteReference w:id="14"/>
      </w:r>
      <w:r w:rsidR="00284989">
        <w:t xml:space="preserve"> </w:t>
      </w:r>
      <w:r w:rsidR="00864530">
        <w:t xml:space="preserve"> Attachment A to the </w:t>
      </w:r>
      <w:r w:rsidR="00864530">
        <w:rPr>
          <w:i/>
          <w:iCs/>
        </w:rPr>
        <w:t>Auction 110 Procedures Notice</w:t>
      </w:r>
      <w:r>
        <w:rPr>
          <w:rStyle w:val="FootnoteReference"/>
          <w:i/>
          <w:iCs/>
        </w:rPr>
        <w:footnoteReference w:id="15"/>
      </w:r>
      <w:r w:rsidR="00864530">
        <w:rPr>
          <w:i/>
          <w:iCs/>
        </w:rPr>
        <w:t xml:space="preserve"> </w:t>
      </w:r>
      <w:r w:rsidR="00864530">
        <w:t xml:space="preserve">identifies </w:t>
      </w:r>
      <w:r w:rsidR="004E123D">
        <w:t xml:space="preserve">in </w:t>
      </w:r>
      <w:r w:rsidR="00864530">
        <w:t>which PEAs</w:t>
      </w:r>
      <w:r w:rsidR="004E123D">
        <w:t xml:space="preserve"> all ten blocks are considered Cat1, and in which PEA</w:t>
      </w:r>
      <w:r w:rsidR="00D41CE5">
        <w:t>s</w:t>
      </w:r>
      <w:r w:rsidR="004E123D">
        <w:t xml:space="preserve"> </w:t>
      </w:r>
      <w:r w:rsidR="00FF6CC7">
        <w:t>for</w:t>
      </w:r>
      <w:r w:rsidR="004E123D">
        <w:t xml:space="preserve"> blocks E through J are considered Cat2.</w:t>
      </w:r>
    </w:p>
    <w:bookmarkEnd w:id="0"/>
    <w:p w:rsidR="00FD0E04" w:rsidP="00F60FA0" w14:paraId="19C4658D" w14:textId="330326FA">
      <w:pPr>
        <w:pStyle w:val="ParaNum"/>
        <w:widowControl/>
      </w:pPr>
      <w:r>
        <w:t>The updated</w:t>
      </w:r>
      <w:r w:rsidR="009F4C11">
        <w:t xml:space="preserve"> </w:t>
      </w:r>
      <w:r>
        <w:t>“</w:t>
      </w:r>
      <w:r w:rsidR="009F4C11">
        <w:t>Attachment A</w:t>
      </w:r>
      <w:r>
        <w:t>” file</w:t>
      </w:r>
      <w:r w:rsidR="009F4C11">
        <w:t xml:space="preserve"> </w:t>
      </w:r>
      <w:r w:rsidR="00EA2C41">
        <w:t>corrects</w:t>
      </w:r>
      <w:r w:rsidR="009F4C11">
        <w:t xml:space="preserve"> </w:t>
      </w:r>
      <w:r w:rsidR="00926BD5">
        <w:t xml:space="preserve">an error </w:t>
      </w:r>
      <w:r w:rsidR="009F4C11">
        <w:t xml:space="preserve">to accurately indicate </w:t>
      </w:r>
      <w:r w:rsidR="004E123D">
        <w:t xml:space="preserve">that </w:t>
      </w:r>
      <w:r w:rsidR="009F4C11">
        <w:t>coordination requirements apply to both the upper six blocks (Category 2 blocks E-J) and the lower four blocks (Category 1 blocks A-D)</w:t>
      </w:r>
      <w:r w:rsidR="004E123D">
        <w:t xml:space="preserve"> in PEA </w:t>
      </w:r>
      <w:r w:rsidR="00341D83">
        <w:t>240 (Charlottesville, VA)</w:t>
      </w:r>
      <w:r w:rsidR="009F4C11">
        <w:t>.</w:t>
      </w:r>
      <w:r w:rsidR="008041EA">
        <w:t xml:space="preserve">  </w:t>
      </w:r>
      <w:r w:rsidR="00561DFE">
        <w:t>Previous versions of the</w:t>
      </w:r>
      <w:r w:rsidR="00E268CD">
        <w:t xml:space="preserve"> </w:t>
      </w:r>
      <w:r w:rsidRPr="00B94BDA" w:rsidR="00E268CD">
        <w:t>“Attachment A” file</w:t>
      </w:r>
      <w:r w:rsidR="00E268CD">
        <w:t xml:space="preserve"> originally indicated that only the Cat1 blocks</w:t>
      </w:r>
      <w:r w:rsidR="00561DFE">
        <w:t xml:space="preserve"> within </w:t>
      </w:r>
      <w:r w:rsidR="00E10364">
        <w:t>this PEA</w:t>
      </w:r>
      <w:r w:rsidR="00E268CD">
        <w:t xml:space="preserve"> carr</w:t>
      </w:r>
      <w:r w:rsidR="0059290F">
        <w:t>y</w:t>
      </w:r>
      <w:r w:rsidR="00E268CD">
        <w:t xml:space="preserve"> requirements for coordination with federal entities, which is incorrect.  Both categories have restrictions—</w:t>
      </w:r>
      <w:r w:rsidR="00C238B0">
        <w:t xml:space="preserve">in certain geographic portions of </w:t>
      </w:r>
      <w:r w:rsidR="00E268CD">
        <w:t xml:space="preserve">the </w:t>
      </w:r>
      <w:r w:rsidR="00C238B0">
        <w:t>PEA</w:t>
      </w:r>
      <w:r w:rsidR="00842923">
        <w:t>,</w:t>
      </w:r>
      <w:r w:rsidR="00C238B0">
        <w:t xml:space="preserve"> </w:t>
      </w:r>
      <w:r w:rsidR="00E268CD">
        <w:t xml:space="preserve">the Cat1 blocks are affected by the Fort Bragg </w:t>
      </w:r>
      <w:r w:rsidR="00B123E6">
        <w:t>CPA</w:t>
      </w:r>
      <w:r w:rsidRPr="00C238B0" w:rsidR="00C238B0">
        <w:t xml:space="preserve"> </w:t>
      </w:r>
      <w:r w:rsidR="00C238B0">
        <w:t>and the Dahlgren CPA &amp; PUA</w:t>
      </w:r>
      <w:r w:rsidR="0059290F">
        <w:t xml:space="preserve">, and Cat2 blocks are affected </w:t>
      </w:r>
      <w:r w:rsidR="00EE2ED7">
        <w:t xml:space="preserve">only </w:t>
      </w:r>
      <w:r w:rsidR="0059290F">
        <w:t xml:space="preserve">by overlap with </w:t>
      </w:r>
      <w:r w:rsidR="00B51641">
        <w:t xml:space="preserve">the </w:t>
      </w:r>
      <w:r w:rsidR="00C81169">
        <w:t>Dahlgren</w:t>
      </w:r>
      <w:r w:rsidR="0059290F">
        <w:t xml:space="preserve"> </w:t>
      </w:r>
      <w:r w:rsidR="005F2685">
        <w:t>CPA</w:t>
      </w:r>
      <w:r w:rsidR="008011A9">
        <w:t xml:space="preserve"> &amp; </w:t>
      </w:r>
      <w:r w:rsidR="005F2685">
        <w:t>PUA</w:t>
      </w:r>
      <w:r w:rsidR="0059290F">
        <w:t xml:space="preserve">.  Therefore, </w:t>
      </w:r>
      <w:r w:rsidR="00DE25DF">
        <w:t xml:space="preserve">in PEA </w:t>
      </w:r>
      <w:r w:rsidR="00B51641">
        <w:t>240</w:t>
      </w:r>
      <w:r w:rsidR="0059290F">
        <w:t xml:space="preserve"> a licensee for a Cat1 block </w:t>
      </w:r>
      <w:r w:rsidR="00795AAC">
        <w:t>is subject to restrictions</w:t>
      </w:r>
      <w:r w:rsidR="0059290F">
        <w:t xml:space="preserve"> owing to</w:t>
      </w:r>
      <w:r w:rsidR="00A6521F">
        <w:t xml:space="preserve"> the overlap of portions</w:t>
      </w:r>
      <w:r w:rsidR="0059290F">
        <w:t xml:space="preserve"> </w:t>
      </w:r>
      <w:r w:rsidR="0071780D">
        <w:t>the PEA</w:t>
      </w:r>
      <w:r w:rsidR="00A6521F">
        <w:t xml:space="preserve"> with</w:t>
      </w:r>
      <w:r w:rsidR="0071780D">
        <w:t xml:space="preserve"> </w:t>
      </w:r>
      <w:r w:rsidR="0059290F">
        <w:t xml:space="preserve">the Fort Bragg </w:t>
      </w:r>
      <w:r w:rsidR="00621108">
        <w:t>CPA</w:t>
      </w:r>
      <w:r w:rsidRPr="00BC384B" w:rsidR="00BC384B">
        <w:t xml:space="preserve"> </w:t>
      </w:r>
      <w:r w:rsidR="00BC384B">
        <w:t>and the Dahlgren CPA &amp; PUA</w:t>
      </w:r>
      <w:r w:rsidR="0059290F">
        <w:t xml:space="preserve">, while a Cat2 licensee is </w:t>
      </w:r>
      <w:r w:rsidR="0059442D">
        <w:t xml:space="preserve">subject to </w:t>
      </w:r>
      <w:r w:rsidR="00827252">
        <w:t>restrictions corresponding</w:t>
      </w:r>
      <w:r w:rsidR="0059290F">
        <w:t xml:space="preserve"> </w:t>
      </w:r>
      <w:r w:rsidR="00827252">
        <w:t>to</w:t>
      </w:r>
      <w:r w:rsidR="0059290F">
        <w:t xml:space="preserve"> the </w:t>
      </w:r>
      <w:r w:rsidR="007A1776">
        <w:t xml:space="preserve">Dahlgren </w:t>
      </w:r>
      <w:r w:rsidR="0059290F">
        <w:t>CPA</w:t>
      </w:r>
      <w:r w:rsidR="00B51641">
        <w:t xml:space="preserve"> &amp; </w:t>
      </w:r>
      <w:r w:rsidR="007A1776">
        <w:t>PUA</w:t>
      </w:r>
      <w:r w:rsidR="00966FEE">
        <w:t>.</w:t>
      </w:r>
      <w:r w:rsidR="00352528">
        <w:t xml:space="preserve"> </w:t>
      </w:r>
      <w:r w:rsidR="00A94614">
        <w:t xml:space="preserve"> </w:t>
      </w:r>
      <w:r w:rsidR="0059290F">
        <w:t xml:space="preserve">The auction inventory now includes a </w:t>
      </w:r>
      <w:r w:rsidR="00C77811">
        <w:t>double</w:t>
      </w:r>
      <w:r w:rsidR="0059290F">
        <w:t xml:space="preserve"> asterisk indicat</w:t>
      </w:r>
      <w:r w:rsidR="0071780D">
        <w:t>ing this change to the status of the Cat2 blocks in th</w:t>
      </w:r>
      <w:r w:rsidR="00581F74">
        <w:t>is</w:t>
      </w:r>
      <w:r w:rsidR="0071780D">
        <w:t xml:space="preserve"> PEA. </w:t>
      </w:r>
    </w:p>
    <w:p w:rsidR="00692F85" w:rsidP="00F60FA0" w14:paraId="251DDC65" w14:textId="0021C1E5">
      <w:pPr>
        <w:pStyle w:val="ParaNum"/>
        <w:widowControl/>
      </w:pPr>
      <w:r>
        <w:t xml:space="preserve">An updated version </w:t>
      </w:r>
      <w:r w:rsidR="00CC2A72">
        <w:t xml:space="preserve">of </w:t>
      </w:r>
      <w:r w:rsidRPr="00B94BDA">
        <w:t>the “Attachment A” file</w:t>
      </w:r>
      <w:r>
        <w:t xml:space="preserve"> </w:t>
      </w:r>
      <w:r w:rsidR="00B17677">
        <w:t xml:space="preserve">that includes details about the auction inventory </w:t>
      </w:r>
      <w:r w:rsidR="00CC2A72">
        <w:t xml:space="preserve">has been posted </w:t>
      </w:r>
      <w:r>
        <w:t xml:space="preserve">on the Auction 110 website at </w:t>
      </w:r>
      <w:hyperlink r:id="rId5" w:history="1">
        <w:r w:rsidRPr="00231A3C">
          <w:rPr>
            <w:rStyle w:val="Hyperlink"/>
          </w:rPr>
          <w:t>www.fcc.gov/auction/110</w:t>
        </w:r>
      </w:hyperlink>
      <w:r w:rsidRPr="00B94BDA">
        <w:t xml:space="preserve">.  </w:t>
      </w:r>
    </w:p>
    <w:p w:rsidR="004E123D" w:rsidRPr="00547DC2" w:rsidP="00926028" w14:paraId="2A181C59" w14:textId="4D3998EE">
      <w:pPr>
        <w:pStyle w:val="ParaNum"/>
        <w:widowControl/>
      </w:pPr>
      <w:r>
        <w:t xml:space="preserve">We remind interested parties that they can </w:t>
      </w:r>
      <w:r w:rsidRPr="00315914">
        <w:t xml:space="preserve">find additional information about the cooperative sharing requirements, including information about the encumbrances in specific PEAs, on </w:t>
      </w:r>
      <w:r>
        <w:t xml:space="preserve">NTIA’s 3450-3550 MHz webpage at </w:t>
      </w:r>
      <w:hyperlink r:id="rId6" w:history="1">
        <w:r w:rsidRPr="00380BD8">
          <w:rPr>
            <w:rStyle w:val="Hyperlink"/>
          </w:rPr>
          <w:t>https://www.ntia.doc.gov/category/3450-3550-mhz</w:t>
        </w:r>
      </w:hyperlink>
      <w:r w:rsidRPr="00315914">
        <w:t xml:space="preserve">.  </w:t>
      </w:r>
      <w:r>
        <w:t>Interested parties can also find additional guidance and information on federal/non-federal coordination procedures in the public notice issued jointly by NTIA and the Commission.</w:t>
      </w:r>
      <w:r>
        <w:rPr>
          <w:rStyle w:val="FootnoteReference"/>
        </w:rPr>
        <w:footnoteReference w:id="16"/>
      </w:r>
      <w:r>
        <w:t xml:space="preserve">  </w:t>
      </w:r>
    </w:p>
    <w:p w:rsidR="00076FE6" w:rsidRPr="00D45527" w:rsidP="00076FE6" w14:paraId="3185DADB" w14:textId="35ACCD62">
      <w:pPr>
        <w:pStyle w:val="ParaNum"/>
      </w:pPr>
      <w:bookmarkStart w:id="1" w:name="_Hlk505075609"/>
      <w:r w:rsidRPr="00D45527">
        <w:t>For further information concerning this proceeding, contact the offices listed below:</w:t>
      </w:r>
    </w:p>
    <w:bookmarkEnd w:id="1"/>
    <w:p w:rsidR="00076FE6" w:rsidRPr="00D45527" w:rsidP="00994A88" w14:paraId="1D2C262D" w14:textId="77777777">
      <w:pPr>
        <w:keepNext/>
        <w:keepLines/>
        <w:widowControl/>
        <w:tabs>
          <w:tab w:val="left" w:pos="1080"/>
        </w:tabs>
        <w:suppressAutoHyphens/>
        <w:rPr>
          <w:b/>
          <w:szCs w:val="22"/>
        </w:rPr>
      </w:pPr>
      <w:r w:rsidRPr="00D45527">
        <w:rPr>
          <w:b/>
          <w:szCs w:val="22"/>
        </w:rPr>
        <w:t xml:space="preserve">Mobility Division, Wireless Telecommunications Bureau </w:t>
      </w:r>
    </w:p>
    <w:p w:rsidR="00076FE6" w:rsidRPr="00D45527" w:rsidP="00994A88" w14:paraId="41C14C1D" w14:textId="77777777">
      <w:pPr>
        <w:keepNext/>
        <w:keepLines/>
        <w:widowControl/>
        <w:tabs>
          <w:tab w:val="left" w:pos="1080"/>
        </w:tabs>
        <w:suppressAutoHyphens/>
        <w:rPr>
          <w:szCs w:val="22"/>
        </w:rPr>
      </w:pPr>
    </w:p>
    <w:p w:rsidR="00D55325" w14:paraId="49574DE6" w14:textId="5EAC69C2">
      <w:pPr>
        <w:widowControl/>
        <w:suppressAutoHyphens/>
        <w:ind w:left="4320" w:hanging="4320"/>
        <w:rPr>
          <w:szCs w:val="22"/>
        </w:rPr>
      </w:pPr>
      <w:r>
        <w:rPr>
          <w:szCs w:val="22"/>
        </w:rPr>
        <w:t>3.</w:t>
      </w:r>
      <w:r w:rsidR="00DC65E9">
        <w:rPr>
          <w:szCs w:val="22"/>
        </w:rPr>
        <w:t>45</w:t>
      </w:r>
      <w:r>
        <w:rPr>
          <w:szCs w:val="22"/>
        </w:rPr>
        <w:t xml:space="preserve"> GHz</w:t>
      </w:r>
      <w:r w:rsidRPr="00D45527">
        <w:rPr>
          <w:szCs w:val="22"/>
        </w:rPr>
        <w:t xml:space="preserve"> </w:t>
      </w:r>
      <w:r>
        <w:rPr>
          <w:szCs w:val="22"/>
        </w:rPr>
        <w:t>Service</w:t>
      </w:r>
      <w:r w:rsidRPr="00D45527">
        <w:rPr>
          <w:szCs w:val="22"/>
        </w:rPr>
        <w:t xml:space="preserve"> questions:</w:t>
      </w:r>
      <w:r w:rsidRPr="00D45527">
        <w:rPr>
          <w:szCs w:val="22"/>
        </w:rPr>
        <w:tab/>
      </w:r>
      <w:r w:rsidR="00C77811">
        <w:rPr>
          <w:szCs w:val="22"/>
        </w:rPr>
        <w:t xml:space="preserve">Jon Markman at (202) 418-7090 or </w:t>
      </w:r>
    </w:p>
    <w:p w:rsidR="00994A88" w:rsidRPr="00D45527" w:rsidP="00EE3FD6" w14:paraId="2F91BE1E" w14:textId="17621DE8">
      <w:pPr>
        <w:widowControl/>
        <w:suppressAutoHyphens/>
        <w:ind w:left="4320"/>
        <w:rPr>
          <w:szCs w:val="22"/>
        </w:rPr>
      </w:pPr>
      <w:r>
        <w:rPr>
          <w:szCs w:val="22"/>
        </w:rPr>
        <w:t>Joyce Jones</w:t>
      </w:r>
      <w:r w:rsidRPr="00D45527">
        <w:rPr>
          <w:szCs w:val="22"/>
        </w:rPr>
        <w:t xml:space="preserve"> at (202) 418-</w:t>
      </w:r>
      <w:r w:rsidR="00AB03EE">
        <w:rPr>
          <w:szCs w:val="22"/>
        </w:rPr>
        <w:t>1327</w:t>
      </w:r>
    </w:p>
    <w:p w:rsidR="00076FE6" w:rsidRPr="00D45527" w:rsidP="00994A88" w14:paraId="0537469D" w14:textId="77777777">
      <w:pPr>
        <w:widowControl/>
        <w:suppressAutoHyphens/>
        <w:ind w:left="4320" w:hanging="4320"/>
        <w:rPr>
          <w:szCs w:val="22"/>
        </w:rPr>
      </w:pPr>
    </w:p>
    <w:p w:rsidR="00076FE6" w:rsidRPr="00D45527" w:rsidP="00994A88" w14:paraId="349CB3FA" w14:textId="77777777">
      <w:pPr>
        <w:widowControl/>
        <w:suppressAutoHyphens/>
        <w:ind w:left="4320" w:hanging="4320"/>
        <w:rPr>
          <w:b/>
          <w:szCs w:val="22"/>
        </w:rPr>
      </w:pPr>
      <w:r w:rsidRPr="00D45527">
        <w:rPr>
          <w:b/>
          <w:szCs w:val="22"/>
        </w:rPr>
        <w:t>Auctions Division, Office of Economics and Analytics</w:t>
      </w:r>
    </w:p>
    <w:p w:rsidR="00076FE6" w:rsidRPr="00D45527" w:rsidP="00994A88" w14:paraId="7AB14779" w14:textId="77777777">
      <w:pPr>
        <w:widowControl/>
        <w:suppressAutoHyphens/>
        <w:rPr>
          <w:b/>
          <w:szCs w:val="22"/>
        </w:rPr>
      </w:pPr>
    </w:p>
    <w:p w:rsidR="004F40FB" w:rsidRPr="00625CC5" w:rsidP="00EE3FD6" w14:paraId="100DA763" w14:textId="24767C40">
      <w:pPr>
        <w:widowControl/>
        <w:suppressAutoHyphens/>
        <w:ind w:left="4320" w:hanging="4320"/>
      </w:pPr>
      <w:r>
        <w:t>Auction legal questions:</w:t>
      </w:r>
      <w:r>
        <w:tab/>
      </w:r>
      <w:r w:rsidR="0016559C">
        <w:t>Mary Lovejoy</w:t>
      </w:r>
      <w:r>
        <w:t xml:space="preserve"> </w:t>
      </w:r>
      <w:r w:rsidR="00625CC5">
        <w:t xml:space="preserve">or Andrew McArdell </w:t>
      </w:r>
      <w:r>
        <w:t>at (202) 418-</w:t>
      </w:r>
      <w:r w:rsidR="00625CC5">
        <w:t>0660</w:t>
      </w:r>
      <w:r w:rsidR="00994A88">
        <w:t xml:space="preserve"> </w:t>
      </w:r>
    </w:p>
    <w:p w:rsidR="00BD346D" w:rsidP="00BD346D" w14:paraId="10E3B3D9" w14:textId="77777777"/>
    <w:p w:rsidR="000A5E01" w:rsidRPr="000A5E01" w:rsidP="00BD346D" w14:paraId="1EFD8642" w14:textId="3C2637A7">
      <w:pPr>
        <w:jc w:val="center"/>
      </w:pPr>
      <w:r w:rsidRPr="00D45527">
        <w:rPr>
          <w:b/>
          <w:szCs w:val="22"/>
        </w:rPr>
        <w:t>- 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14A5CF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940CFF" w14:paraId="38135E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56426E63" w14:textId="422A905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44C05D4E" w14:textId="12873A5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12FA" w14:paraId="25A92196" w14:textId="77777777">
      <w:r>
        <w:separator/>
      </w:r>
    </w:p>
  </w:footnote>
  <w:footnote w:type="continuationSeparator" w:id="1">
    <w:p w:rsidR="007F12FA" w14:paraId="4294E6CD" w14:textId="77777777">
      <w:pPr>
        <w:rPr>
          <w:sz w:val="20"/>
        </w:rPr>
      </w:pPr>
      <w:r>
        <w:rPr>
          <w:sz w:val="20"/>
        </w:rPr>
        <w:t xml:space="preserve">(Continued from previous page)  </w:t>
      </w:r>
      <w:r>
        <w:rPr>
          <w:sz w:val="20"/>
        </w:rPr>
        <w:separator/>
      </w:r>
    </w:p>
  </w:footnote>
  <w:footnote w:type="continuationNotice" w:id="2">
    <w:p w:rsidR="007F12FA" w14:paraId="423AF89F" w14:textId="77777777">
      <w:pPr>
        <w:jc w:val="right"/>
        <w:rPr>
          <w:sz w:val="20"/>
        </w:rPr>
      </w:pPr>
      <w:r>
        <w:rPr>
          <w:sz w:val="20"/>
        </w:rPr>
        <w:t>(continued….)</w:t>
      </w:r>
    </w:p>
  </w:footnote>
  <w:footnote w:id="3">
    <w:p w:rsidR="00AF78B2" w14:paraId="13B9ACAE" w14:textId="08D2DC82">
      <w:pPr>
        <w:pStyle w:val="FootnoteText"/>
      </w:pPr>
      <w:r>
        <w:rPr>
          <w:rStyle w:val="FootnoteReference"/>
        </w:rPr>
        <w:footnoteRef/>
      </w:r>
      <w:r>
        <w:t xml:space="preserve"> </w:t>
      </w:r>
      <w:r w:rsidRPr="00394EA3" w:rsidR="00394EA3">
        <w:rPr>
          <w:i/>
          <w:iCs/>
        </w:rPr>
        <w:t>See generally Auction of Flexible-Use Service Licenses in the 3.45–3.55 GHz Band for Next-Generation Wireless Services; Notice and Filing Requirements, Minimum Opening Bids, Upfront Payments, and Other Procedures for Auction 110</w:t>
      </w:r>
      <w:r w:rsidR="00394EA3">
        <w:t>, AU Docket No. 21-62, Public Notice, DA 21-655 (rel. June 9, 2021) (</w:t>
      </w:r>
      <w:r w:rsidRPr="00394EA3" w:rsidR="00394EA3">
        <w:rPr>
          <w:i/>
          <w:iCs/>
        </w:rPr>
        <w:t>Auction 110 Procedures Public Notice</w:t>
      </w:r>
      <w:r w:rsidR="00394EA3">
        <w:t>).</w:t>
      </w:r>
    </w:p>
  </w:footnote>
  <w:footnote w:id="4">
    <w:p w:rsidR="00394EA3" w14:paraId="1D60D8C8" w14:textId="70BD4A4C">
      <w:pPr>
        <w:pStyle w:val="FootnoteText"/>
      </w:pPr>
      <w:r>
        <w:rPr>
          <w:rStyle w:val="FootnoteReference"/>
        </w:rPr>
        <w:footnoteRef/>
      </w:r>
      <w:r>
        <w:t xml:space="preserve"> </w:t>
      </w:r>
      <w:r w:rsidRPr="00394EA3" w:rsidR="00A60DB0">
        <w:rPr>
          <w:i/>
          <w:iCs/>
        </w:rPr>
        <w:t>Auction 110 Procedures Public Notice</w:t>
      </w:r>
      <w:r>
        <w:t xml:space="preserve"> at 5, para. 7.</w:t>
      </w:r>
    </w:p>
  </w:footnote>
  <w:footnote w:id="5">
    <w:p w:rsidR="00394EA3" w14:paraId="02F8FF7F" w14:textId="4F72BB8B">
      <w:pPr>
        <w:pStyle w:val="FootnoteText"/>
      </w:pPr>
      <w:r>
        <w:rPr>
          <w:rStyle w:val="FootnoteReference"/>
        </w:rPr>
        <w:footnoteRef/>
      </w:r>
      <w:r>
        <w:t xml:space="preserve"> </w:t>
      </w:r>
      <w:r w:rsidRPr="00394EA3">
        <w:rPr>
          <w:i/>
          <w:iCs/>
        </w:rPr>
        <w:t>Id</w:t>
      </w:r>
      <w:r>
        <w:t>.</w:t>
      </w:r>
    </w:p>
  </w:footnote>
  <w:footnote w:id="6">
    <w:p w:rsidR="00AF78B2" w14:paraId="088D98A7" w14:textId="09F00B6E">
      <w:pPr>
        <w:pStyle w:val="FootnoteText"/>
      </w:pPr>
      <w:r>
        <w:rPr>
          <w:rStyle w:val="FootnoteReference"/>
        </w:rPr>
        <w:footnoteRef/>
      </w:r>
      <w:r>
        <w:t xml:space="preserve"> </w:t>
      </w:r>
      <w:r w:rsidR="00394EA3">
        <w:rPr>
          <w:i/>
          <w:iCs/>
        </w:rPr>
        <w:t>Id</w:t>
      </w:r>
      <w:r>
        <w:t>.</w:t>
      </w:r>
    </w:p>
  </w:footnote>
  <w:footnote w:id="7">
    <w:p w:rsidR="000B3AC7" w:rsidRPr="00E665CA" w:rsidP="000B3AC7" w14:paraId="1175F2A5" w14:textId="561146F5">
      <w:pPr>
        <w:pStyle w:val="FootnoteText"/>
      </w:pPr>
      <w:r>
        <w:rPr>
          <w:rStyle w:val="FootnoteReference"/>
        </w:rPr>
        <w:footnoteRef/>
      </w:r>
      <w:r>
        <w:t xml:space="preserve"> </w:t>
      </w:r>
      <w:r>
        <w:rPr>
          <w:i/>
          <w:iCs/>
        </w:rPr>
        <w:t xml:space="preserve">See </w:t>
      </w:r>
      <w:r w:rsidRPr="00181083" w:rsidR="00B522BA">
        <w:rPr>
          <w:i/>
          <w:iCs/>
        </w:rPr>
        <w:t>Facilitating Shared Use in the 3100-3550 MHz Band</w:t>
      </w:r>
      <w:r w:rsidRPr="00181083" w:rsidR="00B522BA">
        <w:t xml:space="preserve">, WT Docket No. 19-348, Second Report and Order, Order on Reconsideration, </w:t>
      </w:r>
      <w:r w:rsidR="00B522BA">
        <w:t xml:space="preserve">and </w:t>
      </w:r>
      <w:r w:rsidRPr="00181083" w:rsidR="00B522BA">
        <w:t xml:space="preserve">Order </w:t>
      </w:r>
      <w:r w:rsidR="00B522BA">
        <w:t>of Proposed</w:t>
      </w:r>
      <w:r w:rsidRPr="00181083" w:rsidR="00B522BA">
        <w:t xml:space="preserve"> Modification,</w:t>
      </w:r>
      <w:r w:rsidR="00B522BA">
        <w:t xml:space="preserve"> FCC 21-32 (Mar. 18, 2021) (</w:t>
      </w:r>
      <w:r w:rsidRPr="0095188F" w:rsidR="00B522BA">
        <w:rPr>
          <w:i/>
          <w:iCs/>
        </w:rPr>
        <w:t>3.45 GHz Second Report and Order</w:t>
      </w:r>
      <w:r w:rsidR="00B522BA">
        <w:t xml:space="preserve">) </w:t>
      </w:r>
      <w:r>
        <w:t>at</w:t>
      </w:r>
      <w:r w:rsidRPr="00C5000B">
        <w:rPr>
          <w:i/>
          <w:iCs/>
        </w:rPr>
        <w:t xml:space="preserve"> </w:t>
      </w:r>
      <w:r w:rsidR="00634CCC">
        <w:t>5-6</w:t>
      </w:r>
      <w:r>
        <w:t xml:space="preserve">, </w:t>
      </w:r>
      <w:r w:rsidR="008E6E4F">
        <w:t>11</w:t>
      </w:r>
      <w:r>
        <w:t>,</w:t>
      </w:r>
      <w:r w:rsidR="008E6E4F">
        <w:t xml:space="preserve"> 12-14,</w:t>
      </w:r>
      <w:r>
        <w:t xml:space="preserve"> paras. 8-9, 21, 23-25.</w:t>
      </w:r>
      <w:r w:rsidR="00034B0B">
        <w:t xml:space="preserve"> </w:t>
      </w:r>
      <w:r w:rsidRPr="00594C93" w:rsidR="00034B0B">
        <w:rPr>
          <w:i/>
          <w:iCs/>
        </w:rPr>
        <w:t>See also</w:t>
      </w:r>
      <w:r w:rsidR="00034B0B">
        <w:t xml:space="preserve"> </w:t>
      </w:r>
      <w:r w:rsidRPr="00394EA3" w:rsidR="00034B0B">
        <w:rPr>
          <w:i/>
          <w:iCs/>
        </w:rPr>
        <w:t>Auction 110 Procedures Public Notice</w:t>
      </w:r>
      <w:r w:rsidRPr="00594C93" w:rsidR="006D090B">
        <w:t xml:space="preserve"> at </w:t>
      </w:r>
      <w:r w:rsidR="00040C7B">
        <w:t>39</w:t>
      </w:r>
      <w:r w:rsidRPr="00795F5E" w:rsidR="00E665CA">
        <w:t>,</w:t>
      </w:r>
      <w:r w:rsidR="00E665CA">
        <w:t xml:space="preserve"> para. 115</w:t>
      </w:r>
      <w:r w:rsidR="00CE51CD">
        <w:t>.</w:t>
      </w:r>
    </w:p>
  </w:footnote>
  <w:footnote w:id="8">
    <w:p w:rsidR="000B3AC7" w:rsidP="000B3AC7" w14:paraId="74EA6DAB" w14:textId="1488224A">
      <w:pPr>
        <w:pStyle w:val="FootnoteText"/>
      </w:pPr>
      <w:r>
        <w:rPr>
          <w:rStyle w:val="FootnoteReference"/>
        </w:rPr>
        <w:footnoteRef/>
      </w:r>
      <w:r>
        <w:t xml:space="preserve"> </w:t>
      </w:r>
      <w:r w:rsidR="00CA0F1C">
        <w:rPr>
          <w:i/>
          <w:iCs/>
        </w:rPr>
        <w:t>The Federal Communications Commission and the National Telecommunications and Information Administration:  Coordination Procedures in the 3.45</w:t>
      </w:r>
      <w:r w:rsidRPr="00B65A44" w:rsidR="00CA0F1C">
        <w:rPr>
          <w:i/>
          <w:iCs/>
        </w:rPr>
        <w:t>–3.55</w:t>
      </w:r>
      <w:r w:rsidR="00CA0F1C">
        <w:t xml:space="preserve"> </w:t>
      </w:r>
      <w:r w:rsidRPr="00B65A44" w:rsidR="00CA0F1C">
        <w:rPr>
          <w:i/>
          <w:iCs/>
        </w:rPr>
        <w:t>Band</w:t>
      </w:r>
      <w:r w:rsidR="00CA0F1C">
        <w:t>, WT Docket No. 19-348, Public Notice, DA 21-645 (WTB/NTIA Jun. 2, 2021) (</w:t>
      </w:r>
      <w:r w:rsidR="00CA0F1C">
        <w:rPr>
          <w:i/>
          <w:iCs/>
        </w:rPr>
        <w:t>Joint Coordination Public Notice</w:t>
      </w:r>
      <w:r>
        <w:t>).</w:t>
      </w:r>
    </w:p>
  </w:footnote>
  <w:footnote w:id="9">
    <w:p w:rsidR="000B3AC7" w:rsidP="000B3AC7" w14:paraId="607E2F22" w14:textId="3F667C89">
      <w:pPr>
        <w:pStyle w:val="FootnoteText"/>
      </w:pPr>
      <w:r>
        <w:rPr>
          <w:rStyle w:val="FootnoteReference"/>
        </w:rPr>
        <w:footnoteRef/>
      </w:r>
      <w:r>
        <w:t xml:space="preserve"> </w:t>
      </w:r>
      <w:r w:rsidRPr="004B5C91">
        <w:rPr>
          <w:i/>
          <w:iCs/>
        </w:rPr>
        <w:t>See</w:t>
      </w:r>
      <w:r>
        <w:t xml:space="preserve"> </w:t>
      </w:r>
      <w:r>
        <w:rPr>
          <w:i/>
          <w:iCs/>
        </w:rPr>
        <w:t xml:space="preserve">3.45 GHz Second Report &amp; Order </w:t>
      </w:r>
      <w:r w:rsidRPr="00C50FD7">
        <w:t>at</w:t>
      </w:r>
      <w:r>
        <w:t xml:space="preserve"> </w:t>
      </w:r>
      <w:r w:rsidR="008E6E4F">
        <w:t>5-6, 11</w:t>
      </w:r>
      <w:r>
        <w:t xml:space="preserve">, paras. 8-9, 21.  </w:t>
      </w:r>
      <w:r w:rsidRPr="004E21E7">
        <w:t xml:space="preserve">Cooperative Planning Areas </w:t>
      </w:r>
      <w:r>
        <w:t>are areas</w:t>
      </w:r>
      <w:r w:rsidRPr="004E21E7">
        <w:t xml:space="preserve"> in which </w:t>
      </w:r>
      <w:r>
        <w:t>the DoD</w:t>
      </w:r>
      <w:r w:rsidRPr="004E21E7">
        <w:t xml:space="preserve"> anticipates that federal operations will continue after the assignment of flexible use licenses in the band; Periodic Use Areas overlap with certain Cooperative Planning Areas</w:t>
      </w:r>
      <w:r>
        <w:t xml:space="preserve"> and are areas</w:t>
      </w:r>
      <w:r w:rsidRPr="004E21E7">
        <w:t xml:space="preserve"> in which the DoD will need episodic access to all or a portion of the band in specific, limited geographic areas</w:t>
      </w:r>
      <w:r>
        <w:t xml:space="preserve">.  </w:t>
      </w:r>
      <w:r w:rsidRPr="004B5C91">
        <w:rPr>
          <w:i/>
          <w:iCs/>
        </w:rPr>
        <w:t>See</w:t>
      </w:r>
      <w:r>
        <w:t xml:space="preserve"> </w:t>
      </w:r>
      <w:r>
        <w:rPr>
          <w:i/>
          <w:iCs/>
        </w:rPr>
        <w:t>id.</w:t>
      </w:r>
      <w:r>
        <w:t xml:space="preserve"> at </w:t>
      </w:r>
      <w:r w:rsidR="00510AE3">
        <w:t>13-14</w:t>
      </w:r>
      <w:r>
        <w:t>, para. 25.</w:t>
      </w:r>
      <w:r w:rsidR="00974F2F">
        <w:t xml:space="preserve">  </w:t>
      </w:r>
      <w:r w:rsidRPr="00287310" w:rsidR="00974F2F">
        <w:t xml:space="preserve">Within Cooperative Planning and Periodic Use Areas, federal and non-federal operators may reach mutually acceptable operator-to-operator agreements to permit more extensive non-federal use by identifying and mutually agreeing upon a technical approach that mitigates the interference risk to federal operations.  </w:t>
      </w:r>
      <w:r w:rsidRPr="00287310" w:rsidR="00974F2F">
        <w:rPr>
          <w:i/>
          <w:iCs/>
        </w:rPr>
        <w:t xml:space="preserve">See id. </w:t>
      </w:r>
      <w:r w:rsidRPr="00287310" w:rsidR="00974F2F">
        <w:t>at</w:t>
      </w:r>
      <w:r w:rsidR="00974F2F">
        <w:t xml:space="preserve"> </w:t>
      </w:r>
      <w:r w:rsidR="00362E29">
        <w:t>12</w:t>
      </w:r>
      <w:r w:rsidRPr="00287310" w:rsidR="00974F2F">
        <w:t>, para. 23 (quoting note US431B to the Table of Allocations).</w:t>
      </w:r>
    </w:p>
  </w:footnote>
  <w:footnote w:id="10">
    <w:p w:rsidR="000B3AC7" w:rsidP="000B3AC7" w14:paraId="63E3087C" w14:textId="482A2F46">
      <w:pPr>
        <w:pStyle w:val="FootnoteText"/>
      </w:pPr>
      <w:r>
        <w:rPr>
          <w:rStyle w:val="FootnoteReference"/>
        </w:rPr>
        <w:footnoteRef/>
      </w:r>
      <w:r>
        <w:t xml:space="preserve"> Incumbent federal operations include all current and planned federal</w:t>
      </w:r>
      <w:r w:rsidR="00DB62CC">
        <w:t xml:space="preserve"> </w:t>
      </w:r>
      <w:r>
        <w:t xml:space="preserve">use in the </w:t>
      </w:r>
      <w:r w:rsidRPr="00924F30">
        <w:t>3.</w:t>
      </w:r>
      <w:r>
        <w:t>45</w:t>
      </w:r>
      <w:r w:rsidRPr="00924F30">
        <w:t>–3.</w:t>
      </w:r>
      <w:r>
        <w:t>55</w:t>
      </w:r>
      <w:r w:rsidRPr="00924F30">
        <w:t xml:space="preserve"> GHz band</w:t>
      </w:r>
      <w:r>
        <w:t>.</w:t>
      </w:r>
    </w:p>
  </w:footnote>
  <w:footnote w:id="11">
    <w:p w:rsidR="000B3AC7" w:rsidP="000B3AC7" w14:paraId="17C974C9" w14:textId="6FDC12EC">
      <w:pPr>
        <w:pStyle w:val="FootnoteText"/>
      </w:pPr>
      <w:r>
        <w:rPr>
          <w:rStyle w:val="FootnoteReference"/>
        </w:rPr>
        <w:footnoteRef/>
      </w:r>
      <w:r>
        <w:t xml:space="preserve"> </w:t>
      </w:r>
      <w:r w:rsidRPr="004B5C91">
        <w:rPr>
          <w:i/>
          <w:iCs/>
        </w:rPr>
        <w:t>See</w:t>
      </w:r>
      <w:r>
        <w:t xml:space="preserve"> </w:t>
      </w:r>
      <w:r>
        <w:rPr>
          <w:i/>
          <w:iCs/>
        </w:rPr>
        <w:t>3.45 GHz Second Report and Order</w:t>
      </w:r>
      <w:r>
        <w:t xml:space="preserve"> at </w:t>
      </w:r>
      <w:r w:rsidR="00510AE3">
        <w:t>12-</w:t>
      </w:r>
      <w:r w:rsidR="00F1513A">
        <w:t>23</w:t>
      </w:r>
      <w:r>
        <w:t>, paras. 23-57</w:t>
      </w:r>
      <w:r w:rsidR="00A03A84">
        <w:t>; s</w:t>
      </w:r>
      <w:r w:rsidRPr="00594C93" w:rsidR="00A922AD">
        <w:rPr>
          <w:i/>
          <w:iCs/>
        </w:rPr>
        <w:t>ee also</w:t>
      </w:r>
      <w:r w:rsidR="00A922AD">
        <w:t xml:space="preserve"> </w:t>
      </w:r>
      <w:r w:rsidRPr="00394EA3" w:rsidR="00A922AD">
        <w:rPr>
          <w:i/>
          <w:iCs/>
        </w:rPr>
        <w:t>Auction 110 Procedures Public Notice</w:t>
      </w:r>
      <w:r w:rsidR="00A922AD">
        <w:rPr>
          <w:i/>
          <w:iCs/>
        </w:rPr>
        <w:t xml:space="preserve"> </w:t>
      </w:r>
      <w:r w:rsidR="00A922AD">
        <w:t>at 5</w:t>
      </w:r>
      <w:r w:rsidR="000C4149">
        <w:t>4</w:t>
      </w:r>
      <w:r w:rsidR="00A922AD">
        <w:t>, para. 176.</w:t>
      </w:r>
    </w:p>
  </w:footnote>
  <w:footnote w:id="12">
    <w:p w:rsidR="00EE0AA3" w14:paraId="603555A4" w14:textId="68CED37B">
      <w:pPr>
        <w:pStyle w:val="FootnoteText"/>
      </w:pPr>
      <w:r>
        <w:rPr>
          <w:rStyle w:val="FootnoteReference"/>
        </w:rPr>
        <w:footnoteRef/>
      </w:r>
      <w:r>
        <w:t xml:space="preserve"> </w:t>
      </w:r>
      <w:r w:rsidR="00F465BE">
        <w:rPr>
          <w:i/>
          <w:iCs/>
        </w:rPr>
        <w:t xml:space="preserve">See Auction 110 Procedures Public Notice </w:t>
      </w:r>
      <w:r w:rsidRPr="00F465BE" w:rsidR="00F465BE">
        <w:t>at 5</w:t>
      </w:r>
      <w:r w:rsidR="000C4149">
        <w:t>4</w:t>
      </w:r>
      <w:r w:rsidRPr="00F465BE" w:rsidR="00F465BE">
        <w:t>, para</w:t>
      </w:r>
      <w:r w:rsidR="00F465BE">
        <w:t>.</w:t>
      </w:r>
      <w:r w:rsidRPr="00F465BE" w:rsidR="00F465BE">
        <w:t xml:space="preserve"> 176</w:t>
      </w:r>
      <w:r w:rsidR="0082390F">
        <w:t xml:space="preserve">; </w:t>
      </w:r>
      <w:r w:rsidRPr="0082390F" w:rsidR="0082390F">
        <w:rPr>
          <w:i/>
          <w:iCs/>
        </w:rPr>
        <w:t>see also</w:t>
      </w:r>
      <w:r w:rsidR="0082390F">
        <w:t xml:space="preserve"> </w:t>
      </w:r>
      <w:r w:rsidRPr="0095188F" w:rsidR="00A624B5">
        <w:rPr>
          <w:i/>
          <w:iCs/>
        </w:rPr>
        <w:t>3.45 GHz Second Report and Order</w:t>
      </w:r>
      <w:r w:rsidR="0095188F">
        <w:t xml:space="preserve"> </w:t>
      </w:r>
      <w:r w:rsidRPr="007161BA" w:rsidR="0082390F">
        <w:t>at 15-16, paras. 30-31</w:t>
      </w:r>
      <w:r w:rsidR="0082390F">
        <w:t>.</w:t>
      </w:r>
    </w:p>
  </w:footnote>
  <w:footnote w:id="13">
    <w:p w:rsidR="0035666D" w14:paraId="451CF665" w14:textId="6193F750">
      <w:pPr>
        <w:pStyle w:val="FootnoteText"/>
      </w:pPr>
      <w:r>
        <w:rPr>
          <w:rStyle w:val="FootnoteReference"/>
        </w:rPr>
        <w:footnoteRef/>
      </w:r>
      <w:r>
        <w:t xml:space="preserve"> </w:t>
      </w:r>
      <w:r w:rsidRPr="00827129">
        <w:rPr>
          <w:i/>
          <w:iCs/>
        </w:rPr>
        <w:t>See Auction 110 Procedures Public Notice</w:t>
      </w:r>
      <w:r>
        <w:t xml:space="preserve"> at 5</w:t>
      </w:r>
      <w:r w:rsidR="000C4149">
        <w:t>4</w:t>
      </w:r>
      <w:r>
        <w:t>, para 177</w:t>
      </w:r>
      <w:r w:rsidR="00F465BE">
        <w:t>.</w:t>
      </w:r>
    </w:p>
  </w:footnote>
  <w:footnote w:id="14">
    <w:p w:rsidR="00827129" w14:paraId="1C8F6BE4" w14:textId="6F4ADC88">
      <w:pPr>
        <w:pStyle w:val="FootnoteText"/>
      </w:pPr>
      <w:r>
        <w:rPr>
          <w:rStyle w:val="FootnoteReference"/>
        </w:rPr>
        <w:footnoteRef/>
      </w:r>
      <w:r>
        <w:t xml:space="preserve"> </w:t>
      </w:r>
      <w:r w:rsidR="0035666D">
        <w:rPr>
          <w:i/>
          <w:iCs/>
        </w:rPr>
        <w:t>Id</w:t>
      </w:r>
      <w:r>
        <w:t>.</w:t>
      </w:r>
    </w:p>
  </w:footnote>
  <w:footnote w:id="15">
    <w:p w:rsidR="00864530" w:rsidRPr="00864530" w14:paraId="41F0C57C" w14:textId="1AFB1466">
      <w:pPr>
        <w:pStyle w:val="FootnoteText"/>
      </w:pPr>
      <w:r>
        <w:rPr>
          <w:rStyle w:val="FootnoteReference"/>
        </w:rPr>
        <w:footnoteRef/>
      </w:r>
      <w:r>
        <w:t xml:space="preserve"> Available for download at </w:t>
      </w:r>
      <w:hyperlink r:id="rId1" w:history="1">
        <w:r w:rsidRPr="009C3CF8">
          <w:rPr>
            <w:rStyle w:val="Hyperlink"/>
          </w:rPr>
          <w:t>www.fcc.gov/auction/110</w:t>
        </w:r>
      </w:hyperlink>
      <w:r>
        <w:t xml:space="preserve">. </w:t>
      </w:r>
    </w:p>
  </w:footnote>
  <w:footnote w:id="16">
    <w:p w:rsidR="004E123D" w:rsidP="004E123D" w14:paraId="24AD07DB" w14:textId="77777777">
      <w:pPr>
        <w:pStyle w:val="FootnoteText"/>
      </w:pPr>
      <w:r>
        <w:rPr>
          <w:rStyle w:val="FootnoteReference"/>
        </w:rPr>
        <w:footnoteRef/>
      </w:r>
      <w:r>
        <w:t xml:space="preserve"> </w:t>
      </w:r>
      <w:r>
        <w:rPr>
          <w:i/>
          <w:iCs/>
        </w:rPr>
        <w:t>See Joint Coordination Public Notice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14C65BDA" w14:textId="5F8FD01E">
    <w:pPr>
      <w:tabs>
        <w:tab w:val="center" w:pos="4680"/>
        <w:tab w:val="right" w:pos="9360"/>
      </w:tabs>
    </w:pPr>
    <w:r>
      <w:rPr>
        <w:b/>
      </w:rPr>
      <w:tab/>
      <w:t>Federal Communications Commission</w:t>
    </w:r>
    <w:r>
      <w:rPr>
        <w:b/>
      </w:rPr>
      <w:tab/>
    </w:r>
    <w:r w:rsidR="00064BB6">
      <w:rPr>
        <w:b/>
      </w:rPr>
      <w:t>DA 21-</w:t>
    </w:r>
    <w:r w:rsidR="00164239">
      <w:rPr>
        <w:b/>
      </w:rPr>
      <w:t>1132</w:t>
    </w:r>
  </w:p>
  <w:p w:rsidR="00940CFF" w14:paraId="18BE8520" w14:textId="70D57A4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40CFF" w14:paraId="6005E8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68B7D450" w14:textId="7EF734C4">
    <w:pPr>
      <w:pStyle w:val="Header"/>
    </w:pPr>
    <w:r>
      <w:rPr>
        <w:noProof/>
        <w:snapToGrid/>
      </w:rPr>
      <w:drawing>
        <wp:inline distT="0" distB="0" distL="0" distR="0">
          <wp:extent cx="5947410" cy="143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31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32508B5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2AF4450"/>
    <w:multiLevelType w:val="hybridMultilevel"/>
    <w:tmpl w:val="02D636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FB"/>
    <w:rsid w:val="000010E8"/>
    <w:rsid w:val="00001948"/>
    <w:rsid w:val="000044A9"/>
    <w:rsid w:val="00007D18"/>
    <w:rsid w:val="0001039B"/>
    <w:rsid w:val="00012428"/>
    <w:rsid w:val="0001251A"/>
    <w:rsid w:val="000148CD"/>
    <w:rsid w:val="00016F79"/>
    <w:rsid w:val="0002324F"/>
    <w:rsid w:val="0002469E"/>
    <w:rsid w:val="00025B99"/>
    <w:rsid w:val="000302AA"/>
    <w:rsid w:val="00030B55"/>
    <w:rsid w:val="0003348A"/>
    <w:rsid w:val="00034B0B"/>
    <w:rsid w:val="00034B86"/>
    <w:rsid w:val="00034E18"/>
    <w:rsid w:val="00037E27"/>
    <w:rsid w:val="00040C7B"/>
    <w:rsid w:val="000428A8"/>
    <w:rsid w:val="0004391A"/>
    <w:rsid w:val="000467C1"/>
    <w:rsid w:val="00047487"/>
    <w:rsid w:val="00050B8B"/>
    <w:rsid w:val="000526C8"/>
    <w:rsid w:val="00052756"/>
    <w:rsid w:val="0005500C"/>
    <w:rsid w:val="00055B25"/>
    <w:rsid w:val="00061114"/>
    <w:rsid w:val="00063303"/>
    <w:rsid w:val="00064BB6"/>
    <w:rsid w:val="00064D46"/>
    <w:rsid w:val="000706EC"/>
    <w:rsid w:val="00076D39"/>
    <w:rsid w:val="00076FE6"/>
    <w:rsid w:val="00077B91"/>
    <w:rsid w:val="00080E1E"/>
    <w:rsid w:val="0008263A"/>
    <w:rsid w:val="00082D8E"/>
    <w:rsid w:val="0008333F"/>
    <w:rsid w:val="00083DBB"/>
    <w:rsid w:val="00084E99"/>
    <w:rsid w:val="000855F0"/>
    <w:rsid w:val="00090FB8"/>
    <w:rsid w:val="00092518"/>
    <w:rsid w:val="0009370B"/>
    <w:rsid w:val="00093A56"/>
    <w:rsid w:val="0009732E"/>
    <w:rsid w:val="0009736E"/>
    <w:rsid w:val="000976D5"/>
    <w:rsid w:val="000A2B5A"/>
    <w:rsid w:val="000A33AB"/>
    <w:rsid w:val="000A4E4D"/>
    <w:rsid w:val="000A5E01"/>
    <w:rsid w:val="000A79F5"/>
    <w:rsid w:val="000A7F22"/>
    <w:rsid w:val="000B036D"/>
    <w:rsid w:val="000B3AC7"/>
    <w:rsid w:val="000B47B3"/>
    <w:rsid w:val="000B4AB7"/>
    <w:rsid w:val="000B507B"/>
    <w:rsid w:val="000B7C53"/>
    <w:rsid w:val="000C0B04"/>
    <w:rsid w:val="000C3745"/>
    <w:rsid w:val="000C4149"/>
    <w:rsid w:val="000C486A"/>
    <w:rsid w:val="000C665A"/>
    <w:rsid w:val="000D0247"/>
    <w:rsid w:val="000E0F0F"/>
    <w:rsid w:val="000E1C84"/>
    <w:rsid w:val="000E293C"/>
    <w:rsid w:val="000E3850"/>
    <w:rsid w:val="000E5677"/>
    <w:rsid w:val="000E6FEC"/>
    <w:rsid w:val="000F42F6"/>
    <w:rsid w:val="000F4BD5"/>
    <w:rsid w:val="000F7424"/>
    <w:rsid w:val="001015B5"/>
    <w:rsid w:val="00104B30"/>
    <w:rsid w:val="00105A0E"/>
    <w:rsid w:val="00106AED"/>
    <w:rsid w:val="001114AD"/>
    <w:rsid w:val="00113664"/>
    <w:rsid w:val="00113E54"/>
    <w:rsid w:val="00113E8B"/>
    <w:rsid w:val="00115450"/>
    <w:rsid w:val="00115E2E"/>
    <w:rsid w:val="00116141"/>
    <w:rsid w:val="00117340"/>
    <w:rsid w:val="0012443C"/>
    <w:rsid w:val="00126ECA"/>
    <w:rsid w:val="0013006C"/>
    <w:rsid w:val="00132A70"/>
    <w:rsid w:val="00141B1F"/>
    <w:rsid w:val="001422CC"/>
    <w:rsid w:val="00143507"/>
    <w:rsid w:val="00143DCC"/>
    <w:rsid w:val="001446F0"/>
    <w:rsid w:val="001467AE"/>
    <w:rsid w:val="0015110F"/>
    <w:rsid w:val="00152A84"/>
    <w:rsid w:val="00154287"/>
    <w:rsid w:val="00154729"/>
    <w:rsid w:val="00154BC3"/>
    <w:rsid w:val="00164239"/>
    <w:rsid w:val="0016559C"/>
    <w:rsid w:val="00165605"/>
    <w:rsid w:val="00165FFC"/>
    <w:rsid w:val="00167136"/>
    <w:rsid w:val="001671D0"/>
    <w:rsid w:val="001677C8"/>
    <w:rsid w:val="001707F8"/>
    <w:rsid w:val="00170B9F"/>
    <w:rsid w:val="0017233B"/>
    <w:rsid w:val="001743F8"/>
    <w:rsid w:val="00181083"/>
    <w:rsid w:val="00184FD3"/>
    <w:rsid w:val="00186FA3"/>
    <w:rsid w:val="001871FE"/>
    <w:rsid w:val="00187776"/>
    <w:rsid w:val="00187DC9"/>
    <w:rsid w:val="00192A10"/>
    <w:rsid w:val="001935EA"/>
    <w:rsid w:val="00196674"/>
    <w:rsid w:val="001A47D3"/>
    <w:rsid w:val="001A6E06"/>
    <w:rsid w:val="001A7F44"/>
    <w:rsid w:val="001B0DD3"/>
    <w:rsid w:val="001B241E"/>
    <w:rsid w:val="001B2CEA"/>
    <w:rsid w:val="001B7E92"/>
    <w:rsid w:val="001C02DB"/>
    <w:rsid w:val="001C4260"/>
    <w:rsid w:val="001C4A91"/>
    <w:rsid w:val="001C6623"/>
    <w:rsid w:val="001C68EB"/>
    <w:rsid w:val="001D3D24"/>
    <w:rsid w:val="001D475E"/>
    <w:rsid w:val="001D53A4"/>
    <w:rsid w:val="001D67F4"/>
    <w:rsid w:val="001E11E6"/>
    <w:rsid w:val="001E1A59"/>
    <w:rsid w:val="001E3E0C"/>
    <w:rsid w:val="001E5A08"/>
    <w:rsid w:val="001E6871"/>
    <w:rsid w:val="001E72BE"/>
    <w:rsid w:val="001F202E"/>
    <w:rsid w:val="001F2887"/>
    <w:rsid w:val="001F3BF7"/>
    <w:rsid w:val="001F4FF0"/>
    <w:rsid w:val="001F5210"/>
    <w:rsid w:val="001F5311"/>
    <w:rsid w:val="002020C2"/>
    <w:rsid w:val="0020229C"/>
    <w:rsid w:val="00203B9C"/>
    <w:rsid w:val="0021387E"/>
    <w:rsid w:val="002141F3"/>
    <w:rsid w:val="00214ABE"/>
    <w:rsid w:val="00220659"/>
    <w:rsid w:val="002206C9"/>
    <w:rsid w:val="00224F42"/>
    <w:rsid w:val="00227368"/>
    <w:rsid w:val="002275AB"/>
    <w:rsid w:val="00227D5E"/>
    <w:rsid w:val="00230E42"/>
    <w:rsid w:val="00231A3C"/>
    <w:rsid w:val="00232112"/>
    <w:rsid w:val="002336B6"/>
    <w:rsid w:val="0023731D"/>
    <w:rsid w:val="002426F9"/>
    <w:rsid w:val="00243FF6"/>
    <w:rsid w:val="002478DB"/>
    <w:rsid w:val="00250C64"/>
    <w:rsid w:val="0025241F"/>
    <w:rsid w:val="002540BA"/>
    <w:rsid w:val="002565C7"/>
    <w:rsid w:val="002575BE"/>
    <w:rsid w:val="00257EF3"/>
    <w:rsid w:val="002607F7"/>
    <w:rsid w:val="00261E78"/>
    <w:rsid w:val="00262C57"/>
    <w:rsid w:val="0026482B"/>
    <w:rsid w:val="00266E8B"/>
    <w:rsid w:val="00270036"/>
    <w:rsid w:val="00271635"/>
    <w:rsid w:val="00272F6C"/>
    <w:rsid w:val="00276FBF"/>
    <w:rsid w:val="00284989"/>
    <w:rsid w:val="00287310"/>
    <w:rsid w:val="00291E7E"/>
    <w:rsid w:val="00294239"/>
    <w:rsid w:val="00294D4D"/>
    <w:rsid w:val="002973D3"/>
    <w:rsid w:val="002A02A8"/>
    <w:rsid w:val="002A0B6D"/>
    <w:rsid w:val="002A12EC"/>
    <w:rsid w:val="002A1934"/>
    <w:rsid w:val="002A2D2F"/>
    <w:rsid w:val="002A5FEC"/>
    <w:rsid w:val="002A6520"/>
    <w:rsid w:val="002B12AF"/>
    <w:rsid w:val="002B5C2F"/>
    <w:rsid w:val="002B6097"/>
    <w:rsid w:val="002B60BA"/>
    <w:rsid w:val="002B7383"/>
    <w:rsid w:val="002C2D17"/>
    <w:rsid w:val="002C3663"/>
    <w:rsid w:val="002C53A3"/>
    <w:rsid w:val="002C55B8"/>
    <w:rsid w:val="002C6315"/>
    <w:rsid w:val="002C7947"/>
    <w:rsid w:val="002D3153"/>
    <w:rsid w:val="002D48C7"/>
    <w:rsid w:val="002D782E"/>
    <w:rsid w:val="002E034A"/>
    <w:rsid w:val="002E1E3B"/>
    <w:rsid w:val="002E40ED"/>
    <w:rsid w:val="00303A1C"/>
    <w:rsid w:val="00303FDB"/>
    <w:rsid w:val="003065C2"/>
    <w:rsid w:val="00310EC6"/>
    <w:rsid w:val="003145FF"/>
    <w:rsid w:val="00315914"/>
    <w:rsid w:val="00320112"/>
    <w:rsid w:val="00322289"/>
    <w:rsid w:val="00322E3B"/>
    <w:rsid w:val="00323419"/>
    <w:rsid w:val="003236B1"/>
    <w:rsid w:val="00323F84"/>
    <w:rsid w:val="00324E85"/>
    <w:rsid w:val="00324F07"/>
    <w:rsid w:val="00326E7C"/>
    <w:rsid w:val="0033072E"/>
    <w:rsid w:val="003323BD"/>
    <w:rsid w:val="0033616B"/>
    <w:rsid w:val="00337893"/>
    <w:rsid w:val="00341D83"/>
    <w:rsid w:val="0034751B"/>
    <w:rsid w:val="003509B6"/>
    <w:rsid w:val="00351E40"/>
    <w:rsid w:val="00352528"/>
    <w:rsid w:val="00352F0D"/>
    <w:rsid w:val="00353645"/>
    <w:rsid w:val="00355598"/>
    <w:rsid w:val="0035666D"/>
    <w:rsid w:val="0036160D"/>
    <w:rsid w:val="00361CB3"/>
    <w:rsid w:val="00362E29"/>
    <w:rsid w:val="003703E3"/>
    <w:rsid w:val="003749DF"/>
    <w:rsid w:val="00377F75"/>
    <w:rsid w:val="00380BD8"/>
    <w:rsid w:val="00383274"/>
    <w:rsid w:val="00384E12"/>
    <w:rsid w:val="003869D6"/>
    <w:rsid w:val="00387FC7"/>
    <w:rsid w:val="00390DC7"/>
    <w:rsid w:val="003910A2"/>
    <w:rsid w:val="00391F56"/>
    <w:rsid w:val="00393539"/>
    <w:rsid w:val="003947FF"/>
    <w:rsid w:val="0039492B"/>
    <w:rsid w:val="00394EA3"/>
    <w:rsid w:val="003A1E5B"/>
    <w:rsid w:val="003A2802"/>
    <w:rsid w:val="003A2EF9"/>
    <w:rsid w:val="003A535A"/>
    <w:rsid w:val="003B1A9B"/>
    <w:rsid w:val="003B306C"/>
    <w:rsid w:val="003B53C5"/>
    <w:rsid w:val="003B5625"/>
    <w:rsid w:val="003C0613"/>
    <w:rsid w:val="003C417D"/>
    <w:rsid w:val="003C7057"/>
    <w:rsid w:val="003C7FD8"/>
    <w:rsid w:val="003D007B"/>
    <w:rsid w:val="003D1D32"/>
    <w:rsid w:val="003D2108"/>
    <w:rsid w:val="003D445F"/>
    <w:rsid w:val="003D664A"/>
    <w:rsid w:val="003D7412"/>
    <w:rsid w:val="003E2885"/>
    <w:rsid w:val="003E6433"/>
    <w:rsid w:val="003E7945"/>
    <w:rsid w:val="003E79D0"/>
    <w:rsid w:val="003F17D6"/>
    <w:rsid w:val="00400015"/>
    <w:rsid w:val="00405E59"/>
    <w:rsid w:val="00407146"/>
    <w:rsid w:val="00414B48"/>
    <w:rsid w:val="00414FBA"/>
    <w:rsid w:val="00416C54"/>
    <w:rsid w:val="0041765E"/>
    <w:rsid w:val="0042064B"/>
    <w:rsid w:val="0042624C"/>
    <w:rsid w:val="004302AB"/>
    <w:rsid w:val="004303A1"/>
    <w:rsid w:val="004306D3"/>
    <w:rsid w:val="00437DAE"/>
    <w:rsid w:val="00447654"/>
    <w:rsid w:val="00450898"/>
    <w:rsid w:val="004514F4"/>
    <w:rsid w:val="00453A74"/>
    <w:rsid w:val="0045466F"/>
    <w:rsid w:val="00474D77"/>
    <w:rsid w:val="0047713A"/>
    <w:rsid w:val="0048021B"/>
    <w:rsid w:val="00486D6F"/>
    <w:rsid w:val="00490757"/>
    <w:rsid w:val="00490B92"/>
    <w:rsid w:val="00494C0E"/>
    <w:rsid w:val="004958C4"/>
    <w:rsid w:val="004962CC"/>
    <w:rsid w:val="004967E4"/>
    <w:rsid w:val="004A0740"/>
    <w:rsid w:val="004A11C5"/>
    <w:rsid w:val="004A2200"/>
    <w:rsid w:val="004A23FF"/>
    <w:rsid w:val="004A2962"/>
    <w:rsid w:val="004A2CF2"/>
    <w:rsid w:val="004A319B"/>
    <w:rsid w:val="004A363F"/>
    <w:rsid w:val="004A49F9"/>
    <w:rsid w:val="004A7831"/>
    <w:rsid w:val="004A7E8A"/>
    <w:rsid w:val="004B0F9D"/>
    <w:rsid w:val="004B16EB"/>
    <w:rsid w:val="004B323E"/>
    <w:rsid w:val="004B4B2F"/>
    <w:rsid w:val="004B4CD0"/>
    <w:rsid w:val="004B507C"/>
    <w:rsid w:val="004B56CC"/>
    <w:rsid w:val="004B5C91"/>
    <w:rsid w:val="004C002A"/>
    <w:rsid w:val="004C0A0F"/>
    <w:rsid w:val="004C1C17"/>
    <w:rsid w:val="004C748B"/>
    <w:rsid w:val="004D4157"/>
    <w:rsid w:val="004D6BD7"/>
    <w:rsid w:val="004D70F4"/>
    <w:rsid w:val="004E123D"/>
    <w:rsid w:val="004E21E7"/>
    <w:rsid w:val="004E4162"/>
    <w:rsid w:val="004E701C"/>
    <w:rsid w:val="004F0F5E"/>
    <w:rsid w:val="004F1C56"/>
    <w:rsid w:val="004F2149"/>
    <w:rsid w:val="004F40FB"/>
    <w:rsid w:val="0050216E"/>
    <w:rsid w:val="00503BAA"/>
    <w:rsid w:val="0050470D"/>
    <w:rsid w:val="0050724F"/>
    <w:rsid w:val="00510AE3"/>
    <w:rsid w:val="0051135D"/>
    <w:rsid w:val="00523E47"/>
    <w:rsid w:val="00531AAE"/>
    <w:rsid w:val="005324E9"/>
    <w:rsid w:val="00533598"/>
    <w:rsid w:val="00537A81"/>
    <w:rsid w:val="005438A6"/>
    <w:rsid w:val="00544947"/>
    <w:rsid w:val="00547DC2"/>
    <w:rsid w:val="00547F21"/>
    <w:rsid w:val="005509FA"/>
    <w:rsid w:val="005525E7"/>
    <w:rsid w:val="00552DB7"/>
    <w:rsid w:val="00553A8A"/>
    <w:rsid w:val="0055774F"/>
    <w:rsid w:val="00561AA1"/>
    <w:rsid w:val="00561DFE"/>
    <w:rsid w:val="00562205"/>
    <w:rsid w:val="005624AE"/>
    <w:rsid w:val="005626CE"/>
    <w:rsid w:val="00563D60"/>
    <w:rsid w:val="0056411C"/>
    <w:rsid w:val="00565F96"/>
    <w:rsid w:val="0056609B"/>
    <w:rsid w:val="00566CBF"/>
    <w:rsid w:val="005671B3"/>
    <w:rsid w:val="00572992"/>
    <w:rsid w:val="00575EEF"/>
    <w:rsid w:val="0057664B"/>
    <w:rsid w:val="00576EE3"/>
    <w:rsid w:val="00576F36"/>
    <w:rsid w:val="0058068D"/>
    <w:rsid w:val="005808FB"/>
    <w:rsid w:val="00581BE7"/>
    <w:rsid w:val="00581F74"/>
    <w:rsid w:val="00583033"/>
    <w:rsid w:val="0058761E"/>
    <w:rsid w:val="0059290F"/>
    <w:rsid w:val="0059442D"/>
    <w:rsid w:val="005947E7"/>
    <w:rsid w:val="00594C93"/>
    <w:rsid w:val="00597654"/>
    <w:rsid w:val="005A077E"/>
    <w:rsid w:val="005A3D01"/>
    <w:rsid w:val="005A3D8E"/>
    <w:rsid w:val="005A51A1"/>
    <w:rsid w:val="005A5CC6"/>
    <w:rsid w:val="005A674B"/>
    <w:rsid w:val="005A79C5"/>
    <w:rsid w:val="005A7C65"/>
    <w:rsid w:val="005B151E"/>
    <w:rsid w:val="005B3C6B"/>
    <w:rsid w:val="005B4894"/>
    <w:rsid w:val="005B605B"/>
    <w:rsid w:val="005B6EA8"/>
    <w:rsid w:val="005C00D2"/>
    <w:rsid w:val="005C0D6E"/>
    <w:rsid w:val="005C4BC8"/>
    <w:rsid w:val="005C51F6"/>
    <w:rsid w:val="005C62B8"/>
    <w:rsid w:val="005C676A"/>
    <w:rsid w:val="005D09CB"/>
    <w:rsid w:val="005D1ECC"/>
    <w:rsid w:val="005D2D6B"/>
    <w:rsid w:val="005D3188"/>
    <w:rsid w:val="005D38C8"/>
    <w:rsid w:val="005D5C7D"/>
    <w:rsid w:val="005D72E4"/>
    <w:rsid w:val="005D7EC7"/>
    <w:rsid w:val="005E14DF"/>
    <w:rsid w:val="005E329E"/>
    <w:rsid w:val="005E34C0"/>
    <w:rsid w:val="005F0F39"/>
    <w:rsid w:val="005F1AE1"/>
    <w:rsid w:val="005F2685"/>
    <w:rsid w:val="005F2880"/>
    <w:rsid w:val="005F44FB"/>
    <w:rsid w:val="005F5E8A"/>
    <w:rsid w:val="005F7BDD"/>
    <w:rsid w:val="00601369"/>
    <w:rsid w:val="006050D3"/>
    <w:rsid w:val="00610E50"/>
    <w:rsid w:val="006111D7"/>
    <w:rsid w:val="0061655A"/>
    <w:rsid w:val="00620EF7"/>
    <w:rsid w:val="00621108"/>
    <w:rsid w:val="00623E9E"/>
    <w:rsid w:val="00625CC5"/>
    <w:rsid w:val="00627A1D"/>
    <w:rsid w:val="00631A1E"/>
    <w:rsid w:val="006325EB"/>
    <w:rsid w:val="00632888"/>
    <w:rsid w:val="00634CCC"/>
    <w:rsid w:val="00635D03"/>
    <w:rsid w:val="00635E7F"/>
    <w:rsid w:val="00636CC7"/>
    <w:rsid w:val="006379EC"/>
    <w:rsid w:val="00641944"/>
    <w:rsid w:val="00643420"/>
    <w:rsid w:val="00645FAA"/>
    <w:rsid w:val="00647C52"/>
    <w:rsid w:val="00650CF6"/>
    <w:rsid w:val="00652B4D"/>
    <w:rsid w:val="00655577"/>
    <w:rsid w:val="006565DD"/>
    <w:rsid w:val="00660D0D"/>
    <w:rsid w:val="00663B71"/>
    <w:rsid w:val="00663DDB"/>
    <w:rsid w:val="00664C3B"/>
    <w:rsid w:val="0066568F"/>
    <w:rsid w:val="00670A23"/>
    <w:rsid w:val="006741A7"/>
    <w:rsid w:val="00674277"/>
    <w:rsid w:val="006759F1"/>
    <w:rsid w:val="00675F9B"/>
    <w:rsid w:val="00680D81"/>
    <w:rsid w:val="00686F9E"/>
    <w:rsid w:val="00687C34"/>
    <w:rsid w:val="006901FF"/>
    <w:rsid w:val="00692F85"/>
    <w:rsid w:val="00694970"/>
    <w:rsid w:val="0069647E"/>
    <w:rsid w:val="00697BDF"/>
    <w:rsid w:val="006A23CA"/>
    <w:rsid w:val="006A4ABB"/>
    <w:rsid w:val="006B0E63"/>
    <w:rsid w:val="006B1C6B"/>
    <w:rsid w:val="006B757A"/>
    <w:rsid w:val="006C15CF"/>
    <w:rsid w:val="006C34FA"/>
    <w:rsid w:val="006C6192"/>
    <w:rsid w:val="006C751B"/>
    <w:rsid w:val="006C75E5"/>
    <w:rsid w:val="006C7806"/>
    <w:rsid w:val="006D090B"/>
    <w:rsid w:val="006D0B22"/>
    <w:rsid w:val="006D0FB9"/>
    <w:rsid w:val="006D1DBE"/>
    <w:rsid w:val="006D3F9F"/>
    <w:rsid w:val="006D4B01"/>
    <w:rsid w:val="006E54FD"/>
    <w:rsid w:val="006E7946"/>
    <w:rsid w:val="006F3082"/>
    <w:rsid w:val="006F5267"/>
    <w:rsid w:val="006F5296"/>
    <w:rsid w:val="007013BF"/>
    <w:rsid w:val="007014E4"/>
    <w:rsid w:val="00702213"/>
    <w:rsid w:val="00706128"/>
    <w:rsid w:val="00711012"/>
    <w:rsid w:val="00711AB4"/>
    <w:rsid w:val="00714438"/>
    <w:rsid w:val="00714945"/>
    <w:rsid w:val="00715334"/>
    <w:rsid w:val="007161BA"/>
    <w:rsid w:val="0071780D"/>
    <w:rsid w:val="00722EB6"/>
    <w:rsid w:val="00724092"/>
    <w:rsid w:val="007246AB"/>
    <w:rsid w:val="00727036"/>
    <w:rsid w:val="00730031"/>
    <w:rsid w:val="00733021"/>
    <w:rsid w:val="00735967"/>
    <w:rsid w:val="007404BA"/>
    <w:rsid w:val="0074325F"/>
    <w:rsid w:val="007442C3"/>
    <w:rsid w:val="0074791A"/>
    <w:rsid w:val="00754A50"/>
    <w:rsid w:val="007567A9"/>
    <w:rsid w:val="007615CD"/>
    <w:rsid w:val="007674D6"/>
    <w:rsid w:val="00770830"/>
    <w:rsid w:val="00771C7B"/>
    <w:rsid w:val="00773958"/>
    <w:rsid w:val="00776BEB"/>
    <w:rsid w:val="00780930"/>
    <w:rsid w:val="00781AF4"/>
    <w:rsid w:val="00783D81"/>
    <w:rsid w:val="007861CE"/>
    <w:rsid w:val="00787E4C"/>
    <w:rsid w:val="0079205C"/>
    <w:rsid w:val="00793A7C"/>
    <w:rsid w:val="00795AAC"/>
    <w:rsid w:val="00795F5E"/>
    <w:rsid w:val="0079717E"/>
    <w:rsid w:val="007977DC"/>
    <w:rsid w:val="007A1776"/>
    <w:rsid w:val="007A25DF"/>
    <w:rsid w:val="007A429F"/>
    <w:rsid w:val="007A4780"/>
    <w:rsid w:val="007A6C90"/>
    <w:rsid w:val="007B2C4C"/>
    <w:rsid w:val="007C03A7"/>
    <w:rsid w:val="007D21C7"/>
    <w:rsid w:val="007E00C0"/>
    <w:rsid w:val="007E083C"/>
    <w:rsid w:val="007E1EEB"/>
    <w:rsid w:val="007E365F"/>
    <w:rsid w:val="007E4CB4"/>
    <w:rsid w:val="007E7711"/>
    <w:rsid w:val="007E7B24"/>
    <w:rsid w:val="007F04DD"/>
    <w:rsid w:val="007F12FA"/>
    <w:rsid w:val="007F42EB"/>
    <w:rsid w:val="007F4F63"/>
    <w:rsid w:val="00800D35"/>
    <w:rsid w:val="008011A9"/>
    <w:rsid w:val="008020F6"/>
    <w:rsid w:val="00803919"/>
    <w:rsid w:val="008041EA"/>
    <w:rsid w:val="008073E6"/>
    <w:rsid w:val="00815874"/>
    <w:rsid w:val="00817B2F"/>
    <w:rsid w:val="00820B03"/>
    <w:rsid w:val="00821FB1"/>
    <w:rsid w:val="0082390F"/>
    <w:rsid w:val="00827129"/>
    <w:rsid w:val="00827252"/>
    <w:rsid w:val="00830741"/>
    <w:rsid w:val="00830A6E"/>
    <w:rsid w:val="00837281"/>
    <w:rsid w:val="00840B80"/>
    <w:rsid w:val="00842923"/>
    <w:rsid w:val="008470BA"/>
    <w:rsid w:val="00850346"/>
    <w:rsid w:val="00851288"/>
    <w:rsid w:val="0085266A"/>
    <w:rsid w:val="008526CB"/>
    <w:rsid w:val="00853722"/>
    <w:rsid w:val="008543E4"/>
    <w:rsid w:val="00856115"/>
    <w:rsid w:val="008578EE"/>
    <w:rsid w:val="008615E6"/>
    <w:rsid w:val="00862C9A"/>
    <w:rsid w:val="00863166"/>
    <w:rsid w:val="00864530"/>
    <w:rsid w:val="00864F82"/>
    <w:rsid w:val="008727C6"/>
    <w:rsid w:val="00875F5E"/>
    <w:rsid w:val="008774FE"/>
    <w:rsid w:val="00887852"/>
    <w:rsid w:val="00892548"/>
    <w:rsid w:val="008955C0"/>
    <w:rsid w:val="00895EF6"/>
    <w:rsid w:val="0089600F"/>
    <w:rsid w:val="008965E2"/>
    <w:rsid w:val="00896F83"/>
    <w:rsid w:val="008979A1"/>
    <w:rsid w:val="008A082B"/>
    <w:rsid w:val="008A0BF8"/>
    <w:rsid w:val="008A2AC1"/>
    <w:rsid w:val="008A2EBC"/>
    <w:rsid w:val="008A3257"/>
    <w:rsid w:val="008A4F9F"/>
    <w:rsid w:val="008B033F"/>
    <w:rsid w:val="008B0EC4"/>
    <w:rsid w:val="008B4103"/>
    <w:rsid w:val="008B4807"/>
    <w:rsid w:val="008C0A89"/>
    <w:rsid w:val="008C15B5"/>
    <w:rsid w:val="008C233D"/>
    <w:rsid w:val="008C2348"/>
    <w:rsid w:val="008C4CFC"/>
    <w:rsid w:val="008C4E5C"/>
    <w:rsid w:val="008C7619"/>
    <w:rsid w:val="008D2B3B"/>
    <w:rsid w:val="008D36F5"/>
    <w:rsid w:val="008E0BD4"/>
    <w:rsid w:val="008E205D"/>
    <w:rsid w:val="008E2190"/>
    <w:rsid w:val="008E2E25"/>
    <w:rsid w:val="008E3445"/>
    <w:rsid w:val="008E4C8B"/>
    <w:rsid w:val="008E6376"/>
    <w:rsid w:val="008E6E4F"/>
    <w:rsid w:val="008F152E"/>
    <w:rsid w:val="008F1E88"/>
    <w:rsid w:val="008F2DE9"/>
    <w:rsid w:val="008F2FA7"/>
    <w:rsid w:val="008F66B0"/>
    <w:rsid w:val="0090082B"/>
    <w:rsid w:val="00901396"/>
    <w:rsid w:val="00903250"/>
    <w:rsid w:val="0090339B"/>
    <w:rsid w:val="00906349"/>
    <w:rsid w:val="00906A57"/>
    <w:rsid w:val="0090783C"/>
    <w:rsid w:val="00907B1D"/>
    <w:rsid w:val="0091140C"/>
    <w:rsid w:val="009116C1"/>
    <w:rsid w:val="00911A20"/>
    <w:rsid w:val="00916028"/>
    <w:rsid w:val="009165B6"/>
    <w:rsid w:val="009219AF"/>
    <w:rsid w:val="00924F30"/>
    <w:rsid w:val="0092582B"/>
    <w:rsid w:val="00926028"/>
    <w:rsid w:val="00926BD5"/>
    <w:rsid w:val="00927068"/>
    <w:rsid w:val="00927E9D"/>
    <w:rsid w:val="0093046D"/>
    <w:rsid w:val="00935217"/>
    <w:rsid w:val="00935694"/>
    <w:rsid w:val="00936598"/>
    <w:rsid w:val="00936FFA"/>
    <w:rsid w:val="0094009B"/>
    <w:rsid w:val="00940CFF"/>
    <w:rsid w:val="00945D2E"/>
    <w:rsid w:val="0095188F"/>
    <w:rsid w:val="00952E10"/>
    <w:rsid w:val="0095512A"/>
    <w:rsid w:val="009565DF"/>
    <w:rsid w:val="0095712F"/>
    <w:rsid w:val="00957193"/>
    <w:rsid w:val="00961A99"/>
    <w:rsid w:val="00964AB9"/>
    <w:rsid w:val="00965CC9"/>
    <w:rsid w:val="00966EA5"/>
    <w:rsid w:val="00966FEE"/>
    <w:rsid w:val="0097093C"/>
    <w:rsid w:val="0097157C"/>
    <w:rsid w:val="00971E55"/>
    <w:rsid w:val="00972067"/>
    <w:rsid w:val="009746CB"/>
    <w:rsid w:val="00974F2F"/>
    <w:rsid w:val="00983BED"/>
    <w:rsid w:val="00986773"/>
    <w:rsid w:val="009902B6"/>
    <w:rsid w:val="0099120F"/>
    <w:rsid w:val="00991867"/>
    <w:rsid w:val="0099495C"/>
    <w:rsid w:val="00994A88"/>
    <w:rsid w:val="009959AA"/>
    <w:rsid w:val="0099698A"/>
    <w:rsid w:val="00997B8B"/>
    <w:rsid w:val="009A0781"/>
    <w:rsid w:val="009A629F"/>
    <w:rsid w:val="009A7B49"/>
    <w:rsid w:val="009B10D3"/>
    <w:rsid w:val="009B1ECE"/>
    <w:rsid w:val="009B4E60"/>
    <w:rsid w:val="009B5BB0"/>
    <w:rsid w:val="009B61FE"/>
    <w:rsid w:val="009C0605"/>
    <w:rsid w:val="009C2334"/>
    <w:rsid w:val="009C3CF8"/>
    <w:rsid w:val="009C5C64"/>
    <w:rsid w:val="009D1BD9"/>
    <w:rsid w:val="009D2A16"/>
    <w:rsid w:val="009D3821"/>
    <w:rsid w:val="009D38A5"/>
    <w:rsid w:val="009D4701"/>
    <w:rsid w:val="009D610D"/>
    <w:rsid w:val="009D7051"/>
    <w:rsid w:val="009E2B33"/>
    <w:rsid w:val="009F2AC6"/>
    <w:rsid w:val="009F4912"/>
    <w:rsid w:val="009F4C11"/>
    <w:rsid w:val="009F7FEA"/>
    <w:rsid w:val="00A02B09"/>
    <w:rsid w:val="00A03A84"/>
    <w:rsid w:val="00A03B16"/>
    <w:rsid w:val="00A05E47"/>
    <w:rsid w:val="00A0740B"/>
    <w:rsid w:val="00A107ED"/>
    <w:rsid w:val="00A11436"/>
    <w:rsid w:val="00A11A8B"/>
    <w:rsid w:val="00A14A0D"/>
    <w:rsid w:val="00A15D48"/>
    <w:rsid w:val="00A15E5A"/>
    <w:rsid w:val="00A173B5"/>
    <w:rsid w:val="00A245F9"/>
    <w:rsid w:val="00A26EB7"/>
    <w:rsid w:val="00A26FED"/>
    <w:rsid w:val="00A3084A"/>
    <w:rsid w:val="00A318E0"/>
    <w:rsid w:val="00A3546B"/>
    <w:rsid w:val="00A358D2"/>
    <w:rsid w:val="00A37396"/>
    <w:rsid w:val="00A40642"/>
    <w:rsid w:val="00A40674"/>
    <w:rsid w:val="00A420E4"/>
    <w:rsid w:val="00A45E8E"/>
    <w:rsid w:val="00A477FB"/>
    <w:rsid w:val="00A47DAA"/>
    <w:rsid w:val="00A50050"/>
    <w:rsid w:val="00A50BA2"/>
    <w:rsid w:val="00A5286D"/>
    <w:rsid w:val="00A55338"/>
    <w:rsid w:val="00A56B61"/>
    <w:rsid w:val="00A57D96"/>
    <w:rsid w:val="00A6045F"/>
    <w:rsid w:val="00A60DB0"/>
    <w:rsid w:val="00A624B5"/>
    <w:rsid w:val="00A6521F"/>
    <w:rsid w:val="00A65BD1"/>
    <w:rsid w:val="00A6735B"/>
    <w:rsid w:val="00A72CB5"/>
    <w:rsid w:val="00A778A6"/>
    <w:rsid w:val="00A8425B"/>
    <w:rsid w:val="00A922AD"/>
    <w:rsid w:val="00A93A49"/>
    <w:rsid w:val="00A93D2D"/>
    <w:rsid w:val="00A94614"/>
    <w:rsid w:val="00A9596C"/>
    <w:rsid w:val="00AA6F26"/>
    <w:rsid w:val="00AB03EE"/>
    <w:rsid w:val="00AB1DCA"/>
    <w:rsid w:val="00AB50E0"/>
    <w:rsid w:val="00AB65E9"/>
    <w:rsid w:val="00AB69BA"/>
    <w:rsid w:val="00AC21FA"/>
    <w:rsid w:val="00AC5388"/>
    <w:rsid w:val="00AC7C7F"/>
    <w:rsid w:val="00AD0CA8"/>
    <w:rsid w:val="00AD1B5D"/>
    <w:rsid w:val="00AD4E03"/>
    <w:rsid w:val="00AD6144"/>
    <w:rsid w:val="00AE2371"/>
    <w:rsid w:val="00AE3777"/>
    <w:rsid w:val="00AF0056"/>
    <w:rsid w:val="00AF0586"/>
    <w:rsid w:val="00AF6514"/>
    <w:rsid w:val="00AF6A93"/>
    <w:rsid w:val="00AF78B2"/>
    <w:rsid w:val="00B0247E"/>
    <w:rsid w:val="00B05573"/>
    <w:rsid w:val="00B065D6"/>
    <w:rsid w:val="00B123E6"/>
    <w:rsid w:val="00B16340"/>
    <w:rsid w:val="00B17677"/>
    <w:rsid w:val="00B1794D"/>
    <w:rsid w:val="00B21652"/>
    <w:rsid w:val="00B22385"/>
    <w:rsid w:val="00B242F3"/>
    <w:rsid w:val="00B24983"/>
    <w:rsid w:val="00B255E4"/>
    <w:rsid w:val="00B25821"/>
    <w:rsid w:val="00B3463B"/>
    <w:rsid w:val="00B34CBB"/>
    <w:rsid w:val="00B362D1"/>
    <w:rsid w:val="00B37003"/>
    <w:rsid w:val="00B3757E"/>
    <w:rsid w:val="00B41256"/>
    <w:rsid w:val="00B42471"/>
    <w:rsid w:val="00B43B20"/>
    <w:rsid w:val="00B51641"/>
    <w:rsid w:val="00B51FD0"/>
    <w:rsid w:val="00B522BA"/>
    <w:rsid w:val="00B52772"/>
    <w:rsid w:val="00B543C5"/>
    <w:rsid w:val="00B5677E"/>
    <w:rsid w:val="00B60CA6"/>
    <w:rsid w:val="00B634FC"/>
    <w:rsid w:val="00B63AB6"/>
    <w:rsid w:val="00B65A44"/>
    <w:rsid w:val="00B65A99"/>
    <w:rsid w:val="00B6751E"/>
    <w:rsid w:val="00B7122C"/>
    <w:rsid w:val="00B71AFC"/>
    <w:rsid w:val="00B73C69"/>
    <w:rsid w:val="00B80D4B"/>
    <w:rsid w:val="00B81306"/>
    <w:rsid w:val="00B81FD5"/>
    <w:rsid w:val="00B82AEA"/>
    <w:rsid w:val="00B85518"/>
    <w:rsid w:val="00B864CE"/>
    <w:rsid w:val="00B8771E"/>
    <w:rsid w:val="00B933FB"/>
    <w:rsid w:val="00B94BDA"/>
    <w:rsid w:val="00B954DD"/>
    <w:rsid w:val="00B96051"/>
    <w:rsid w:val="00B96C44"/>
    <w:rsid w:val="00BA17ED"/>
    <w:rsid w:val="00BA2584"/>
    <w:rsid w:val="00BA2A85"/>
    <w:rsid w:val="00BA403E"/>
    <w:rsid w:val="00BB062A"/>
    <w:rsid w:val="00BB43AB"/>
    <w:rsid w:val="00BB62D6"/>
    <w:rsid w:val="00BC0B80"/>
    <w:rsid w:val="00BC13E1"/>
    <w:rsid w:val="00BC384B"/>
    <w:rsid w:val="00BC787C"/>
    <w:rsid w:val="00BD20DF"/>
    <w:rsid w:val="00BD287B"/>
    <w:rsid w:val="00BD346D"/>
    <w:rsid w:val="00BD3F2B"/>
    <w:rsid w:val="00BD4849"/>
    <w:rsid w:val="00BD7F87"/>
    <w:rsid w:val="00BE035F"/>
    <w:rsid w:val="00BE342D"/>
    <w:rsid w:val="00BE5467"/>
    <w:rsid w:val="00BE6E8E"/>
    <w:rsid w:val="00BE7C7C"/>
    <w:rsid w:val="00BF0DBB"/>
    <w:rsid w:val="00BF4B5E"/>
    <w:rsid w:val="00BF5476"/>
    <w:rsid w:val="00BF5CFF"/>
    <w:rsid w:val="00C013CE"/>
    <w:rsid w:val="00C014D1"/>
    <w:rsid w:val="00C02906"/>
    <w:rsid w:val="00C046FA"/>
    <w:rsid w:val="00C11255"/>
    <w:rsid w:val="00C12C62"/>
    <w:rsid w:val="00C13C89"/>
    <w:rsid w:val="00C1482B"/>
    <w:rsid w:val="00C14D93"/>
    <w:rsid w:val="00C164DB"/>
    <w:rsid w:val="00C20DCD"/>
    <w:rsid w:val="00C238B0"/>
    <w:rsid w:val="00C24AEC"/>
    <w:rsid w:val="00C30E88"/>
    <w:rsid w:val="00C329A5"/>
    <w:rsid w:val="00C34C0C"/>
    <w:rsid w:val="00C3664A"/>
    <w:rsid w:val="00C40B32"/>
    <w:rsid w:val="00C43B59"/>
    <w:rsid w:val="00C44B82"/>
    <w:rsid w:val="00C44C31"/>
    <w:rsid w:val="00C5000B"/>
    <w:rsid w:val="00C50FD7"/>
    <w:rsid w:val="00C6184A"/>
    <w:rsid w:val="00C645C0"/>
    <w:rsid w:val="00C66D9D"/>
    <w:rsid w:val="00C679C2"/>
    <w:rsid w:val="00C729DA"/>
    <w:rsid w:val="00C742FD"/>
    <w:rsid w:val="00C77811"/>
    <w:rsid w:val="00C77E12"/>
    <w:rsid w:val="00C81169"/>
    <w:rsid w:val="00C824BC"/>
    <w:rsid w:val="00C83DB9"/>
    <w:rsid w:val="00C83E3B"/>
    <w:rsid w:val="00C84F15"/>
    <w:rsid w:val="00C85031"/>
    <w:rsid w:val="00C901A4"/>
    <w:rsid w:val="00C91193"/>
    <w:rsid w:val="00C92B3A"/>
    <w:rsid w:val="00C93868"/>
    <w:rsid w:val="00C93A4A"/>
    <w:rsid w:val="00C96858"/>
    <w:rsid w:val="00CA0F1C"/>
    <w:rsid w:val="00CA2846"/>
    <w:rsid w:val="00CA4520"/>
    <w:rsid w:val="00CA6EAE"/>
    <w:rsid w:val="00CA7AB8"/>
    <w:rsid w:val="00CB757F"/>
    <w:rsid w:val="00CB7F18"/>
    <w:rsid w:val="00CC018F"/>
    <w:rsid w:val="00CC2A72"/>
    <w:rsid w:val="00CD5901"/>
    <w:rsid w:val="00CE1291"/>
    <w:rsid w:val="00CE51CD"/>
    <w:rsid w:val="00CE5D02"/>
    <w:rsid w:val="00CF01D6"/>
    <w:rsid w:val="00CF7CAD"/>
    <w:rsid w:val="00D01C7C"/>
    <w:rsid w:val="00D01D48"/>
    <w:rsid w:val="00D02663"/>
    <w:rsid w:val="00D02C4C"/>
    <w:rsid w:val="00D0660E"/>
    <w:rsid w:val="00D07408"/>
    <w:rsid w:val="00D07999"/>
    <w:rsid w:val="00D128EA"/>
    <w:rsid w:val="00D13A85"/>
    <w:rsid w:val="00D13F12"/>
    <w:rsid w:val="00D15002"/>
    <w:rsid w:val="00D16940"/>
    <w:rsid w:val="00D23A44"/>
    <w:rsid w:val="00D26746"/>
    <w:rsid w:val="00D274CB"/>
    <w:rsid w:val="00D2760C"/>
    <w:rsid w:val="00D30621"/>
    <w:rsid w:val="00D33CBB"/>
    <w:rsid w:val="00D34943"/>
    <w:rsid w:val="00D36565"/>
    <w:rsid w:val="00D41308"/>
    <w:rsid w:val="00D41CE5"/>
    <w:rsid w:val="00D45527"/>
    <w:rsid w:val="00D53558"/>
    <w:rsid w:val="00D545A4"/>
    <w:rsid w:val="00D552A0"/>
    <w:rsid w:val="00D55325"/>
    <w:rsid w:val="00D60E96"/>
    <w:rsid w:val="00D617C1"/>
    <w:rsid w:val="00D6363E"/>
    <w:rsid w:val="00D63872"/>
    <w:rsid w:val="00D64138"/>
    <w:rsid w:val="00D64803"/>
    <w:rsid w:val="00D65664"/>
    <w:rsid w:val="00D666A9"/>
    <w:rsid w:val="00D66772"/>
    <w:rsid w:val="00D706CD"/>
    <w:rsid w:val="00D70938"/>
    <w:rsid w:val="00D7101D"/>
    <w:rsid w:val="00D7154D"/>
    <w:rsid w:val="00D71A2D"/>
    <w:rsid w:val="00D8170A"/>
    <w:rsid w:val="00D8288B"/>
    <w:rsid w:val="00D848B7"/>
    <w:rsid w:val="00D917BC"/>
    <w:rsid w:val="00D92641"/>
    <w:rsid w:val="00D94759"/>
    <w:rsid w:val="00D94A9B"/>
    <w:rsid w:val="00D96571"/>
    <w:rsid w:val="00DA0E7B"/>
    <w:rsid w:val="00DA171A"/>
    <w:rsid w:val="00DA1D15"/>
    <w:rsid w:val="00DA2EE7"/>
    <w:rsid w:val="00DA5594"/>
    <w:rsid w:val="00DB06EA"/>
    <w:rsid w:val="00DB62CC"/>
    <w:rsid w:val="00DC65E9"/>
    <w:rsid w:val="00DC6B42"/>
    <w:rsid w:val="00DD0923"/>
    <w:rsid w:val="00DD47F5"/>
    <w:rsid w:val="00DD4F13"/>
    <w:rsid w:val="00DD75A5"/>
    <w:rsid w:val="00DE0818"/>
    <w:rsid w:val="00DE25DF"/>
    <w:rsid w:val="00DE2B74"/>
    <w:rsid w:val="00DE34C2"/>
    <w:rsid w:val="00DE4258"/>
    <w:rsid w:val="00DE6498"/>
    <w:rsid w:val="00DE673C"/>
    <w:rsid w:val="00DE67C6"/>
    <w:rsid w:val="00DE689D"/>
    <w:rsid w:val="00DE68BE"/>
    <w:rsid w:val="00DE7129"/>
    <w:rsid w:val="00DF3790"/>
    <w:rsid w:val="00DF42BD"/>
    <w:rsid w:val="00E0064B"/>
    <w:rsid w:val="00E00F4A"/>
    <w:rsid w:val="00E00FC8"/>
    <w:rsid w:val="00E01204"/>
    <w:rsid w:val="00E10364"/>
    <w:rsid w:val="00E10971"/>
    <w:rsid w:val="00E1343C"/>
    <w:rsid w:val="00E1519D"/>
    <w:rsid w:val="00E2077C"/>
    <w:rsid w:val="00E22653"/>
    <w:rsid w:val="00E22C54"/>
    <w:rsid w:val="00E268CD"/>
    <w:rsid w:val="00E26C45"/>
    <w:rsid w:val="00E31EC7"/>
    <w:rsid w:val="00E31EF4"/>
    <w:rsid w:val="00E32253"/>
    <w:rsid w:val="00E3514C"/>
    <w:rsid w:val="00E37164"/>
    <w:rsid w:val="00E524B5"/>
    <w:rsid w:val="00E527C9"/>
    <w:rsid w:val="00E52B2F"/>
    <w:rsid w:val="00E56853"/>
    <w:rsid w:val="00E57475"/>
    <w:rsid w:val="00E612C1"/>
    <w:rsid w:val="00E615F0"/>
    <w:rsid w:val="00E665CA"/>
    <w:rsid w:val="00E6798C"/>
    <w:rsid w:val="00E67A26"/>
    <w:rsid w:val="00E73A37"/>
    <w:rsid w:val="00E769F3"/>
    <w:rsid w:val="00E76E72"/>
    <w:rsid w:val="00E77324"/>
    <w:rsid w:val="00E77D16"/>
    <w:rsid w:val="00E82036"/>
    <w:rsid w:val="00E8227D"/>
    <w:rsid w:val="00E830BD"/>
    <w:rsid w:val="00E8647C"/>
    <w:rsid w:val="00E865FC"/>
    <w:rsid w:val="00E90B3A"/>
    <w:rsid w:val="00E91ACC"/>
    <w:rsid w:val="00E95712"/>
    <w:rsid w:val="00EA2C41"/>
    <w:rsid w:val="00EA5CD3"/>
    <w:rsid w:val="00EA63F2"/>
    <w:rsid w:val="00EA654A"/>
    <w:rsid w:val="00EA6E57"/>
    <w:rsid w:val="00EB3408"/>
    <w:rsid w:val="00EB72B3"/>
    <w:rsid w:val="00EC25EB"/>
    <w:rsid w:val="00EC2D0D"/>
    <w:rsid w:val="00EC3985"/>
    <w:rsid w:val="00EC3BC0"/>
    <w:rsid w:val="00EC3F7A"/>
    <w:rsid w:val="00EC4AD1"/>
    <w:rsid w:val="00EC50F0"/>
    <w:rsid w:val="00EC621E"/>
    <w:rsid w:val="00EC63F3"/>
    <w:rsid w:val="00EC6F7F"/>
    <w:rsid w:val="00ED2113"/>
    <w:rsid w:val="00ED3F2C"/>
    <w:rsid w:val="00ED45C4"/>
    <w:rsid w:val="00ED5236"/>
    <w:rsid w:val="00ED642E"/>
    <w:rsid w:val="00EE0AA3"/>
    <w:rsid w:val="00EE2ED7"/>
    <w:rsid w:val="00EE3FD6"/>
    <w:rsid w:val="00EE429D"/>
    <w:rsid w:val="00EE6722"/>
    <w:rsid w:val="00EE6A21"/>
    <w:rsid w:val="00EF5566"/>
    <w:rsid w:val="00F03B01"/>
    <w:rsid w:val="00F04243"/>
    <w:rsid w:val="00F06855"/>
    <w:rsid w:val="00F14767"/>
    <w:rsid w:val="00F14EBD"/>
    <w:rsid w:val="00F1513A"/>
    <w:rsid w:val="00F172F0"/>
    <w:rsid w:val="00F17B88"/>
    <w:rsid w:val="00F21942"/>
    <w:rsid w:val="00F2269B"/>
    <w:rsid w:val="00F22C3A"/>
    <w:rsid w:val="00F249C2"/>
    <w:rsid w:val="00F27538"/>
    <w:rsid w:val="00F27691"/>
    <w:rsid w:val="00F279EA"/>
    <w:rsid w:val="00F307F6"/>
    <w:rsid w:val="00F30B20"/>
    <w:rsid w:val="00F313C5"/>
    <w:rsid w:val="00F3143C"/>
    <w:rsid w:val="00F32292"/>
    <w:rsid w:val="00F33D46"/>
    <w:rsid w:val="00F34C35"/>
    <w:rsid w:val="00F4004D"/>
    <w:rsid w:val="00F41370"/>
    <w:rsid w:val="00F445AD"/>
    <w:rsid w:val="00F44CAB"/>
    <w:rsid w:val="00F44FC3"/>
    <w:rsid w:val="00F45475"/>
    <w:rsid w:val="00F465BE"/>
    <w:rsid w:val="00F469CD"/>
    <w:rsid w:val="00F54703"/>
    <w:rsid w:val="00F55123"/>
    <w:rsid w:val="00F560AC"/>
    <w:rsid w:val="00F6011B"/>
    <w:rsid w:val="00F60FA0"/>
    <w:rsid w:val="00F64588"/>
    <w:rsid w:val="00F64CEF"/>
    <w:rsid w:val="00F6705F"/>
    <w:rsid w:val="00F673A3"/>
    <w:rsid w:val="00F7373E"/>
    <w:rsid w:val="00F73DB0"/>
    <w:rsid w:val="00F76591"/>
    <w:rsid w:val="00F76A5A"/>
    <w:rsid w:val="00F802D6"/>
    <w:rsid w:val="00F8117E"/>
    <w:rsid w:val="00F824C3"/>
    <w:rsid w:val="00F8344C"/>
    <w:rsid w:val="00F85FEC"/>
    <w:rsid w:val="00F86461"/>
    <w:rsid w:val="00F87B8F"/>
    <w:rsid w:val="00F92223"/>
    <w:rsid w:val="00F92F59"/>
    <w:rsid w:val="00F939E2"/>
    <w:rsid w:val="00F95B19"/>
    <w:rsid w:val="00F97DF0"/>
    <w:rsid w:val="00FA076B"/>
    <w:rsid w:val="00FA0D78"/>
    <w:rsid w:val="00FA1514"/>
    <w:rsid w:val="00FA44AD"/>
    <w:rsid w:val="00FA5517"/>
    <w:rsid w:val="00FA633B"/>
    <w:rsid w:val="00FB17D5"/>
    <w:rsid w:val="00FB5895"/>
    <w:rsid w:val="00FC1BBC"/>
    <w:rsid w:val="00FC2BB9"/>
    <w:rsid w:val="00FC499B"/>
    <w:rsid w:val="00FC60B4"/>
    <w:rsid w:val="00FD00F1"/>
    <w:rsid w:val="00FD0E04"/>
    <w:rsid w:val="00FD1907"/>
    <w:rsid w:val="00FD1DEF"/>
    <w:rsid w:val="00FD361C"/>
    <w:rsid w:val="00FD54BB"/>
    <w:rsid w:val="00FD5D19"/>
    <w:rsid w:val="00FE0DDD"/>
    <w:rsid w:val="00FE3BFF"/>
    <w:rsid w:val="00FE5624"/>
    <w:rsid w:val="00FE5789"/>
    <w:rsid w:val="00FF197A"/>
    <w:rsid w:val="00FF1EB1"/>
    <w:rsid w:val="00FF4A37"/>
    <w:rsid w:val="00FF6CC7"/>
    <w:rsid w:val="02ED2499"/>
    <w:rsid w:val="03C06921"/>
    <w:rsid w:val="04221EDA"/>
    <w:rsid w:val="170E7A12"/>
    <w:rsid w:val="2C82B82A"/>
    <w:rsid w:val="39CB1047"/>
    <w:rsid w:val="482BA3DB"/>
    <w:rsid w:val="54E7D873"/>
    <w:rsid w:val="561D0F96"/>
    <w:rsid w:val="5986C430"/>
    <w:rsid w:val="5B434F6A"/>
    <w:rsid w:val="5B8BC14C"/>
    <w:rsid w:val="606E5319"/>
    <w:rsid w:val="62BC5415"/>
    <w:rsid w:val="6CCB6D41"/>
    <w:rsid w:val="6EA24ECD"/>
    <w:rsid w:val="78079EBB"/>
    <w:rsid w:val="7851E7E7"/>
    <w:rsid w:val="7A50EAFD"/>
    <w:rsid w:val="7F3BDF4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9AF0275"/>
  <w15:chartTrackingRefBased/>
  <w15:docId w15:val="{EB53B804-BAF9-47B4-9337-610AF7F2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49F9"/>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4F40FB"/>
  </w:style>
  <w:style w:type="character" w:customStyle="1" w:styleId="ParaNumChar">
    <w:name w:val="ParaNum Char"/>
    <w:link w:val="ParaNum"/>
    <w:rsid w:val="004F40FB"/>
    <w:rPr>
      <w:snapToGrid w:val="0"/>
      <w:kern w:val="28"/>
      <w:sz w:val="22"/>
    </w:rPr>
  </w:style>
  <w:style w:type="paragraph" w:styleId="BalloonText">
    <w:name w:val="Balloon Text"/>
    <w:basedOn w:val="Normal"/>
    <w:link w:val="BalloonTextChar"/>
    <w:uiPriority w:val="99"/>
    <w:semiHidden/>
    <w:unhideWhenUsed/>
    <w:rsid w:val="00850346"/>
    <w:rPr>
      <w:rFonts w:ascii="Segoe UI" w:hAnsi="Segoe UI" w:cs="Segoe UI"/>
      <w:sz w:val="18"/>
      <w:szCs w:val="18"/>
    </w:rPr>
  </w:style>
  <w:style w:type="character" w:customStyle="1" w:styleId="BalloonTextChar">
    <w:name w:val="Balloon Text Char"/>
    <w:link w:val="BalloonText"/>
    <w:uiPriority w:val="99"/>
    <w:semiHidden/>
    <w:rsid w:val="00850346"/>
    <w:rPr>
      <w:rFonts w:ascii="Segoe UI" w:hAnsi="Segoe UI" w:cs="Segoe UI"/>
      <w:snapToGrid w:val="0"/>
      <w:kern w:val="28"/>
      <w:sz w:val="18"/>
      <w:szCs w:val="18"/>
    </w:rPr>
  </w:style>
  <w:style w:type="character" w:styleId="CommentReference">
    <w:name w:val="annotation reference"/>
    <w:uiPriority w:val="99"/>
    <w:semiHidden/>
    <w:unhideWhenUsed/>
    <w:rsid w:val="00FD1DEF"/>
    <w:rPr>
      <w:sz w:val="16"/>
      <w:szCs w:val="16"/>
    </w:rPr>
  </w:style>
  <w:style w:type="paragraph" w:styleId="CommentText">
    <w:name w:val="annotation text"/>
    <w:basedOn w:val="Normal"/>
    <w:link w:val="CommentTextChar"/>
    <w:uiPriority w:val="99"/>
    <w:semiHidden/>
    <w:unhideWhenUsed/>
    <w:rsid w:val="00FD1DEF"/>
    <w:rPr>
      <w:sz w:val="20"/>
    </w:rPr>
  </w:style>
  <w:style w:type="character" w:customStyle="1" w:styleId="CommentTextChar">
    <w:name w:val="Comment Text Char"/>
    <w:link w:val="CommentText"/>
    <w:uiPriority w:val="99"/>
    <w:semiHidden/>
    <w:rsid w:val="00FD1DEF"/>
    <w:rPr>
      <w:snapToGrid w:val="0"/>
      <w:kern w:val="28"/>
    </w:rPr>
  </w:style>
  <w:style w:type="paragraph" w:styleId="CommentSubject">
    <w:name w:val="annotation subject"/>
    <w:basedOn w:val="CommentText"/>
    <w:next w:val="CommentText"/>
    <w:link w:val="CommentSubjectChar"/>
    <w:uiPriority w:val="99"/>
    <w:semiHidden/>
    <w:unhideWhenUsed/>
    <w:rsid w:val="00FD1DEF"/>
    <w:rPr>
      <w:b/>
      <w:bCs/>
    </w:rPr>
  </w:style>
  <w:style w:type="character" w:customStyle="1" w:styleId="CommentSubjectChar">
    <w:name w:val="Comment Subject Char"/>
    <w:link w:val="CommentSubject"/>
    <w:uiPriority w:val="99"/>
    <w:semiHidden/>
    <w:rsid w:val="00FD1DEF"/>
    <w:rPr>
      <w:b/>
      <w:bCs/>
      <w:snapToGrid w:val="0"/>
      <w:kern w:val="28"/>
    </w:rPr>
  </w:style>
  <w:style w:type="character" w:styleId="FollowedHyperlink">
    <w:name w:val="FollowedHyperlink"/>
    <w:uiPriority w:val="99"/>
    <w:semiHidden/>
    <w:unhideWhenUsed/>
    <w:rsid w:val="00F95B19"/>
    <w:rPr>
      <w:color w:val="954F72"/>
      <w:u w:val="single"/>
    </w:rPr>
  </w:style>
  <w:style w:type="character" w:customStyle="1" w:styleId="Mention1">
    <w:name w:val="Mention1"/>
    <w:uiPriority w:val="99"/>
    <w:unhideWhenUsed/>
    <w:rsid w:val="004B323E"/>
    <w:rPr>
      <w:color w:val="2B579A"/>
      <w:shd w:val="clear" w:color="auto" w:fill="E1DFDD"/>
    </w:rPr>
  </w:style>
  <w:style w:type="character" w:customStyle="1" w:styleId="UnresolvedMention">
    <w:name w:val="Unresolved Mention"/>
    <w:uiPriority w:val="99"/>
    <w:rsid w:val="00864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10" TargetMode="External" /><Relationship Id="rId6" Type="http://schemas.openxmlformats.org/officeDocument/2006/relationships/hyperlink" Target="https://www.ntia.doc.gov/category/3450-3550-mhz"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11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