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53C1D" w:rsidRPr="00B53C1D" w:rsidP="00B53C1D" w14:paraId="4B9164B2" w14:textId="52C5E12F">
      <w:pPr>
        <w:pStyle w:val="paragraph"/>
        <w:spacing w:before="0" w:beforeAutospacing="0" w:after="0" w:afterAutospacing="0"/>
        <w:jc w:val="center"/>
        <w:textAlignment w:val="baseline"/>
        <w:rPr>
          <w:rStyle w:val="normaltextrun"/>
          <w:sz w:val="22"/>
          <w:szCs w:val="22"/>
        </w:rPr>
      </w:pPr>
      <w:r w:rsidRPr="00B53C1D">
        <w:rPr>
          <w:rStyle w:val="normaltextrun"/>
          <w:sz w:val="22"/>
          <w:szCs w:val="22"/>
        </w:rPr>
        <w:t>September 13, 2021</w:t>
      </w:r>
    </w:p>
    <w:p w:rsidR="00B53C1D" w:rsidRPr="00B53C1D" w:rsidP="00DD6164" w14:paraId="210A59A1" w14:textId="77777777">
      <w:pPr>
        <w:pStyle w:val="paragraph"/>
        <w:spacing w:before="0" w:beforeAutospacing="0" w:after="0" w:afterAutospacing="0"/>
        <w:textAlignment w:val="baseline"/>
        <w:rPr>
          <w:rStyle w:val="normaltextrun"/>
          <w:b/>
          <w:bCs/>
          <w:sz w:val="22"/>
          <w:szCs w:val="22"/>
        </w:rPr>
      </w:pPr>
    </w:p>
    <w:p w:rsidR="00A251F5" w:rsidRPr="00A251F5" w:rsidP="00A251F5" w14:paraId="7DDF9BFB" w14:textId="7E39C0EF">
      <w:pPr>
        <w:pStyle w:val="paragraph"/>
        <w:spacing w:before="0" w:beforeAutospacing="0" w:after="0" w:afterAutospacing="0"/>
        <w:jc w:val="right"/>
        <w:textAlignment w:val="baseline"/>
        <w:rPr>
          <w:rStyle w:val="normaltextrun"/>
          <w:b/>
          <w:bCs/>
          <w:sz w:val="22"/>
          <w:szCs w:val="22"/>
        </w:rPr>
      </w:pPr>
      <w:r w:rsidRPr="00A251F5">
        <w:rPr>
          <w:rStyle w:val="normaltextrun"/>
          <w:b/>
          <w:bCs/>
          <w:sz w:val="22"/>
          <w:szCs w:val="22"/>
        </w:rPr>
        <w:t>DA 21-</w:t>
      </w:r>
      <w:r>
        <w:rPr>
          <w:rStyle w:val="normaltextrun"/>
          <w:b/>
          <w:bCs/>
          <w:sz w:val="22"/>
          <w:szCs w:val="22"/>
        </w:rPr>
        <w:t>1136</w:t>
      </w:r>
    </w:p>
    <w:p w:rsidR="00A251F5" w:rsidP="00DD6164" w14:paraId="108FAF56" w14:textId="77777777">
      <w:pPr>
        <w:pStyle w:val="paragraph"/>
        <w:spacing w:before="0" w:beforeAutospacing="0" w:after="0" w:afterAutospacing="0"/>
        <w:textAlignment w:val="baseline"/>
        <w:rPr>
          <w:rStyle w:val="normaltextrun"/>
          <w:b/>
          <w:bCs/>
          <w:sz w:val="22"/>
          <w:szCs w:val="22"/>
        </w:rPr>
      </w:pPr>
    </w:p>
    <w:p w:rsidR="00B53C1D" w:rsidRPr="00B53C1D" w:rsidP="00DD6164" w14:paraId="5B2663E0" w14:textId="066FF827">
      <w:pPr>
        <w:pStyle w:val="paragraph"/>
        <w:spacing w:before="0" w:beforeAutospacing="0" w:after="0" w:afterAutospacing="0"/>
        <w:textAlignment w:val="baseline"/>
        <w:rPr>
          <w:rStyle w:val="normaltextrun"/>
          <w:b/>
          <w:bCs/>
          <w:sz w:val="22"/>
          <w:szCs w:val="22"/>
        </w:rPr>
      </w:pPr>
      <w:r w:rsidRPr="00B53C1D">
        <w:rPr>
          <w:rStyle w:val="normaltextrun"/>
          <w:b/>
          <w:bCs/>
          <w:sz w:val="22"/>
          <w:szCs w:val="22"/>
        </w:rPr>
        <w:t>VIA ELECTRONIC MAIL</w:t>
      </w:r>
    </w:p>
    <w:p w:rsidR="00B53C1D" w:rsidRPr="00B53C1D" w:rsidP="00DD6164" w14:paraId="237090C4" w14:textId="77777777">
      <w:pPr>
        <w:pStyle w:val="paragraph"/>
        <w:spacing w:before="0" w:beforeAutospacing="0" w:after="0" w:afterAutospacing="0"/>
        <w:textAlignment w:val="baseline"/>
        <w:rPr>
          <w:rStyle w:val="normaltextrun"/>
          <w:sz w:val="22"/>
          <w:szCs w:val="22"/>
        </w:rPr>
      </w:pPr>
    </w:p>
    <w:p w:rsidR="00153200" w:rsidRPr="00B53C1D" w:rsidP="00DD6164" w14:paraId="0BE18324" w14:textId="1AF6C365">
      <w:pPr>
        <w:pStyle w:val="paragraph"/>
        <w:spacing w:before="0" w:beforeAutospacing="0" w:after="0" w:afterAutospacing="0"/>
        <w:textAlignment w:val="baseline"/>
        <w:rPr>
          <w:rStyle w:val="normaltextrun"/>
          <w:sz w:val="22"/>
          <w:szCs w:val="22"/>
        </w:rPr>
      </w:pPr>
      <w:r w:rsidRPr="00B53C1D">
        <w:rPr>
          <w:rStyle w:val="normaltextrun"/>
          <w:sz w:val="22"/>
          <w:szCs w:val="22"/>
        </w:rPr>
        <w:t>Brian D. Weimer</w:t>
      </w:r>
    </w:p>
    <w:p w:rsidR="00DD6164" w:rsidRPr="00B53C1D" w:rsidP="00DD6164" w14:paraId="6FBFFC79" w14:textId="1D2B746E">
      <w:pPr>
        <w:pStyle w:val="paragraph"/>
        <w:spacing w:before="0" w:beforeAutospacing="0" w:after="0" w:afterAutospacing="0"/>
        <w:textAlignment w:val="baseline"/>
        <w:rPr>
          <w:sz w:val="22"/>
          <w:szCs w:val="22"/>
        </w:rPr>
      </w:pPr>
      <w:r w:rsidRPr="00B53C1D">
        <w:rPr>
          <w:rStyle w:val="normaltextrun"/>
          <w:sz w:val="22"/>
          <w:szCs w:val="22"/>
        </w:rPr>
        <w:t xml:space="preserve">Counsel to </w:t>
      </w:r>
      <w:r w:rsidRPr="00B53C1D" w:rsidR="00756736">
        <w:rPr>
          <w:rStyle w:val="normaltextrun"/>
          <w:sz w:val="22"/>
          <w:szCs w:val="22"/>
        </w:rPr>
        <w:t>Orbital Sidekick, Inc.</w:t>
      </w:r>
    </w:p>
    <w:p w:rsidR="00DD6164" w:rsidRPr="00B53C1D" w:rsidP="00DD6164" w14:paraId="01DAF88B" w14:textId="6361F004">
      <w:pPr>
        <w:pStyle w:val="paragraph"/>
        <w:spacing w:before="0" w:beforeAutospacing="0" w:after="0" w:afterAutospacing="0"/>
        <w:textAlignment w:val="baseline"/>
        <w:rPr>
          <w:rStyle w:val="normaltextrun"/>
          <w:sz w:val="22"/>
          <w:szCs w:val="22"/>
        </w:rPr>
      </w:pPr>
      <w:r w:rsidRPr="00B53C1D">
        <w:rPr>
          <w:rStyle w:val="normaltextrun"/>
          <w:sz w:val="22"/>
          <w:szCs w:val="22"/>
        </w:rPr>
        <w:t>Sheppard Mullin Richter &amp; Hampton LLP</w:t>
      </w:r>
    </w:p>
    <w:p w:rsidR="00FB5B8E" w:rsidRPr="00B53C1D" w:rsidP="00DD6164" w14:paraId="3F41BC9E" w14:textId="75853EE8">
      <w:pPr>
        <w:pStyle w:val="paragraph"/>
        <w:spacing w:before="0" w:beforeAutospacing="0" w:after="0" w:afterAutospacing="0"/>
        <w:textAlignment w:val="baseline"/>
        <w:rPr>
          <w:rStyle w:val="normaltextrun"/>
          <w:sz w:val="22"/>
          <w:szCs w:val="22"/>
        </w:rPr>
      </w:pPr>
      <w:r w:rsidRPr="00B53C1D">
        <w:rPr>
          <w:rStyle w:val="normaltextrun"/>
          <w:sz w:val="22"/>
          <w:szCs w:val="22"/>
        </w:rPr>
        <w:t>2099 Pennsylvania Avenue N.W., Suite 100</w:t>
      </w:r>
    </w:p>
    <w:p w:rsidR="00FB5B8E" w:rsidRPr="00B53C1D" w:rsidP="00DD6164" w14:paraId="63E53C50" w14:textId="408AE2B6">
      <w:pPr>
        <w:pStyle w:val="paragraph"/>
        <w:spacing w:before="0" w:beforeAutospacing="0" w:after="0" w:afterAutospacing="0"/>
        <w:textAlignment w:val="baseline"/>
        <w:rPr>
          <w:rStyle w:val="normaltextrun"/>
          <w:sz w:val="22"/>
          <w:szCs w:val="22"/>
        </w:rPr>
      </w:pPr>
      <w:r w:rsidRPr="00B53C1D">
        <w:rPr>
          <w:rStyle w:val="normaltextrun"/>
          <w:sz w:val="22"/>
          <w:szCs w:val="22"/>
        </w:rPr>
        <w:t>Washington, DC 20006</w:t>
      </w:r>
    </w:p>
    <w:p w:rsidR="00FB5B8E" w:rsidRPr="00B53C1D" w:rsidP="00DD6164" w14:paraId="2B283E14" w14:textId="18C834E7">
      <w:pPr>
        <w:pStyle w:val="paragraph"/>
        <w:spacing w:before="0" w:beforeAutospacing="0" w:after="0" w:afterAutospacing="0"/>
        <w:textAlignment w:val="baseline"/>
        <w:rPr>
          <w:sz w:val="22"/>
          <w:szCs w:val="22"/>
        </w:rPr>
      </w:pPr>
      <w:hyperlink r:id="rId5" w:history="1">
        <w:r w:rsidRPr="00B53C1D" w:rsidR="00682762">
          <w:rPr>
            <w:rStyle w:val="Hyperlink"/>
            <w:sz w:val="22"/>
            <w:szCs w:val="22"/>
          </w:rPr>
          <w:t>bweimer@sheppardmullin.com</w:t>
        </w:r>
      </w:hyperlink>
      <w:r w:rsidRPr="00B53C1D" w:rsidR="00682762">
        <w:rPr>
          <w:rStyle w:val="normaltextrun"/>
          <w:sz w:val="22"/>
          <w:szCs w:val="22"/>
        </w:rPr>
        <w:t xml:space="preserve"> </w:t>
      </w:r>
    </w:p>
    <w:p w:rsidR="00DD6164" w:rsidRPr="00B53C1D" w:rsidP="00DD6164" w14:paraId="487DA91D" w14:textId="77777777">
      <w:pPr>
        <w:pStyle w:val="paragraph"/>
        <w:spacing w:before="0" w:beforeAutospacing="0" w:after="0" w:afterAutospacing="0"/>
        <w:textAlignment w:val="baseline"/>
        <w:rPr>
          <w:sz w:val="22"/>
          <w:szCs w:val="22"/>
        </w:rPr>
      </w:pPr>
      <w:r w:rsidRPr="00B53C1D">
        <w:rPr>
          <w:rStyle w:val="eop"/>
          <w:sz w:val="22"/>
          <w:szCs w:val="22"/>
        </w:rPr>
        <w:t> </w:t>
      </w:r>
    </w:p>
    <w:p w:rsidR="00DD6164" w:rsidRPr="00B53C1D" w:rsidP="00DD6164" w14:paraId="17CD955B" w14:textId="7750AC3C">
      <w:pPr>
        <w:pStyle w:val="paragraph"/>
        <w:spacing w:before="0" w:beforeAutospacing="0" w:after="0" w:afterAutospacing="0"/>
        <w:ind w:firstLine="720"/>
        <w:textAlignment w:val="baseline"/>
        <w:rPr>
          <w:sz w:val="22"/>
          <w:szCs w:val="22"/>
        </w:rPr>
      </w:pPr>
      <w:r w:rsidRPr="00B53C1D">
        <w:rPr>
          <w:rStyle w:val="normaltextrun"/>
          <w:sz w:val="22"/>
          <w:szCs w:val="22"/>
        </w:rPr>
        <w:t xml:space="preserve">Re: </w:t>
      </w:r>
      <w:r w:rsidRPr="00B53C1D" w:rsidR="00756736">
        <w:rPr>
          <w:rStyle w:val="normaltextrun"/>
          <w:sz w:val="22"/>
          <w:szCs w:val="22"/>
        </w:rPr>
        <w:t>Orbital Sidekick, Inc.</w:t>
      </w:r>
      <w:r w:rsidRPr="00B53C1D">
        <w:rPr>
          <w:rStyle w:val="normaltextrun"/>
          <w:sz w:val="22"/>
          <w:szCs w:val="22"/>
        </w:rPr>
        <w:t>, IBFS File No. </w:t>
      </w:r>
      <w:r w:rsidRPr="00B53C1D" w:rsidR="00756736">
        <w:rPr>
          <w:sz w:val="22"/>
          <w:szCs w:val="22"/>
        </w:rPr>
        <w:t>SAT-LOA-20210520-00069</w:t>
      </w:r>
      <w:r w:rsidRPr="00B53C1D" w:rsidR="00B53C1D">
        <w:rPr>
          <w:rStyle w:val="CommentSubjectChar"/>
          <w:sz w:val="22"/>
          <w:szCs w:val="22"/>
        </w:rPr>
        <w:t xml:space="preserve">; </w:t>
      </w:r>
      <w:r w:rsidRPr="00B53C1D">
        <w:rPr>
          <w:rStyle w:val="normaltextrun"/>
          <w:sz w:val="22"/>
          <w:szCs w:val="22"/>
        </w:rPr>
        <w:t>Call Sign S308</w:t>
      </w:r>
      <w:r w:rsidRPr="00B53C1D" w:rsidR="00756736">
        <w:rPr>
          <w:rStyle w:val="normaltextrun"/>
          <w:sz w:val="22"/>
          <w:szCs w:val="22"/>
        </w:rPr>
        <w:t>9</w:t>
      </w:r>
    </w:p>
    <w:p w:rsidR="00DD6164" w:rsidRPr="00B53C1D" w:rsidP="00DD6164" w14:paraId="44E78A0B" w14:textId="77777777">
      <w:pPr>
        <w:pStyle w:val="paragraph"/>
        <w:spacing w:before="0" w:beforeAutospacing="0" w:after="0" w:afterAutospacing="0"/>
        <w:textAlignment w:val="baseline"/>
        <w:rPr>
          <w:sz w:val="22"/>
          <w:szCs w:val="22"/>
        </w:rPr>
      </w:pPr>
      <w:r w:rsidRPr="00B53C1D">
        <w:rPr>
          <w:rStyle w:val="eop"/>
          <w:sz w:val="22"/>
          <w:szCs w:val="22"/>
        </w:rPr>
        <w:t> </w:t>
      </w:r>
    </w:p>
    <w:p w:rsidR="00DD6164" w:rsidRPr="00B53C1D" w:rsidP="00DD6164" w14:paraId="01A79481" w14:textId="137697E1">
      <w:pPr>
        <w:pStyle w:val="paragraph"/>
        <w:spacing w:before="0" w:beforeAutospacing="0" w:after="0" w:afterAutospacing="0"/>
        <w:textAlignment w:val="baseline"/>
        <w:rPr>
          <w:sz w:val="22"/>
          <w:szCs w:val="22"/>
        </w:rPr>
      </w:pPr>
      <w:r w:rsidRPr="00B53C1D">
        <w:rPr>
          <w:rStyle w:val="normaltextrun"/>
          <w:sz w:val="22"/>
          <w:szCs w:val="22"/>
        </w:rPr>
        <w:t>Dear Mr.</w:t>
      </w:r>
      <w:r w:rsidRPr="00B53C1D" w:rsidR="00682762">
        <w:rPr>
          <w:rStyle w:val="normaltextrun"/>
          <w:sz w:val="22"/>
          <w:szCs w:val="22"/>
        </w:rPr>
        <w:t xml:space="preserve"> Weimer</w:t>
      </w:r>
      <w:r w:rsidRPr="00B53C1D">
        <w:rPr>
          <w:rStyle w:val="normaltextrun"/>
          <w:sz w:val="22"/>
          <w:szCs w:val="22"/>
        </w:rPr>
        <w:t>:</w:t>
      </w:r>
      <w:r w:rsidRPr="00B53C1D">
        <w:rPr>
          <w:rStyle w:val="eop"/>
          <w:sz w:val="22"/>
          <w:szCs w:val="22"/>
        </w:rPr>
        <w:t> </w:t>
      </w:r>
    </w:p>
    <w:p w:rsidR="00DD6164" w:rsidRPr="00B53C1D" w:rsidP="00DD6164" w14:paraId="14F8B770" w14:textId="77777777">
      <w:pPr>
        <w:pStyle w:val="paragraph"/>
        <w:spacing w:before="0" w:beforeAutospacing="0" w:after="0" w:afterAutospacing="0"/>
        <w:textAlignment w:val="baseline"/>
        <w:rPr>
          <w:sz w:val="22"/>
          <w:szCs w:val="22"/>
        </w:rPr>
      </w:pPr>
      <w:r w:rsidRPr="00B53C1D">
        <w:rPr>
          <w:rStyle w:val="eop"/>
          <w:sz w:val="22"/>
          <w:szCs w:val="22"/>
        </w:rPr>
        <w:t> </w:t>
      </w:r>
    </w:p>
    <w:p w:rsidR="00B64750" w:rsidRPr="00B53C1D" w:rsidP="00B53C1D" w14:paraId="6F300181" w14:textId="2DDFF0CD">
      <w:pPr>
        <w:pStyle w:val="NormalWeb"/>
        <w:shd w:val="clear" w:color="auto" w:fill="FFFFFF"/>
        <w:spacing w:after="240" w:afterAutospacing="0"/>
        <w:ind w:firstLine="720"/>
        <w:rPr>
          <w:color w:val="000000"/>
          <w:sz w:val="22"/>
          <w:szCs w:val="22"/>
        </w:rPr>
      </w:pPr>
      <w:r w:rsidRPr="00B53C1D">
        <w:rPr>
          <w:rStyle w:val="normaltextrun"/>
          <w:sz w:val="22"/>
          <w:szCs w:val="22"/>
        </w:rPr>
        <w:t>On </w:t>
      </w:r>
      <w:r w:rsidRPr="00B53C1D" w:rsidR="007231E5">
        <w:rPr>
          <w:rStyle w:val="normaltextrun"/>
          <w:sz w:val="22"/>
          <w:szCs w:val="22"/>
        </w:rPr>
        <w:t>May 20</w:t>
      </w:r>
      <w:r w:rsidRPr="00B53C1D">
        <w:rPr>
          <w:rStyle w:val="normaltextrun"/>
          <w:sz w:val="22"/>
          <w:szCs w:val="22"/>
        </w:rPr>
        <w:t>, 2021, </w:t>
      </w:r>
      <w:r w:rsidRPr="00B53C1D" w:rsidR="007231E5">
        <w:rPr>
          <w:rStyle w:val="normaltextrun"/>
          <w:sz w:val="22"/>
          <w:szCs w:val="22"/>
        </w:rPr>
        <w:t>Orbital Sidekick, Inc.</w:t>
      </w:r>
      <w:r w:rsidRPr="00B53C1D">
        <w:rPr>
          <w:rStyle w:val="normaltextrun"/>
          <w:sz w:val="22"/>
          <w:szCs w:val="22"/>
        </w:rPr>
        <w:t> (</w:t>
      </w:r>
      <w:r w:rsidRPr="00B53C1D" w:rsidR="007231E5">
        <w:rPr>
          <w:rStyle w:val="normaltextrun"/>
          <w:sz w:val="22"/>
          <w:szCs w:val="22"/>
        </w:rPr>
        <w:t>OSK</w:t>
      </w:r>
      <w:r w:rsidRPr="00B53C1D">
        <w:rPr>
          <w:rStyle w:val="normaltextrun"/>
          <w:sz w:val="22"/>
          <w:szCs w:val="22"/>
        </w:rPr>
        <w:t>) filed the above-referenced application requesting authority to </w:t>
      </w:r>
      <w:r w:rsidRPr="00B53C1D" w:rsidR="002355D6">
        <w:rPr>
          <w:rStyle w:val="normaltextrun"/>
          <w:sz w:val="22"/>
          <w:szCs w:val="22"/>
        </w:rPr>
        <w:t>deploy</w:t>
      </w:r>
      <w:r w:rsidRPr="00B53C1D">
        <w:rPr>
          <w:rStyle w:val="normaltextrun"/>
          <w:sz w:val="22"/>
          <w:szCs w:val="22"/>
        </w:rPr>
        <w:t xml:space="preserve"> and operate </w:t>
      </w:r>
      <w:r w:rsidRPr="00B53C1D" w:rsidR="00940861">
        <w:rPr>
          <w:sz w:val="22"/>
          <w:szCs w:val="22"/>
        </w:rPr>
        <w:t>six satellites in low-Earth</w:t>
      </w:r>
      <w:r w:rsidRPr="00B53C1D" w:rsidR="002355D6">
        <w:rPr>
          <w:sz w:val="22"/>
          <w:szCs w:val="22"/>
        </w:rPr>
        <w:t xml:space="preserve"> </w:t>
      </w:r>
      <w:r w:rsidRPr="00B53C1D" w:rsidR="00940861">
        <w:rPr>
          <w:sz w:val="22"/>
          <w:szCs w:val="22"/>
        </w:rPr>
        <w:t>orbit in connection with its Global Hyperspectral Observation Satellite (</w:t>
      </w:r>
      <w:r w:rsidRPr="00B53C1D" w:rsidR="00940861">
        <w:rPr>
          <w:sz w:val="22"/>
          <w:szCs w:val="22"/>
        </w:rPr>
        <w:t>GHOSt</w:t>
      </w:r>
      <w:r w:rsidRPr="00B53C1D" w:rsidR="00940861">
        <w:rPr>
          <w:sz w:val="22"/>
          <w:szCs w:val="22"/>
        </w:rPr>
        <w:t>) constellation</w:t>
      </w:r>
      <w:r w:rsidRPr="00B53C1D">
        <w:rPr>
          <w:rStyle w:val="normaltextrun"/>
          <w:sz w:val="22"/>
          <w:szCs w:val="22"/>
        </w:rPr>
        <w:t>.  </w:t>
      </w:r>
      <w:r w:rsidRPr="00B53C1D" w:rsidR="005601ED">
        <w:rPr>
          <w:rStyle w:val="eop"/>
          <w:sz w:val="22"/>
          <w:szCs w:val="22"/>
        </w:rPr>
        <w:t xml:space="preserve">We note initially that the application has been revised </w:t>
      </w:r>
      <w:r w:rsidRPr="00B53C1D">
        <w:rPr>
          <w:rStyle w:val="eop"/>
          <w:sz w:val="22"/>
          <w:szCs w:val="22"/>
        </w:rPr>
        <w:t xml:space="preserve">substantially </w:t>
      </w:r>
      <w:r w:rsidRPr="00B53C1D" w:rsidR="005601ED">
        <w:rPr>
          <w:rStyle w:val="eop"/>
          <w:sz w:val="22"/>
          <w:szCs w:val="22"/>
        </w:rPr>
        <w:t>two times to date.</w:t>
      </w:r>
      <w:r>
        <w:rPr>
          <w:rStyle w:val="FootnoteReference"/>
          <w:sz w:val="22"/>
          <w:szCs w:val="22"/>
        </w:rPr>
        <w:footnoteReference w:id="2"/>
      </w:r>
      <w:r w:rsidRPr="00B53C1D" w:rsidR="005601ED">
        <w:rPr>
          <w:rStyle w:val="eop"/>
          <w:sz w:val="22"/>
          <w:szCs w:val="22"/>
        </w:rPr>
        <w:t xml:space="preserve">  </w:t>
      </w:r>
      <w:r w:rsidRPr="00B53C1D" w:rsidR="005601ED">
        <w:rPr>
          <w:sz w:val="22"/>
          <w:szCs w:val="22"/>
        </w:rPr>
        <w:t>As</w:t>
      </w:r>
      <w:r w:rsidRPr="00B53C1D" w:rsidR="00B234EB">
        <w:rPr>
          <w:sz w:val="22"/>
          <w:szCs w:val="22"/>
        </w:rPr>
        <w:t xml:space="preserve"> </w:t>
      </w:r>
      <w:r w:rsidRPr="00B53C1D" w:rsidR="00965A5D">
        <w:rPr>
          <w:sz w:val="22"/>
          <w:szCs w:val="22"/>
        </w:rPr>
        <w:t xml:space="preserve">identified more specifically </w:t>
      </w:r>
      <w:r w:rsidRPr="00B53C1D" w:rsidR="00B234EB">
        <w:rPr>
          <w:sz w:val="22"/>
          <w:szCs w:val="22"/>
        </w:rPr>
        <w:t xml:space="preserve">below, </w:t>
      </w:r>
      <w:r w:rsidRPr="00B53C1D" w:rsidR="00965A5D">
        <w:rPr>
          <w:sz w:val="22"/>
          <w:szCs w:val="22"/>
        </w:rPr>
        <w:t xml:space="preserve">the application as </w:t>
      </w:r>
      <w:r w:rsidRPr="00B53C1D" w:rsidR="00B0717F">
        <w:rPr>
          <w:sz w:val="22"/>
          <w:szCs w:val="22"/>
        </w:rPr>
        <w:t>revised</w:t>
      </w:r>
      <w:r w:rsidRPr="00B53C1D" w:rsidR="00965A5D">
        <w:rPr>
          <w:sz w:val="22"/>
          <w:szCs w:val="22"/>
        </w:rPr>
        <w:t xml:space="preserve"> includes multiple </w:t>
      </w:r>
      <w:r w:rsidRPr="00B53C1D" w:rsidR="00F0194D">
        <w:rPr>
          <w:sz w:val="22"/>
          <w:szCs w:val="22"/>
        </w:rPr>
        <w:t xml:space="preserve">incomplete or </w:t>
      </w:r>
      <w:r w:rsidRPr="00B53C1D" w:rsidR="00965A5D">
        <w:rPr>
          <w:sz w:val="22"/>
          <w:szCs w:val="22"/>
        </w:rPr>
        <w:t>inconsistent statements concerning center frequencies and frequency ranges on which the satellite will operate</w:t>
      </w:r>
      <w:r w:rsidRPr="00B53C1D">
        <w:rPr>
          <w:sz w:val="22"/>
          <w:szCs w:val="22"/>
        </w:rPr>
        <w:t>, and on other matters.</w:t>
      </w:r>
      <w:r w:rsidRPr="00B53C1D" w:rsidR="00965A5D">
        <w:rPr>
          <w:sz w:val="22"/>
          <w:szCs w:val="22"/>
        </w:rPr>
        <w:t xml:space="preserve">  </w:t>
      </w:r>
      <w:r w:rsidRPr="00B53C1D">
        <w:rPr>
          <w:sz w:val="22"/>
          <w:szCs w:val="22"/>
        </w:rPr>
        <w:t xml:space="preserve">The Commission’s rules provide that an application is </w:t>
      </w:r>
      <w:r w:rsidRPr="00B53C1D">
        <w:rPr>
          <w:color w:val="000000"/>
          <w:sz w:val="22"/>
          <w:szCs w:val="22"/>
        </w:rPr>
        <w:t>unacceptable for filing and will be returned to the applicant if the application is defective with respect to “completeness of answers to questions, informational showings, internal inconsistencies, execution, or other matters of a formal character</w:t>
      </w:r>
      <w:r w:rsidRPr="00B53C1D" w:rsidR="0028773C">
        <w:rPr>
          <w:color w:val="000000"/>
          <w:sz w:val="22"/>
          <w:szCs w:val="22"/>
        </w:rPr>
        <w:t>.</w:t>
      </w:r>
      <w:r w:rsidRPr="00B53C1D">
        <w:rPr>
          <w:color w:val="000000"/>
          <w:sz w:val="22"/>
          <w:szCs w:val="22"/>
        </w:rPr>
        <w:t>”</w:t>
      </w:r>
      <w:r>
        <w:rPr>
          <w:rStyle w:val="FootnoteReference"/>
          <w:sz w:val="22"/>
          <w:szCs w:val="22"/>
        </w:rPr>
        <w:footnoteReference w:id="3"/>
      </w:r>
      <w:r w:rsidRPr="00B53C1D">
        <w:rPr>
          <w:rStyle w:val="eop"/>
          <w:sz w:val="22"/>
          <w:szCs w:val="22"/>
        </w:rPr>
        <w:t> </w:t>
      </w:r>
    </w:p>
    <w:p w:rsidR="00965A5D" w:rsidRPr="00B53C1D" w:rsidP="00B53C1D" w14:paraId="525F5EF6" w14:textId="1C957DD9">
      <w:pPr>
        <w:pStyle w:val="paragraph"/>
        <w:spacing w:before="0" w:beforeAutospacing="0" w:after="240" w:afterAutospacing="0"/>
        <w:ind w:firstLine="360"/>
        <w:textAlignment w:val="baseline"/>
        <w:rPr>
          <w:rStyle w:val="eop"/>
          <w:sz w:val="22"/>
          <w:szCs w:val="22"/>
        </w:rPr>
      </w:pPr>
      <w:r w:rsidRPr="00B53C1D">
        <w:rPr>
          <w:sz w:val="22"/>
          <w:szCs w:val="22"/>
        </w:rPr>
        <w:t xml:space="preserve">Accordingly, </w:t>
      </w:r>
      <w:r w:rsidRPr="00B53C1D" w:rsidR="00B234EB">
        <w:rPr>
          <w:sz w:val="22"/>
          <w:szCs w:val="22"/>
        </w:rPr>
        <w:t>we dismiss the application as defective, without prejudice to refiling.</w:t>
      </w:r>
      <w:r>
        <w:rPr>
          <w:rStyle w:val="FootnoteReference"/>
          <w:sz w:val="22"/>
          <w:szCs w:val="22"/>
        </w:rPr>
        <w:footnoteReference w:id="4"/>
      </w:r>
    </w:p>
    <w:p w:rsidR="00A33738" w:rsidRPr="00B53C1D" w:rsidP="00B53C1D" w14:paraId="24351AA6" w14:textId="76A98A09">
      <w:pPr>
        <w:pStyle w:val="paragraph"/>
        <w:spacing w:before="0" w:beforeAutospacing="0" w:after="240" w:afterAutospacing="0"/>
        <w:ind w:firstLine="360"/>
        <w:textAlignment w:val="baseline"/>
        <w:rPr>
          <w:sz w:val="22"/>
          <w:szCs w:val="22"/>
        </w:rPr>
      </w:pPr>
      <w:r w:rsidRPr="00B53C1D">
        <w:rPr>
          <w:sz w:val="22"/>
          <w:szCs w:val="22"/>
        </w:rPr>
        <w:t xml:space="preserve">The information for </w:t>
      </w:r>
      <w:r w:rsidRPr="00B53C1D" w:rsidR="00260CE9">
        <w:rPr>
          <w:sz w:val="22"/>
          <w:szCs w:val="22"/>
        </w:rPr>
        <w:t xml:space="preserve">Ka-band frequencies </w:t>
      </w:r>
      <w:r w:rsidRPr="00B53C1D">
        <w:rPr>
          <w:sz w:val="22"/>
          <w:szCs w:val="22"/>
        </w:rPr>
        <w:t xml:space="preserve">as specified in the </w:t>
      </w:r>
      <w:r w:rsidRPr="00B53C1D" w:rsidR="00A40128">
        <w:rPr>
          <w:sz w:val="22"/>
          <w:szCs w:val="22"/>
        </w:rPr>
        <w:t xml:space="preserve">OSK </w:t>
      </w:r>
      <w:r w:rsidRPr="00B53C1D" w:rsidR="00E05E5C">
        <w:rPr>
          <w:sz w:val="22"/>
          <w:szCs w:val="22"/>
        </w:rPr>
        <w:t>Further Revised</w:t>
      </w:r>
      <w:r w:rsidRPr="00B53C1D">
        <w:rPr>
          <w:sz w:val="22"/>
          <w:szCs w:val="22"/>
        </w:rPr>
        <w:t xml:space="preserve"> Schedule S and</w:t>
      </w:r>
      <w:r w:rsidRPr="00B53C1D" w:rsidR="00E05E5C">
        <w:rPr>
          <w:sz w:val="22"/>
          <w:szCs w:val="22"/>
        </w:rPr>
        <w:t xml:space="preserve"> </w:t>
      </w:r>
      <w:r w:rsidRPr="00B53C1D" w:rsidR="00A40128">
        <w:rPr>
          <w:sz w:val="22"/>
          <w:szCs w:val="22"/>
        </w:rPr>
        <w:t xml:space="preserve">OSK </w:t>
      </w:r>
      <w:r w:rsidRPr="00B53C1D" w:rsidR="00E05E5C">
        <w:rPr>
          <w:sz w:val="22"/>
          <w:szCs w:val="22"/>
        </w:rPr>
        <w:t>Revised</w:t>
      </w:r>
      <w:r w:rsidRPr="00B53C1D">
        <w:rPr>
          <w:sz w:val="22"/>
          <w:szCs w:val="22"/>
        </w:rPr>
        <w:t xml:space="preserve"> Technical Annex</w:t>
      </w:r>
      <w:r w:rsidRPr="00B53C1D" w:rsidR="00F270C9">
        <w:rPr>
          <w:sz w:val="22"/>
          <w:szCs w:val="22"/>
        </w:rPr>
        <w:t xml:space="preserve"> </w:t>
      </w:r>
      <w:r w:rsidRPr="00B53C1D" w:rsidR="00C779BC">
        <w:rPr>
          <w:sz w:val="22"/>
          <w:szCs w:val="22"/>
        </w:rPr>
        <w:t>include the following incomplete or inconsistent information</w:t>
      </w:r>
      <w:r w:rsidRPr="00B53C1D">
        <w:rPr>
          <w:sz w:val="22"/>
          <w:szCs w:val="22"/>
        </w:rPr>
        <w:t>:</w:t>
      </w:r>
    </w:p>
    <w:p w:rsidR="00A33738" w:rsidRPr="00B53C1D" w:rsidP="00CA2570" w14:paraId="16461B38" w14:textId="129B92B2">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Table 2b in the</w:t>
      </w:r>
      <w:r w:rsidRPr="00B53C1D">
        <w:rPr>
          <w:sz w:val="22"/>
          <w:szCs w:val="22"/>
        </w:rPr>
        <w:t xml:space="preserve"> </w:t>
      </w:r>
      <w:r w:rsidRPr="00B53C1D" w:rsidR="0028773C">
        <w:rPr>
          <w:sz w:val="22"/>
          <w:szCs w:val="22"/>
        </w:rPr>
        <w:t xml:space="preserve">OSK Revised </w:t>
      </w:r>
      <w:r w:rsidRPr="00B53C1D">
        <w:rPr>
          <w:sz w:val="22"/>
          <w:szCs w:val="22"/>
        </w:rPr>
        <w:t xml:space="preserve">Technical Annex lists </w:t>
      </w:r>
      <w:r w:rsidRPr="00B53C1D" w:rsidR="001A1A50">
        <w:rPr>
          <w:sz w:val="22"/>
          <w:szCs w:val="22"/>
        </w:rPr>
        <w:t xml:space="preserve">the </w:t>
      </w:r>
      <w:r w:rsidRPr="00B53C1D">
        <w:rPr>
          <w:sz w:val="22"/>
          <w:szCs w:val="22"/>
        </w:rPr>
        <w:t xml:space="preserve">center frequency for A-RH </w:t>
      </w:r>
      <w:r w:rsidRPr="00B53C1D" w:rsidR="00DC029C">
        <w:rPr>
          <w:sz w:val="22"/>
          <w:szCs w:val="22"/>
        </w:rPr>
        <w:t xml:space="preserve">on GHOSt-03 and GHOSt-05 </w:t>
      </w:r>
      <w:r w:rsidRPr="00B53C1D">
        <w:rPr>
          <w:sz w:val="22"/>
          <w:szCs w:val="22"/>
        </w:rPr>
        <w:t xml:space="preserve">as 26.250 </w:t>
      </w:r>
      <w:r w:rsidRPr="00B53C1D" w:rsidR="001A1A50">
        <w:rPr>
          <w:sz w:val="22"/>
          <w:szCs w:val="22"/>
        </w:rPr>
        <w:t>GHz</w:t>
      </w:r>
      <w:r w:rsidRPr="00B53C1D">
        <w:rPr>
          <w:sz w:val="22"/>
          <w:szCs w:val="22"/>
        </w:rPr>
        <w:t xml:space="preserve">, but </w:t>
      </w:r>
      <w:r w:rsidRPr="00B53C1D" w:rsidR="0028773C">
        <w:rPr>
          <w:sz w:val="22"/>
          <w:szCs w:val="22"/>
        </w:rPr>
        <w:t xml:space="preserve">the OSK Further Revised </w:t>
      </w:r>
      <w:r w:rsidRPr="00B53C1D">
        <w:rPr>
          <w:sz w:val="22"/>
          <w:szCs w:val="22"/>
        </w:rPr>
        <w:t xml:space="preserve">Schedule S lists the center frequency </w:t>
      </w:r>
      <w:r w:rsidRPr="00B53C1D" w:rsidR="004C27CE">
        <w:rPr>
          <w:sz w:val="22"/>
          <w:szCs w:val="22"/>
        </w:rPr>
        <w:t>for</w:t>
      </w:r>
      <w:r w:rsidRPr="00B53C1D">
        <w:rPr>
          <w:sz w:val="22"/>
          <w:szCs w:val="22"/>
        </w:rPr>
        <w:t xml:space="preserve"> A-RH as 2</w:t>
      </w:r>
      <w:r w:rsidRPr="00B53C1D" w:rsidR="00235D8B">
        <w:rPr>
          <w:sz w:val="22"/>
          <w:szCs w:val="22"/>
        </w:rPr>
        <w:t>5</w:t>
      </w:r>
      <w:r w:rsidRPr="00B53C1D">
        <w:rPr>
          <w:sz w:val="22"/>
          <w:szCs w:val="22"/>
        </w:rPr>
        <w:t xml:space="preserve">.725 </w:t>
      </w:r>
      <w:r w:rsidRPr="00B53C1D" w:rsidR="001A1A50">
        <w:rPr>
          <w:sz w:val="22"/>
          <w:szCs w:val="22"/>
        </w:rPr>
        <w:t>GHz</w:t>
      </w:r>
      <w:r w:rsidRPr="00B53C1D">
        <w:rPr>
          <w:sz w:val="22"/>
          <w:szCs w:val="22"/>
        </w:rPr>
        <w:t>.</w:t>
      </w:r>
      <w:r>
        <w:rPr>
          <w:sz w:val="22"/>
          <w:szCs w:val="22"/>
          <w:vertAlign w:val="superscript"/>
        </w:rPr>
        <w:footnoteReference w:id="5"/>
      </w:r>
      <w:r w:rsidRPr="00B53C1D">
        <w:rPr>
          <w:sz w:val="22"/>
          <w:szCs w:val="22"/>
          <w:vertAlign w:val="superscript"/>
        </w:rPr>
        <w:t> </w:t>
      </w:r>
    </w:p>
    <w:p w:rsidR="00A33738" w:rsidRPr="00B53C1D" w:rsidP="00B0717F" w14:paraId="76FA9ACE" w14:textId="20556029">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Table 2b in the</w:t>
      </w:r>
      <w:r w:rsidRPr="00B53C1D">
        <w:rPr>
          <w:sz w:val="22"/>
          <w:szCs w:val="22"/>
        </w:rPr>
        <w:t xml:space="preserve"> </w:t>
      </w:r>
      <w:r w:rsidRPr="00B53C1D" w:rsidR="0028773C">
        <w:rPr>
          <w:sz w:val="22"/>
          <w:szCs w:val="22"/>
        </w:rPr>
        <w:t xml:space="preserve">OSK Revised </w:t>
      </w:r>
      <w:r w:rsidRPr="00B53C1D">
        <w:rPr>
          <w:sz w:val="22"/>
          <w:szCs w:val="22"/>
        </w:rPr>
        <w:t xml:space="preserve">Technical Annex lists </w:t>
      </w:r>
      <w:r w:rsidRPr="00B53C1D" w:rsidR="004C27CE">
        <w:rPr>
          <w:sz w:val="22"/>
          <w:szCs w:val="22"/>
        </w:rPr>
        <w:t xml:space="preserve">the </w:t>
      </w:r>
      <w:r w:rsidRPr="00B53C1D">
        <w:rPr>
          <w:sz w:val="22"/>
          <w:szCs w:val="22"/>
        </w:rPr>
        <w:t xml:space="preserve">center frequency for A-LH </w:t>
      </w:r>
      <w:r w:rsidRPr="00B53C1D" w:rsidR="00DC029C">
        <w:rPr>
          <w:sz w:val="22"/>
          <w:szCs w:val="22"/>
        </w:rPr>
        <w:t xml:space="preserve">on GHOSt-04 and GHOSt-06 </w:t>
      </w:r>
      <w:r w:rsidRPr="00B53C1D">
        <w:rPr>
          <w:sz w:val="22"/>
          <w:szCs w:val="22"/>
        </w:rPr>
        <w:t xml:space="preserve">as 26.250 </w:t>
      </w:r>
      <w:r w:rsidRPr="00B53C1D" w:rsidR="001A1A50">
        <w:rPr>
          <w:sz w:val="22"/>
          <w:szCs w:val="22"/>
        </w:rPr>
        <w:t>GHz</w:t>
      </w:r>
      <w:r w:rsidRPr="00B53C1D">
        <w:rPr>
          <w:sz w:val="22"/>
          <w:szCs w:val="22"/>
        </w:rPr>
        <w:t xml:space="preserve">, but </w:t>
      </w:r>
      <w:r w:rsidRPr="00B53C1D" w:rsidR="0028773C">
        <w:rPr>
          <w:sz w:val="22"/>
          <w:szCs w:val="22"/>
        </w:rPr>
        <w:t xml:space="preserve">the OSK Further Revised </w:t>
      </w:r>
      <w:r w:rsidRPr="00B53C1D">
        <w:rPr>
          <w:sz w:val="22"/>
          <w:szCs w:val="22"/>
        </w:rPr>
        <w:t xml:space="preserve">Schedule S lists the center frequency </w:t>
      </w:r>
      <w:r w:rsidRPr="00B53C1D" w:rsidR="004C27CE">
        <w:rPr>
          <w:sz w:val="22"/>
          <w:szCs w:val="22"/>
        </w:rPr>
        <w:t>for</w:t>
      </w:r>
      <w:r w:rsidRPr="00B53C1D">
        <w:rPr>
          <w:sz w:val="22"/>
          <w:szCs w:val="22"/>
        </w:rPr>
        <w:t xml:space="preserve"> A-LH as 25.725 </w:t>
      </w:r>
      <w:r w:rsidRPr="00B53C1D" w:rsidR="001A1A50">
        <w:rPr>
          <w:sz w:val="22"/>
          <w:szCs w:val="22"/>
        </w:rPr>
        <w:t>GHz</w:t>
      </w:r>
      <w:r w:rsidRPr="00B53C1D">
        <w:rPr>
          <w:sz w:val="22"/>
          <w:szCs w:val="22"/>
        </w:rPr>
        <w:t>.</w:t>
      </w:r>
      <w:r>
        <w:rPr>
          <w:sz w:val="22"/>
          <w:szCs w:val="22"/>
          <w:vertAlign w:val="superscript"/>
        </w:rPr>
        <w:footnoteReference w:id="6"/>
      </w:r>
      <w:r w:rsidRPr="00B53C1D">
        <w:rPr>
          <w:sz w:val="22"/>
          <w:szCs w:val="22"/>
          <w:vertAlign w:val="superscript"/>
        </w:rPr>
        <w:t> </w:t>
      </w:r>
      <w:r w:rsidRPr="00B53C1D">
        <w:rPr>
          <w:sz w:val="22"/>
          <w:szCs w:val="22"/>
        </w:rPr>
        <w:t> </w:t>
      </w:r>
    </w:p>
    <w:p w:rsidR="00A33738" w:rsidRPr="00B53C1D" w:rsidP="00B0717F" w14:paraId="4DD2E951" w14:textId="48769ACB">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Figure</w:t>
      </w:r>
      <w:r w:rsidRPr="00B53C1D" w:rsidR="00E05E5C">
        <w:rPr>
          <w:sz w:val="22"/>
          <w:szCs w:val="22"/>
        </w:rPr>
        <w:t xml:space="preserve"> 1 </w:t>
      </w:r>
      <w:r w:rsidRPr="00B53C1D" w:rsidR="007E37DB">
        <w:rPr>
          <w:sz w:val="22"/>
          <w:szCs w:val="22"/>
        </w:rPr>
        <w:t xml:space="preserve">in the </w:t>
      </w:r>
      <w:r w:rsidRPr="00B53C1D" w:rsidR="0028773C">
        <w:rPr>
          <w:sz w:val="22"/>
          <w:szCs w:val="22"/>
        </w:rPr>
        <w:t xml:space="preserve">OSK Revised </w:t>
      </w:r>
      <w:r w:rsidRPr="00B53C1D" w:rsidR="007E37DB">
        <w:rPr>
          <w:sz w:val="22"/>
          <w:szCs w:val="22"/>
        </w:rPr>
        <w:t>Technical Annex shows the center frequency for B-RH as 26.250 GHz</w:t>
      </w:r>
      <w:r w:rsidRPr="00B53C1D" w:rsidR="00860DDE">
        <w:rPr>
          <w:sz w:val="22"/>
          <w:szCs w:val="22"/>
        </w:rPr>
        <w:t xml:space="preserve"> in the long-term plan</w:t>
      </w:r>
      <w:r w:rsidRPr="00B53C1D" w:rsidR="007E37DB">
        <w:rPr>
          <w:sz w:val="22"/>
          <w:szCs w:val="22"/>
        </w:rPr>
        <w:t xml:space="preserve">, and Figure </w:t>
      </w:r>
      <w:r w:rsidRPr="00B53C1D" w:rsidR="00654984">
        <w:rPr>
          <w:sz w:val="22"/>
          <w:szCs w:val="22"/>
        </w:rPr>
        <w:t>5</w:t>
      </w:r>
      <w:r w:rsidRPr="00B53C1D">
        <w:rPr>
          <w:sz w:val="22"/>
          <w:szCs w:val="22"/>
        </w:rPr>
        <w:t xml:space="preserve"> show</w:t>
      </w:r>
      <w:r w:rsidRPr="00B53C1D" w:rsidR="007E37DB">
        <w:rPr>
          <w:sz w:val="22"/>
          <w:szCs w:val="22"/>
        </w:rPr>
        <w:t>s</w:t>
      </w:r>
      <w:r w:rsidRPr="00B53C1D">
        <w:rPr>
          <w:sz w:val="22"/>
          <w:szCs w:val="22"/>
        </w:rPr>
        <w:t xml:space="preserve"> the center frequency for B-RH on GHOSt-03 as 26.250 </w:t>
      </w:r>
      <w:r w:rsidRPr="00B53C1D" w:rsidR="001A1A50">
        <w:rPr>
          <w:sz w:val="22"/>
          <w:szCs w:val="22"/>
        </w:rPr>
        <w:t>GHz</w:t>
      </w:r>
      <w:r w:rsidRPr="00B53C1D">
        <w:rPr>
          <w:sz w:val="22"/>
          <w:szCs w:val="22"/>
        </w:rPr>
        <w:t>.</w:t>
      </w:r>
      <w:r>
        <w:rPr>
          <w:sz w:val="22"/>
          <w:szCs w:val="22"/>
          <w:vertAlign w:val="superscript"/>
        </w:rPr>
        <w:footnoteReference w:id="7"/>
      </w:r>
      <w:r w:rsidRPr="00B53C1D">
        <w:rPr>
          <w:sz w:val="22"/>
          <w:szCs w:val="22"/>
        </w:rPr>
        <w:t xml:space="preserve">  </w:t>
      </w:r>
      <w:r w:rsidRPr="00B53C1D" w:rsidR="00654984">
        <w:rPr>
          <w:sz w:val="22"/>
          <w:szCs w:val="22"/>
        </w:rPr>
        <w:t>Table</w:t>
      </w:r>
      <w:r w:rsidRPr="00B53C1D" w:rsidR="00E05E5C">
        <w:rPr>
          <w:sz w:val="22"/>
          <w:szCs w:val="22"/>
        </w:rPr>
        <w:t xml:space="preserve"> 2b list</w:t>
      </w:r>
      <w:r w:rsidRPr="00B53C1D" w:rsidR="007E37DB">
        <w:rPr>
          <w:sz w:val="22"/>
          <w:szCs w:val="22"/>
        </w:rPr>
        <w:t>s the center frequency for B-RH on GHOSt-03</w:t>
      </w:r>
      <w:r w:rsidRPr="00B53C1D">
        <w:rPr>
          <w:sz w:val="22"/>
          <w:szCs w:val="22"/>
        </w:rPr>
        <w:t xml:space="preserve"> as 25.725 </w:t>
      </w:r>
      <w:r w:rsidRPr="00B53C1D" w:rsidR="001A1A50">
        <w:rPr>
          <w:sz w:val="22"/>
          <w:szCs w:val="22"/>
        </w:rPr>
        <w:t>GHz</w:t>
      </w:r>
      <w:r w:rsidRPr="00B53C1D" w:rsidR="00E05E5C">
        <w:rPr>
          <w:sz w:val="22"/>
          <w:szCs w:val="22"/>
        </w:rPr>
        <w:t>.</w:t>
      </w:r>
      <w:r>
        <w:rPr>
          <w:sz w:val="22"/>
          <w:szCs w:val="22"/>
          <w:vertAlign w:val="superscript"/>
        </w:rPr>
        <w:footnoteReference w:id="8"/>
      </w:r>
      <w:r w:rsidRPr="00B53C1D">
        <w:rPr>
          <w:sz w:val="22"/>
          <w:szCs w:val="22"/>
        </w:rPr>
        <w:t> </w:t>
      </w:r>
    </w:p>
    <w:p w:rsidR="00A33738" w:rsidRPr="00B53C1D" w:rsidP="00CA2570" w14:paraId="2F4D9BE6" w14:textId="08B8C380">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Figure</w:t>
      </w:r>
      <w:r w:rsidRPr="00B53C1D" w:rsidR="00E05E5C">
        <w:rPr>
          <w:sz w:val="22"/>
          <w:szCs w:val="22"/>
        </w:rPr>
        <w:t xml:space="preserve"> 2 </w:t>
      </w:r>
      <w:r w:rsidRPr="00B53C1D" w:rsidR="007E37DB">
        <w:rPr>
          <w:sz w:val="22"/>
          <w:szCs w:val="22"/>
        </w:rPr>
        <w:t xml:space="preserve">in the </w:t>
      </w:r>
      <w:r w:rsidRPr="00B53C1D" w:rsidR="0028773C">
        <w:rPr>
          <w:sz w:val="22"/>
          <w:szCs w:val="22"/>
        </w:rPr>
        <w:t xml:space="preserve">OSK Revised </w:t>
      </w:r>
      <w:r w:rsidRPr="00B53C1D" w:rsidR="007E37DB">
        <w:rPr>
          <w:sz w:val="22"/>
          <w:szCs w:val="22"/>
        </w:rPr>
        <w:t>Technical Annex shows the center frequency for B-LH as 26.250 GHz</w:t>
      </w:r>
      <w:r w:rsidRPr="00B53C1D" w:rsidR="00860DDE">
        <w:rPr>
          <w:sz w:val="22"/>
          <w:szCs w:val="22"/>
        </w:rPr>
        <w:t xml:space="preserve"> in the long-term plan</w:t>
      </w:r>
      <w:r w:rsidRPr="00B53C1D" w:rsidR="007E37DB">
        <w:rPr>
          <w:sz w:val="22"/>
          <w:szCs w:val="22"/>
        </w:rPr>
        <w:t xml:space="preserve">, and Figure 6 shows </w:t>
      </w:r>
      <w:r w:rsidRPr="00B53C1D">
        <w:rPr>
          <w:sz w:val="22"/>
          <w:szCs w:val="22"/>
        </w:rPr>
        <w:t xml:space="preserve">the center frequency for B-LH on GHOSt-04 as 26.250 </w:t>
      </w:r>
      <w:r w:rsidRPr="00B53C1D" w:rsidR="001A1A50">
        <w:rPr>
          <w:sz w:val="22"/>
          <w:szCs w:val="22"/>
        </w:rPr>
        <w:t>GHz</w:t>
      </w:r>
      <w:r w:rsidRPr="00B53C1D">
        <w:rPr>
          <w:sz w:val="22"/>
          <w:szCs w:val="22"/>
        </w:rPr>
        <w:t>.</w:t>
      </w:r>
      <w:r>
        <w:rPr>
          <w:sz w:val="22"/>
          <w:szCs w:val="22"/>
          <w:vertAlign w:val="superscript"/>
        </w:rPr>
        <w:footnoteReference w:id="9"/>
      </w:r>
      <w:r w:rsidRPr="00B53C1D">
        <w:rPr>
          <w:sz w:val="22"/>
          <w:szCs w:val="22"/>
        </w:rPr>
        <w:t xml:space="preserve"> </w:t>
      </w:r>
      <w:r w:rsidRPr="00B53C1D" w:rsidR="00E05E5C">
        <w:rPr>
          <w:sz w:val="22"/>
          <w:szCs w:val="22"/>
        </w:rPr>
        <w:t xml:space="preserve"> Table </w:t>
      </w:r>
      <w:r w:rsidRPr="00B53C1D" w:rsidR="00BE5554">
        <w:rPr>
          <w:sz w:val="22"/>
          <w:szCs w:val="22"/>
        </w:rPr>
        <w:t>2</w:t>
      </w:r>
      <w:r w:rsidRPr="00B53C1D" w:rsidR="00E05E5C">
        <w:rPr>
          <w:sz w:val="22"/>
          <w:szCs w:val="22"/>
        </w:rPr>
        <w:t>b list</w:t>
      </w:r>
      <w:r w:rsidRPr="00B53C1D" w:rsidR="00BE5554">
        <w:rPr>
          <w:sz w:val="22"/>
          <w:szCs w:val="22"/>
        </w:rPr>
        <w:t>s</w:t>
      </w:r>
      <w:r w:rsidRPr="00B53C1D" w:rsidR="00E05E5C">
        <w:rPr>
          <w:sz w:val="22"/>
          <w:szCs w:val="22"/>
        </w:rPr>
        <w:t xml:space="preserve"> </w:t>
      </w:r>
      <w:r w:rsidRPr="00B53C1D" w:rsidR="007E37DB">
        <w:rPr>
          <w:sz w:val="22"/>
          <w:szCs w:val="22"/>
        </w:rPr>
        <w:t>the center frequency for B-LH on GHOSt-04</w:t>
      </w:r>
      <w:r w:rsidRPr="00B53C1D">
        <w:rPr>
          <w:sz w:val="22"/>
          <w:szCs w:val="22"/>
        </w:rPr>
        <w:t xml:space="preserve"> as 25.725 </w:t>
      </w:r>
      <w:r w:rsidRPr="00B53C1D" w:rsidR="001A1A50">
        <w:rPr>
          <w:sz w:val="22"/>
          <w:szCs w:val="22"/>
        </w:rPr>
        <w:t>GHz</w:t>
      </w:r>
      <w:r w:rsidRPr="00B53C1D" w:rsidR="00E05E5C">
        <w:rPr>
          <w:sz w:val="22"/>
          <w:szCs w:val="22"/>
        </w:rPr>
        <w:t>.</w:t>
      </w:r>
      <w:r>
        <w:rPr>
          <w:sz w:val="22"/>
          <w:szCs w:val="22"/>
          <w:vertAlign w:val="superscript"/>
        </w:rPr>
        <w:footnoteReference w:id="10"/>
      </w:r>
      <w:r w:rsidRPr="00B53C1D">
        <w:rPr>
          <w:sz w:val="22"/>
          <w:szCs w:val="22"/>
          <w:vertAlign w:val="superscript"/>
        </w:rPr>
        <w:t> </w:t>
      </w:r>
    </w:p>
    <w:p w:rsidR="00A33738" w:rsidRPr="00B53C1D" w:rsidP="00CA2570" w14:paraId="4F62875E" w14:textId="4B166CBC">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 xml:space="preserve">Figure 6 in the </w:t>
      </w:r>
      <w:r w:rsidRPr="00B53C1D" w:rsidR="0028773C">
        <w:rPr>
          <w:sz w:val="22"/>
          <w:szCs w:val="22"/>
        </w:rPr>
        <w:t xml:space="preserve">OSK Revised </w:t>
      </w:r>
      <w:r w:rsidRPr="00B53C1D">
        <w:rPr>
          <w:sz w:val="22"/>
          <w:szCs w:val="22"/>
        </w:rPr>
        <w:t xml:space="preserve">Technical Annex </w:t>
      </w:r>
      <w:r w:rsidRPr="00B53C1D">
        <w:rPr>
          <w:sz w:val="22"/>
          <w:szCs w:val="22"/>
        </w:rPr>
        <w:t xml:space="preserve">lists the center frequency for A-LH </w:t>
      </w:r>
      <w:r w:rsidRPr="00B53C1D" w:rsidR="00654984">
        <w:rPr>
          <w:sz w:val="22"/>
          <w:szCs w:val="22"/>
        </w:rPr>
        <w:t xml:space="preserve">on GHOSt-04 </w:t>
      </w:r>
      <w:r w:rsidRPr="00B53C1D">
        <w:rPr>
          <w:sz w:val="22"/>
          <w:szCs w:val="22"/>
        </w:rPr>
        <w:t xml:space="preserve">as 25.725 </w:t>
      </w:r>
      <w:r w:rsidRPr="00B53C1D" w:rsidR="001A1A50">
        <w:rPr>
          <w:sz w:val="22"/>
          <w:szCs w:val="22"/>
        </w:rPr>
        <w:t>GHz</w:t>
      </w:r>
      <w:r w:rsidRPr="00B53C1D" w:rsidR="007E37DB">
        <w:rPr>
          <w:sz w:val="22"/>
          <w:szCs w:val="22"/>
        </w:rPr>
        <w:t>, and Figure 8 lists the center frequency for A-LH on GHOSt-06 as 25.725 GHz</w:t>
      </w:r>
      <w:r w:rsidRPr="00B53C1D">
        <w:rPr>
          <w:sz w:val="22"/>
          <w:szCs w:val="22"/>
        </w:rPr>
        <w:t>.</w:t>
      </w:r>
      <w:r>
        <w:rPr>
          <w:sz w:val="22"/>
          <w:szCs w:val="22"/>
          <w:vertAlign w:val="superscript"/>
        </w:rPr>
        <w:footnoteReference w:id="11"/>
      </w:r>
      <w:r w:rsidRPr="00B53C1D">
        <w:rPr>
          <w:sz w:val="22"/>
          <w:szCs w:val="22"/>
        </w:rPr>
        <w:t xml:space="preserve"> </w:t>
      </w:r>
      <w:r w:rsidRPr="00B53C1D">
        <w:rPr>
          <w:sz w:val="22"/>
          <w:szCs w:val="22"/>
        </w:rPr>
        <w:t xml:space="preserve"> Figure</w:t>
      </w:r>
      <w:r w:rsidRPr="00B53C1D">
        <w:rPr>
          <w:sz w:val="22"/>
          <w:szCs w:val="22"/>
        </w:rPr>
        <w:t xml:space="preserve"> 2</w:t>
      </w:r>
      <w:r w:rsidRPr="00B53C1D">
        <w:rPr>
          <w:sz w:val="22"/>
          <w:szCs w:val="22"/>
        </w:rPr>
        <w:t xml:space="preserve"> lists </w:t>
      </w:r>
      <w:r w:rsidRPr="00B53C1D">
        <w:rPr>
          <w:sz w:val="22"/>
          <w:szCs w:val="22"/>
        </w:rPr>
        <w:t xml:space="preserve">the </w:t>
      </w:r>
      <w:r w:rsidRPr="00B53C1D">
        <w:rPr>
          <w:sz w:val="22"/>
          <w:szCs w:val="22"/>
        </w:rPr>
        <w:t xml:space="preserve">center frequency </w:t>
      </w:r>
      <w:r w:rsidRPr="00B53C1D" w:rsidR="007E37DB">
        <w:rPr>
          <w:sz w:val="22"/>
          <w:szCs w:val="22"/>
        </w:rPr>
        <w:t xml:space="preserve">for A-LH </w:t>
      </w:r>
      <w:r w:rsidRPr="00B53C1D">
        <w:rPr>
          <w:sz w:val="22"/>
          <w:szCs w:val="22"/>
        </w:rPr>
        <w:t xml:space="preserve">as 25.775 </w:t>
      </w:r>
      <w:r w:rsidRPr="00B53C1D" w:rsidR="001A1A50">
        <w:rPr>
          <w:sz w:val="22"/>
          <w:szCs w:val="22"/>
        </w:rPr>
        <w:t>GHz</w:t>
      </w:r>
      <w:r w:rsidRPr="00B53C1D" w:rsidR="00860DDE">
        <w:rPr>
          <w:sz w:val="22"/>
          <w:szCs w:val="22"/>
        </w:rPr>
        <w:t xml:space="preserve"> in the long-term plan</w:t>
      </w:r>
      <w:r w:rsidRPr="00B53C1D">
        <w:rPr>
          <w:sz w:val="22"/>
          <w:szCs w:val="22"/>
        </w:rPr>
        <w:t>.</w:t>
      </w:r>
      <w:r>
        <w:rPr>
          <w:sz w:val="22"/>
          <w:szCs w:val="22"/>
          <w:vertAlign w:val="superscript"/>
        </w:rPr>
        <w:footnoteReference w:id="12"/>
      </w:r>
      <w:r w:rsidRPr="00B53C1D">
        <w:rPr>
          <w:sz w:val="22"/>
          <w:szCs w:val="22"/>
        </w:rPr>
        <w:t xml:space="preserve"> </w:t>
      </w:r>
      <w:r w:rsidRPr="00B53C1D">
        <w:rPr>
          <w:sz w:val="22"/>
          <w:szCs w:val="22"/>
        </w:rPr>
        <w:t xml:space="preserve"> Table 2b</w:t>
      </w:r>
      <w:r w:rsidRPr="00B53C1D">
        <w:rPr>
          <w:sz w:val="22"/>
          <w:szCs w:val="22"/>
        </w:rPr>
        <w:t xml:space="preserve"> lists </w:t>
      </w:r>
      <w:r w:rsidRPr="00B53C1D" w:rsidR="007E37DB">
        <w:rPr>
          <w:sz w:val="22"/>
          <w:szCs w:val="22"/>
        </w:rPr>
        <w:t>the center frequency for A-LH on GHOSt-04 and GHOSt-06</w:t>
      </w:r>
      <w:r w:rsidRPr="00B53C1D">
        <w:rPr>
          <w:sz w:val="22"/>
          <w:szCs w:val="22"/>
        </w:rPr>
        <w:t xml:space="preserve"> as 26.250 </w:t>
      </w:r>
      <w:r w:rsidRPr="00B53C1D" w:rsidR="001A1A50">
        <w:rPr>
          <w:sz w:val="22"/>
          <w:szCs w:val="22"/>
        </w:rPr>
        <w:t>GHz</w:t>
      </w:r>
      <w:r w:rsidRPr="00B53C1D">
        <w:rPr>
          <w:sz w:val="22"/>
          <w:szCs w:val="22"/>
        </w:rPr>
        <w:t>.</w:t>
      </w:r>
      <w:r>
        <w:rPr>
          <w:sz w:val="22"/>
          <w:szCs w:val="22"/>
          <w:vertAlign w:val="superscript"/>
        </w:rPr>
        <w:footnoteReference w:id="13"/>
      </w:r>
      <w:r w:rsidRPr="00B53C1D">
        <w:rPr>
          <w:sz w:val="22"/>
          <w:szCs w:val="22"/>
        </w:rPr>
        <w:t> </w:t>
      </w:r>
    </w:p>
    <w:p w:rsidR="00A33738" w:rsidRPr="00B53C1D" w:rsidP="00CA2570" w14:paraId="11EFFF90" w14:textId="57693EA5">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Figure 1</w:t>
      </w:r>
      <w:r w:rsidRPr="00B53C1D" w:rsidR="00401EED">
        <w:rPr>
          <w:sz w:val="22"/>
          <w:szCs w:val="22"/>
        </w:rPr>
        <w:t xml:space="preserve"> in the </w:t>
      </w:r>
      <w:r w:rsidRPr="00B53C1D" w:rsidR="0028773C">
        <w:rPr>
          <w:sz w:val="22"/>
          <w:szCs w:val="22"/>
        </w:rPr>
        <w:t xml:space="preserve">OSK Revised </w:t>
      </w:r>
      <w:r w:rsidRPr="00B53C1D" w:rsidR="00401EED">
        <w:rPr>
          <w:sz w:val="22"/>
          <w:szCs w:val="22"/>
        </w:rPr>
        <w:t>Technical Annex lists the center frequency for A-RH as 25.725 GHz</w:t>
      </w:r>
      <w:r w:rsidRPr="00B53C1D" w:rsidR="00860DDE">
        <w:rPr>
          <w:sz w:val="22"/>
          <w:szCs w:val="22"/>
        </w:rPr>
        <w:t xml:space="preserve"> in the long-term plan</w:t>
      </w:r>
      <w:r w:rsidRPr="00B53C1D" w:rsidR="0089729C">
        <w:rPr>
          <w:sz w:val="22"/>
          <w:szCs w:val="22"/>
        </w:rPr>
        <w:t xml:space="preserve">, </w:t>
      </w:r>
      <w:r w:rsidRPr="00B53C1D" w:rsidR="00401EED">
        <w:rPr>
          <w:sz w:val="22"/>
          <w:szCs w:val="22"/>
        </w:rPr>
        <w:t>Figure 5 lists the center frequency for A-RH on GHOSt-03 as 25.725 GHz</w:t>
      </w:r>
      <w:r w:rsidRPr="00B53C1D" w:rsidR="0089729C">
        <w:rPr>
          <w:sz w:val="22"/>
          <w:szCs w:val="22"/>
        </w:rPr>
        <w:t xml:space="preserve">, and </w:t>
      </w:r>
      <w:r w:rsidRPr="00B53C1D" w:rsidR="00401EED">
        <w:rPr>
          <w:sz w:val="22"/>
          <w:szCs w:val="22"/>
        </w:rPr>
        <w:t xml:space="preserve">Figure </w:t>
      </w:r>
      <w:r w:rsidRPr="00B53C1D" w:rsidR="0089729C">
        <w:rPr>
          <w:sz w:val="22"/>
          <w:szCs w:val="22"/>
        </w:rPr>
        <w:t>7</w:t>
      </w:r>
      <w:r w:rsidRPr="00B53C1D">
        <w:rPr>
          <w:sz w:val="22"/>
          <w:szCs w:val="22"/>
        </w:rPr>
        <w:t xml:space="preserve"> </w:t>
      </w:r>
      <w:r w:rsidRPr="00B53C1D">
        <w:rPr>
          <w:sz w:val="22"/>
          <w:szCs w:val="22"/>
        </w:rPr>
        <w:t>list</w:t>
      </w:r>
      <w:r w:rsidRPr="00B53C1D" w:rsidR="00401EED">
        <w:rPr>
          <w:sz w:val="22"/>
          <w:szCs w:val="22"/>
        </w:rPr>
        <w:t>s</w:t>
      </w:r>
      <w:r w:rsidRPr="00B53C1D">
        <w:rPr>
          <w:sz w:val="22"/>
          <w:szCs w:val="22"/>
        </w:rPr>
        <w:t xml:space="preserve"> the center frequency for A-RH </w:t>
      </w:r>
      <w:r w:rsidRPr="00B53C1D" w:rsidR="00401EED">
        <w:rPr>
          <w:sz w:val="22"/>
          <w:szCs w:val="22"/>
        </w:rPr>
        <w:t xml:space="preserve">on GHOSt-05 </w:t>
      </w:r>
      <w:r w:rsidRPr="00B53C1D">
        <w:rPr>
          <w:sz w:val="22"/>
          <w:szCs w:val="22"/>
        </w:rPr>
        <w:t xml:space="preserve">as 25.725 </w:t>
      </w:r>
      <w:r w:rsidRPr="00B53C1D" w:rsidR="001A1A50">
        <w:rPr>
          <w:sz w:val="22"/>
          <w:szCs w:val="22"/>
        </w:rPr>
        <w:t>GHz</w:t>
      </w:r>
      <w:r w:rsidRPr="00B53C1D">
        <w:rPr>
          <w:sz w:val="22"/>
          <w:szCs w:val="22"/>
        </w:rPr>
        <w:t>.</w:t>
      </w:r>
      <w:r>
        <w:rPr>
          <w:sz w:val="22"/>
          <w:szCs w:val="22"/>
          <w:vertAlign w:val="superscript"/>
        </w:rPr>
        <w:footnoteReference w:id="14"/>
      </w:r>
      <w:r w:rsidRPr="00B53C1D">
        <w:rPr>
          <w:sz w:val="22"/>
          <w:szCs w:val="22"/>
          <w:vertAlign w:val="superscript"/>
        </w:rPr>
        <w:t xml:space="preserve"> </w:t>
      </w:r>
      <w:r w:rsidRPr="00B53C1D">
        <w:rPr>
          <w:sz w:val="22"/>
          <w:szCs w:val="22"/>
        </w:rPr>
        <w:t xml:space="preserve"> Table 2b</w:t>
      </w:r>
      <w:r w:rsidRPr="00B53C1D">
        <w:rPr>
          <w:sz w:val="22"/>
          <w:szCs w:val="22"/>
        </w:rPr>
        <w:t xml:space="preserve"> lists </w:t>
      </w:r>
      <w:r w:rsidRPr="00B53C1D" w:rsidR="00401EED">
        <w:rPr>
          <w:sz w:val="22"/>
          <w:szCs w:val="22"/>
        </w:rPr>
        <w:t>the center frequency for A-RH on GHOSt-03 and GHOSt-05</w:t>
      </w:r>
      <w:r w:rsidRPr="00B53C1D">
        <w:rPr>
          <w:sz w:val="22"/>
          <w:szCs w:val="22"/>
        </w:rPr>
        <w:t xml:space="preserve"> as 26.250 </w:t>
      </w:r>
      <w:r w:rsidRPr="00B53C1D" w:rsidR="001A1A50">
        <w:rPr>
          <w:sz w:val="22"/>
          <w:szCs w:val="22"/>
        </w:rPr>
        <w:t>GHz</w:t>
      </w:r>
      <w:r w:rsidRPr="00B53C1D">
        <w:rPr>
          <w:sz w:val="22"/>
          <w:szCs w:val="22"/>
        </w:rPr>
        <w:t>.</w:t>
      </w:r>
      <w:r>
        <w:rPr>
          <w:sz w:val="22"/>
          <w:szCs w:val="22"/>
          <w:vertAlign w:val="superscript"/>
        </w:rPr>
        <w:footnoteReference w:id="15"/>
      </w:r>
      <w:r w:rsidRPr="00B53C1D">
        <w:rPr>
          <w:sz w:val="22"/>
          <w:szCs w:val="22"/>
        </w:rPr>
        <w:t> </w:t>
      </w:r>
    </w:p>
    <w:p w:rsidR="00A33738" w:rsidRPr="00B53C1D" w:rsidP="00CA2570" w14:paraId="3F2BE5B2" w14:textId="0C1D3CD0">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 xml:space="preserve">Figures 3 and 4 </w:t>
      </w:r>
      <w:r w:rsidRPr="00B53C1D" w:rsidR="00BB73A3">
        <w:rPr>
          <w:sz w:val="22"/>
          <w:szCs w:val="22"/>
        </w:rPr>
        <w:t xml:space="preserve">in the </w:t>
      </w:r>
      <w:r w:rsidRPr="00B53C1D" w:rsidR="0028773C">
        <w:rPr>
          <w:sz w:val="22"/>
          <w:szCs w:val="22"/>
        </w:rPr>
        <w:t xml:space="preserve">OSK Revised </w:t>
      </w:r>
      <w:r w:rsidRPr="00B53C1D" w:rsidR="00BB73A3">
        <w:rPr>
          <w:sz w:val="22"/>
          <w:szCs w:val="22"/>
        </w:rPr>
        <w:t xml:space="preserve">Technical Annex </w:t>
      </w:r>
      <w:r w:rsidRPr="00B53C1D">
        <w:rPr>
          <w:sz w:val="22"/>
          <w:szCs w:val="22"/>
        </w:rPr>
        <w:t>seem to indicate that the</w:t>
      </w:r>
      <w:r w:rsidRPr="00B53C1D">
        <w:rPr>
          <w:sz w:val="22"/>
          <w:szCs w:val="22"/>
        </w:rPr>
        <w:t xml:space="preserve"> center frequenc</w:t>
      </w:r>
      <w:r w:rsidRPr="00B53C1D">
        <w:rPr>
          <w:sz w:val="22"/>
          <w:szCs w:val="22"/>
        </w:rPr>
        <w:t>ies</w:t>
      </w:r>
      <w:r w:rsidRPr="00B53C1D">
        <w:rPr>
          <w:sz w:val="22"/>
          <w:szCs w:val="22"/>
        </w:rPr>
        <w:t xml:space="preserve"> for C-RH</w:t>
      </w:r>
      <w:r w:rsidRPr="00B53C1D" w:rsidR="0089729C">
        <w:rPr>
          <w:sz w:val="22"/>
          <w:szCs w:val="22"/>
        </w:rPr>
        <w:t xml:space="preserve"> on GHOSt-01</w:t>
      </w:r>
      <w:r w:rsidRPr="00B53C1D">
        <w:rPr>
          <w:sz w:val="22"/>
          <w:szCs w:val="22"/>
        </w:rPr>
        <w:t xml:space="preserve"> and C-LH </w:t>
      </w:r>
      <w:r w:rsidRPr="00B53C1D" w:rsidR="0089729C">
        <w:rPr>
          <w:sz w:val="22"/>
          <w:szCs w:val="22"/>
        </w:rPr>
        <w:t xml:space="preserve">on GHOSt-02 </w:t>
      </w:r>
      <w:r w:rsidRPr="00B53C1D">
        <w:rPr>
          <w:sz w:val="22"/>
          <w:szCs w:val="22"/>
        </w:rPr>
        <w:t>are</w:t>
      </w:r>
      <w:r w:rsidRPr="00B53C1D">
        <w:rPr>
          <w:sz w:val="22"/>
          <w:szCs w:val="22"/>
        </w:rPr>
        <w:t xml:space="preserve"> 28.600 GHz</w:t>
      </w:r>
      <w:r w:rsidRPr="00B53C1D">
        <w:rPr>
          <w:sz w:val="22"/>
          <w:szCs w:val="22"/>
        </w:rPr>
        <w:t>.</w:t>
      </w:r>
      <w:r>
        <w:rPr>
          <w:sz w:val="22"/>
          <w:szCs w:val="22"/>
          <w:vertAlign w:val="superscript"/>
        </w:rPr>
        <w:footnoteReference w:id="16"/>
      </w:r>
      <w:r w:rsidRPr="00B53C1D">
        <w:rPr>
          <w:sz w:val="22"/>
          <w:szCs w:val="22"/>
        </w:rPr>
        <w:t xml:space="preserve"> </w:t>
      </w:r>
      <w:r w:rsidRPr="00B53C1D">
        <w:rPr>
          <w:sz w:val="22"/>
          <w:szCs w:val="22"/>
        </w:rPr>
        <w:t xml:space="preserve"> </w:t>
      </w:r>
      <w:r w:rsidRPr="00B53C1D" w:rsidR="00BB21EF">
        <w:rPr>
          <w:sz w:val="22"/>
          <w:szCs w:val="22"/>
        </w:rPr>
        <w:t>Figures 7 and 8 list the center frequencies for C-RH on GHOSt-05 and C-LH on GHOSt-06 as 26.775 GHz.</w:t>
      </w:r>
      <w:r>
        <w:rPr>
          <w:sz w:val="22"/>
          <w:szCs w:val="22"/>
          <w:vertAlign w:val="superscript"/>
        </w:rPr>
        <w:footnoteReference w:id="17"/>
      </w:r>
      <w:r w:rsidRPr="00B53C1D" w:rsidR="00BB21EF">
        <w:rPr>
          <w:sz w:val="22"/>
          <w:szCs w:val="22"/>
        </w:rPr>
        <w:t xml:space="preserve">  Figures 1 and 2 list </w:t>
      </w:r>
      <w:r w:rsidRPr="00B53C1D" w:rsidR="00BB21EF">
        <w:rPr>
          <w:sz w:val="22"/>
          <w:szCs w:val="22"/>
        </w:rPr>
        <w:t>the center frequencies for C-RH and C-LH as 26.775 GHz</w:t>
      </w:r>
      <w:r w:rsidRPr="00B53C1D" w:rsidR="00860DDE">
        <w:rPr>
          <w:sz w:val="22"/>
          <w:szCs w:val="22"/>
        </w:rPr>
        <w:t xml:space="preserve"> in the long-term plan</w:t>
      </w:r>
      <w:r w:rsidRPr="00B53C1D" w:rsidR="00BB21EF">
        <w:rPr>
          <w:sz w:val="22"/>
          <w:szCs w:val="22"/>
        </w:rPr>
        <w:t>.</w:t>
      </w:r>
      <w:r>
        <w:rPr>
          <w:sz w:val="22"/>
          <w:szCs w:val="22"/>
          <w:vertAlign w:val="superscript"/>
        </w:rPr>
        <w:footnoteReference w:id="18"/>
      </w:r>
      <w:r w:rsidRPr="00B53C1D" w:rsidR="00BB21EF">
        <w:rPr>
          <w:sz w:val="22"/>
          <w:szCs w:val="22"/>
        </w:rPr>
        <w:t xml:space="preserve">  </w:t>
      </w:r>
      <w:r w:rsidRPr="00B53C1D">
        <w:rPr>
          <w:sz w:val="22"/>
          <w:szCs w:val="22"/>
        </w:rPr>
        <w:t xml:space="preserve">Tables 2a and 2b list the center frequencies </w:t>
      </w:r>
      <w:r w:rsidRPr="00B53C1D" w:rsidR="00BA7247">
        <w:rPr>
          <w:sz w:val="22"/>
          <w:szCs w:val="22"/>
        </w:rPr>
        <w:t xml:space="preserve">for C-RH and C-LH </w:t>
      </w:r>
      <w:r w:rsidRPr="00B53C1D">
        <w:rPr>
          <w:sz w:val="22"/>
          <w:szCs w:val="22"/>
        </w:rPr>
        <w:t xml:space="preserve">as </w:t>
      </w:r>
      <w:r w:rsidRPr="00B53C1D" w:rsidR="00BB21EF">
        <w:rPr>
          <w:sz w:val="22"/>
          <w:szCs w:val="22"/>
        </w:rPr>
        <w:t>26.775 GHz</w:t>
      </w:r>
      <w:r w:rsidRPr="00B53C1D">
        <w:rPr>
          <w:sz w:val="22"/>
          <w:szCs w:val="22"/>
        </w:rPr>
        <w:t>.</w:t>
      </w:r>
      <w:r>
        <w:rPr>
          <w:sz w:val="22"/>
          <w:szCs w:val="22"/>
          <w:vertAlign w:val="superscript"/>
        </w:rPr>
        <w:footnoteReference w:id="19"/>
      </w:r>
      <w:r w:rsidRPr="00B53C1D">
        <w:rPr>
          <w:sz w:val="22"/>
          <w:szCs w:val="22"/>
          <w:vertAlign w:val="superscript"/>
        </w:rPr>
        <w:t xml:space="preserve"> </w:t>
      </w:r>
      <w:r w:rsidRPr="00B53C1D">
        <w:rPr>
          <w:sz w:val="22"/>
          <w:szCs w:val="22"/>
        </w:rPr>
        <w:t xml:space="preserve"> </w:t>
      </w:r>
    </w:p>
    <w:p w:rsidR="00A33738" w:rsidRPr="00B53C1D" w:rsidP="00CA2570" w14:paraId="1217A1DA" w14:textId="26B231DF">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 xml:space="preserve">Figures </w:t>
      </w:r>
      <w:r w:rsidRPr="00B53C1D" w:rsidR="00221B7B">
        <w:rPr>
          <w:sz w:val="22"/>
          <w:szCs w:val="22"/>
        </w:rPr>
        <w:t xml:space="preserve">3 and 4 </w:t>
      </w:r>
      <w:r w:rsidRPr="00B53C1D" w:rsidR="00BB73A3">
        <w:rPr>
          <w:sz w:val="22"/>
          <w:szCs w:val="22"/>
        </w:rPr>
        <w:t xml:space="preserve">in the </w:t>
      </w:r>
      <w:r w:rsidRPr="00B53C1D" w:rsidR="0028773C">
        <w:rPr>
          <w:sz w:val="22"/>
          <w:szCs w:val="22"/>
        </w:rPr>
        <w:t xml:space="preserve">OSK Revised </w:t>
      </w:r>
      <w:r w:rsidRPr="00B53C1D" w:rsidR="00BB73A3">
        <w:rPr>
          <w:sz w:val="22"/>
          <w:szCs w:val="22"/>
        </w:rPr>
        <w:t xml:space="preserve">Technical Annex </w:t>
      </w:r>
      <w:r w:rsidRPr="00B53C1D">
        <w:rPr>
          <w:sz w:val="22"/>
          <w:szCs w:val="22"/>
        </w:rPr>
        <w:t>appear to have the lower (unmodulated) edge and center frequency for the D-links both at 26.800 GHz</w:t>
      </w:r>
      <w:r w:rsidRPr="00B53C1D" w:rsidR="00221B7B">
        <w:rPr>
          <w:sz w:val="22"/>
          <w:szCs w:val="22"/>
        </w:rPr>
        <w:t>.</w:t>
      </w:r>
      <w:r>
        <w:rPr>
          <w:sz w:val="22"/>
          <w:szCs w:val="22"/>
          <w:vertAlign w:val="superscript"/>
        </w:rPr>
        <w:footnoteReference w:id="20"/>
      </w:r>
      <w:r w:rsidRPr="00B53C1D">
        <w:rPr>
          <w:sz w:val="22"/>
          <w:szCs w:val="22"/>
        </w:rPr>
        <w:t> </w:t>
      </w:r>
    </w:p>
    <w:p w:rsidR="00A33738" w:rsidRPr="00B53C1D" w:rsidP="00B0717F" w14:paraId="2FA8E6E9" w14:textId="5615E1CB">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 xml:space="preserve">Table 2b </w:t>
      </w:r>
      <w:r w:rsidRPr="00B53C1D" w:rsidR="00BB73A3">
        <w:rPr>
          <w:sz w:val="22"/>
          <w:szCs w:val="22"/>
        </w:rPr>
        <w:t xml:space="preserve">in the </w:t>
      </w:r>
      <w:r w:rsidRPr="00B53C1D" w:rsidR="0028773C">
        <w:rPr>
          <w:sz w:val="22"/>
          <w:szCs w:val="22"/>
        </w:rPr>
        <w:t xml:space="preserve">OSK Revised </w:t>
      </w:r>
      <w:r w:rsidRPr="00B53C1D" w:rsidR="00BB73A3">
        <w:rPr>
          <w:sz w:val="22"/>
          <w:szCs w:val="22"/>
        </w:rPr>
        <w:t xml:space="preserve">Technical Annex </w:t>
      </w:r>
      <w:r w:rsidRPr="00B53C1D" w:rsidR="00221B7B">
        <w:rPr>
          <w:sz w:val="22"/>
          <w:szCs w:val="22"/>
        </w:rPr>
        <w:t>lists</w:t>
      </w:r>
      <w:r w:rsidRPr="00B53C1D">
        <w:rPr>
          <w:sz w:val="22"/>
          <w:szCs w:val="22"/>
        </w:rPr>
        <w:t xml:space="preserve"> the center frequency for A-RH </w:t>
      </w:r>
      <w:r w:rsidRPr="00B53C1D" w:rsidR="00221B7B">
        <w:rPr>
          <w:sz w:val="22"/>
          <w:szCs w:val="22"/>
        </w:rPr>
        <w:t>a</w:t>
      </w:r>
      <w:r w:rsidRPr="00B53C1D">
        <w:rPr>
          <w:sz w:val="22"/>
          <w:szCs w:val="22"/>
        </w:rPr>
        <w:t>s 26.250 for both GHOSt-03 and GHOSt-05.</w:t>
      </w:r>
      <w:r w:rsidRPr="00B53C1D" w:rsidR="00221B7B">
        <w:rPr>
          <w:sz w:val="22"/>
          <w:szCs w:val="22"/>
        </w:rPr>
        <w:t xml:space="preserve"> </w:t>
      </w:r>
      <w:r w:rsidRPr="00B53C1D">
        <w:rPr>
          <w:sz w:val="22"/>
          <w:szCs w:val="22"/>
        </w:rPr>
        <w:t xml:space="preserve"> However, </w:t>
      </w:r>
      <w:r w:rsidRPr="00B53C1D" w:rsidR="00221B7B">
        <w:rPr>
          <w:sz w:val="22"/>
          <w:szCs w:val="22"/>
        </w:rPr>
        <w:t>Table 2b lists the</w:t>
      </w:r>
      <w:r w:rsidRPr="00B53C1D">
        <w:rPr>
          <w:sz w:val="22"/>
          <w:szCs w:val="22"/>
        </w:rPr>
        <w:t xml:space="preserve"> bottom frequency for these channels </w:t>
      </w:r>
      <w:r w:rsidRPr="00B53C1D" w:rsidR="00221B7B">
        <w:rPr>
          <w:sz w:val="22"/>
          <w:szCs w:val="22"/>
        </w:rPr>
        <w:t>as</w:t>
      </w:r>
      <w:r w:rsidRPr="00B53C1D">
        <w:rPr>
          <w:sz w:val="22"/>
          <w:szCs w:val="22"/>
        </w:rPr>
        <w:t xml:space="preserve"> 25.500 GHz and the top frequency </w:t>
      </w:r>
      <w:r w:rsidRPr="00B53C1D" w:rsidR="00221B7B">
        <w:rPr>
          <w:sz w:val="22"/>
          <w:szCs w:val="22"/>
        </w:rPr>
        <w:t>a</w:t>
      </w:r>
      <w:r w:rsidRPr="00B53C1D">
        <w:rPr>
          <w:sz w:val="22"/>
          <w:szCs w:val="22"/>
        </w:rPr>
        <w:t>s 25.950 GHz</w:t>
      </w:r>
      <w:r w:rsidRPr="00B53C1D" w:rsidR="00221B7B">
        <w:rPr>
          <w:sz w:val="22"/>
          <w:szCs w:val="22"/>
        </w:rPr>
        <w:t>.</w:t>
      </w:r>
      <w:r>
        <w:rPr>
          <w:sz w:val="22"/>
          <w:szCs w:val="22"/>
          <w:vertAlign w:val="superscript"/>
        </w:rPr>
        <w:footnoteReference w:id="21"/>
      </w:r>
      <w:r w:rsidRPr="00B53C1D">
        <w:rPr>
          <w:sz w:val="22"/>
          <w:szCs w:val="22"/>
        </w:rPr>
        <w:t> </w:t>
      </w:r>
    </w:p>
    <w:p w:rsidR="00A33738" w:rsidRPr="00B53C1D" w:rsidP="00B0717F" w14:paraId="7DAF53C1" w14:textId="0297EF5A">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 xml:space="preserve">Table 2b </w:t>
      </w:r>
      <w:r w:rsidRPr="00B53C1D" w:rsidR="00BB73A3">
        <w:rPr>
          <w:sz w:val="22"/>
          <w:szCs w:val="22"/>
        </w:rPr>
        <w:t xml:space="preserve">in the </w:t>
      </w:r>
      <w:r w:rsidRPr="00B53C1D" w:rsidR="0028773C">
        <w:rPr>
          <w:sz w:val="22"/>
          <w:szCs w:val="22"/>
        </w:rPr>
        <w:t xml:space="preserve">OSK Revised </w:t>
      </w:r>
      <w:r w:rsidRPr="00B53C1D" w:rsidR="00BB73A3">
        <w:rPr>
          <w:sz w:val="22"/>
          <w:szCs w:val="22"/>
        </w:rPr>
        <w:t xml:space="preserve">Technical Annex </w:t>
      </w:r>
      <w:r w:rsidRPr="00B53C1D">
        <w:rPr>
          <w:sz w:val="22"/>
          <w:szCs w:val="22"/>
        </w:rPr>
        <w:t xml:space="preserve">lists the center frequency for </w:t>
      </w:r>
      <w:r w:rsidRPr="00B53C1D">
        <w:rPr>
          <w:sz w:val="22"/>
          <w:szCs w:val="22"/>
        </w:rPr>
        <w:t xml:space="preserve">A-LH </w:t>
      </w:r>
      <w:r w:rsidRPr="00B53C1D">
        <w:rPr>
          <w:sz w:val="22"/>
          <w:szCs w:val="22"/>
        </w:rPr>
        <w:t>a</w:t>
      </w:r>
      <w:r w:rsidRPr="00B53C1D">
        <w:rPr>
          <w:sz w:val="22"/>
          <w:szCs w:val="22"/>
        </w:rPr>
        <w:t xml:space="preserve">s 26.250 for both GHOSt-04 and GHOSt-06. </w:t>
      </w:r>
      <w:r w:rsidRPr="00B53C1D" w:rsidR="00A7337D">
        <w:rPr>
          <w:sz w:val="22"/>
          <w:szCs w:val="22"/>
        </w:rPr>
        <w:t xml:space="preserve"> </w:t>
      </w:r>
      <w:r w:rsidRPr="00B53C1D">
        <w:rPr>
          <w:sz w:val="22"/>
          <w:szCs w:val="22"/>
        </w:rPr>
        <w:t xml:space="preserve">However, </w:t>
      </w:r>
      <w:r w:rsidRPr="00B53C1D">
        <w:rPr>
          <w:sz w:val="22"/>
          <w:szCs w:val="22"/>
        </w:rPr>
        <w:t xml:space="preserve">Table 2b lists the </w:t>
      </w:r>
      <w:r w:rsidRPr="00B53C1D">
        <w:rPr>
          <w:sz w:val="22"/>
          <w:szCs w:val="22"/>
        </w:rPr>
        <w:t xml:space="preserve">bottom frequency for these channels </w:t>
      </w:r>
      <w:r w:rsidRPr="00B53C1D">
        <w:rPr>
          <w:sz w:val="22"/>
          <w:szCs w:val="22"/>
        </w:rPr>
        <w:t>a</w:t>
      </w:r>
      <w:r w:rsidRPr="00B53C1D">
        <w:rPr>
          <w:sz w:val="22"/>
          <w:szCs w:val="22"/>
        </w:rPr>
        <w:t xml:space="preserve">s 25.500 GHz and the top frequency </w:t>
      </w:r>
      <w:r w:rsidRPr="00B53C1D">
        <w:rPr>
          <w:sz w:val="22"/>
          <w:szCs w:val="22"/>
        </w:rPr>
        <w:t>a</w:t>
      </w:r>
      <w:r w:rsidRPr="00B53C1D">
        <w:rPr>
          <w:sz w:val="22"/>
          <w:szCs w:val="22"/>
        </w:rPr>
        <w:t>s 25.950 GHz</w:t>
      </w:r>
      <w:r w:rsidRPr="00B53C1D">
        <w:rPr>
          <w:sz w:val="22"/>
          <w:szCs w:val="22"/>
        </w:rPr>
        <w:t>.</w:t>
      </w:r>
      <w:r>
        <w:rPr>
          <w:sz w:val="22"/>
          <w:szCs w:val="22"/>
          <w:vertAlign w:val="superscript"/>
        </w:rPr>
        <w:footnoteReference w:id="22"/>
      </w:r>
      <w:r w:rsidRPr="00B53C1D">
        <w:rPr>
          <w:sz w:val="22"/>
          <w:szCs w:val="22"/>
        </w:rPr>
        <w:t> </w:t>
      </w:r>
    </w:p>
    <w:p w:rsidR="00A33738" w:rsidRPr="00B53C1D" w:rsidP="00B53C1D" w14:paraId="51135FF5" w14:textId="10338C81">
      <w:pPr>
        <w:pStyle w:val="paragraph"/>
        <w:spacing w:before="0" w:beforeAutospacing="0" w:after="240" w:afterAutospacing="0"/>
        <w:ind w:firstLine="360"/>
        <w:textAlignment w:val="baseline"/>
        <w:rPr>
          <w:sz w:val="22"/>
          <w:szCs w:val="22"/>
        </w:rPr>
      </w:pPr>
      <w:r w:rsidRPr="00B53C1D">
        <w:rPr>
          <w:sz w:val="22"/>
          <w:szCs w:val="22"/>
        </w:rPr>
        <w:t>In addition</w:t>
      </w:r>
      <w:r w:rsidRPr="00B53C1D" w:rsidR="00F84425">
        <w:rPr>
          <w:sz w:val="22"/>
          <w:szCs w:val="22"/>
        </w:rPr>
        <w:t xml:space="preserve">, the Orbital Debris Assessment </w:t>
      </w:r>
      <w:r w:rsidRPr="00B53C1D" w:rsidR="00587119">
        <w:rPr>
          <w:sz w:val="22"/>
          <w:szCs w:val="22"/>
        </w:rPr>
        <w:t>R</w:t>
      </w:r>
      <w:r w:rsidRPr="00B53C1D" w:rsidR="00F84425">
        <w:rPr>
          <w:sz w:val="22"/>
          <w:szCs w:val="22"/>
        </w:rPr>
        <w:t xml:space="preserve">eport </w:t>
      </w:r>
      <w:r w:rsidRPr="00B53C1D" w:rsidR="00587119">
        <w:rPr>
          <w:sz w:val="22"/>
          <w:szCs w:val="22"/>
        </w:rPr>
        <w:t xml:space="preserve">(ODAR) </w:t>
      </w:r>
      <w:r w:rsidRPr="00B53C1D" w:rsidR="00F84425">
        <w:rPr>
          <w:sz w:val="22"/>
          <w:szCs w:val="22"/>
        </w:rPr>
        <w:t xml:space="preserve">includes apparently inconsistent statements, including on </w:t>
      </w:r>
      <w:r w:rsidRPr="00B53C1D" w:rsidR="0052583A">
        <w:rPr>
          <w:sz w:val="22"/>
          <w:szCs w:val="22"/>
        </w:rPr>
        <w:t xml:space="preserve">several key </w:t>
      </w:r>
      <w:r w:rsidRPr="00B53C1D" w:rsidR="00F84425">
        <w:rPr>
          <w:sz w:val="22"/>
          <w:szCs w:val="22"/>
        </w:rPr>
        <w:t>factual matter</w:t>
      </w:r>
      <w:r w:rsidRPr="00B53C1D" w:rsidR="00567898">
        <w:rPr>
          <w:sz w:val="22"/>
          <w:szCs w:val="22"/>
        </w:rPr>
        <w:t>s</w:t>
      </w:r>
      <w:r w:rsidRPr="00B53C1D" w:rsidR="00015E79">
        <w:rPr>
          <w:sz w:val="22"/>
          <w:szCs w:val="22"/>
        </w:rPr>
        <w:t>:</w:t>
      </w:r>
    </w:p>
    <w:p w:rsidR="00260CE9" w:rsidRPr="00B53C1D" w:rsidP="00260CE9" w14:paraId="1295A6DF" w14:textId="77777777">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The area-to-mass values vary across calculations in the Orbital Debris Assessment Report.  OSK states the value is 0.0092 m^2/kg,</w:t>
      </w:r>
      <w:r>
        <w:rPr>
          <w:rStyle w:val="FootnoteReference"/>
          <w:sz w:val="22"/>
          <w:szCs w:val="22"/>
        </w:rPr>
        <w:footnoteReference w:id="23"/>
      </w:r>
      <w:r w:rsidRPr="00B53C1D">
        <w:rPr>
          <w:sz w:val="22"/>
          <w:szCs w:val="22"/>
        </w:rPr>
        <w:t xml:space="preserve"> uses the value 0.009 m^2/kg in Figure 1,</w:t>
      </w:r>
      <w:r>
        <w:rPr>
          <w:rStyle w:val="FootnoteReference"/>
          <w:sz w:val="22"/>
          <w:szCs w:val="22"/>
        </w:rPr>
        <w:footnoteReference w:id="24"/>
      </w:r>
      <w:r w:rsidRPr="00B53C1D">
        <w:rPr>
          <w:sz w:val="22"/>
          <w:szCs w:val="22"/>
        </w:rPr>
        <w:t xml:space="preserve"> and uses the value 0.01 m^2/kg for all calculations in Appendix A.</w:t>
      </w:r>
      <w:r>
        <w:rPr>
          <w:rStyle w:val="FootnoteReference"/>
          <w:sz w:val="22"/>
          <w:szCs w:val="22"/>
        </w:rPr>
        <w:footnoteReference w:id="25"/>
      </w:r>
      <w:r w:rsidRPr="00B53C1D">
        <w:rPr>
          <w:sz w:val="22"/>
          <w:szCs w:val="22"/>
        </w:rPr>
        <w:t xml:space="preserve">  </w:t>
      </w:r>
    </w:p>
    <w:p w:rsidR="00260CE9" w:rsidRPr="00B53C1D" w:rsidP="00260CE9" w14:paraId="42AF0E92" w14:textId="77777777">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The cover page of the Orbital Debris Assessment Report states that DAS 3.1.2 was used.  However, OSK later references DAS 2.1.1.</w:t>
      </w:r>
      <w:r>
        <w:rPr>
          <w:rStyle w:val="FootnoteReference"/>
          <w:sz w:val="22"/>
          <w:szCs w:val="22"/>
        </w:rPr>
        <w:footnoteReference w:id="26"/>
      </w:r>
      <w:r w:rsidRPr="00B53C1D">
        <w:rPr>
          <w:sz w:val="22"/>
          <w:szCs w:val="22"/>
        </w:rPr>
        <w:t xml:space="preserve">  </w:t>
      </w:r>
    </w:p>
    <w:p w:rsidR="0028773C" w:rsidRPr="00B53C1D" w:rsidP="00BB0483" w14:paraId="0ABE74C0" w14:textId="396D5C01">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 xml:space="preserve">In one section of the application, OSK states that the external dimensions of the </w:t>
      </w:r>
      <w:r w:rsidRPr="00B53C1D">
        <w:rPr>
          <w:sz w:val="22"/>
          <w:szCs w:val="22"/>
        </w:rPr>
        <w:t>GHOSt</w:t>
      </w:r>
      <w:r w:rsidRPr="00B53C1D">
        <w:rPr>
          <w:sz w:val="22"/>
          <w:szCs w:val="22"/>
        </w:rPr>
        <w:t xml:space="preserve"> satellites are 0.56 cm x 0.56 cm x 111.3 cm.</w:t>
      </w:r>
      <w:r>
        <w:rPr>
          <w:rStyle w:val="FootnoteReference"/>
          <w:sz w:val="22"/>
          <w:szCs w:val="22"/>
        </w:rPr>
        <w:footnoteReference w:id="27"/>
      </w:r>
      <w:r w:rsidRPr="00B53C1D">
        <w:rPr>
          <w:sz w:val="22"/>
          <w:szCs w:val="22"/>
        </w:rPr>
        <w:t xml:space="preserve">  However, in a different section, OSK states that the dimensions are 56 cm x 0.057 cm x 56 cm.</w:t>
      </w:r>
      <w:r>
        <w:rPr>
          <w:rStyle w:val="FootnoteReference"/>
          <w:sz w:val="22"/>
          <w:szCs w:val="22"/>
        </w:rPr>
        <w:footnoteReference w:id="28"/>
      </w:r>
      <w:r w:rsidRPr="00B53C1D">
        <w:rPr>
          <w:sz w:val="22"/>
          <w:szCs w:val="22"/>
        </w:rPr>
        <w:t xml:space="preserve">  </w:t>
      </w:r>
      <w:r w:rsidRPr="00B53C1D">
        <w:rPr>
          <w:rStyle w:val="eop"/>
          <w:sz w:val="22"/>
          <w:szCs w:val="22"/>
        </w:rPr>
        <w:t> </w:t>
      </w:r>
    </w:p>
    <w:p w:rsidR="00260CE9" w:rsidRPr="00B53C1D" w:rsidP="00B0717F" w14:paraId="50CECF9B" w14:textId="02FBA390">
      <w:pPr>
        <w:pStyle w:val="paragraph"/>
        <w:numPr>
          <w:ilvl w:val="0"/>
          <w:numId w:val="4"/>
        </w:numPr>
        <w:spacing w:before="0" w:beforeAutospacing="0" w:after="240" w:afterAutospacing="0"/>
        <w:ind w:left="360" w:firstLine="0"/>
        <w:textAlignment w:val="baseline"/>
        <w:rPr>
          <w:sz w:val="22"/>
          <w:szCs w:val="22"/>
        </w:rPr>
      </w:pPr>
      <w:r w:rsidRPr="00B53C1D">
        <w:rPr>
          <w:sz w:val="22"/>
          <w:szCs w:val="22"/>
        </w:rPr>
        <w:t xml:space="preserve">When providing the spacecraft description of the </w:t>
      </w:r>
      <w:r w:rsidRPr="00B53C1D">
        <w:rPr>
          <w:sz w:val="22"/>
          <w:szCs w:val="22"/>
        </w:rPr>
        <w:t>GHOSt</w:t>
      </w:r>
      <w:r w:rsidRPr="00B53C1D">
        <w:rPr>
          <w:sz w:val="22"/>
          <w:szCs w:val="22"/>
        </w:rPr>
        <w:t xml:space="preserve"> spacecraft, under the section titled, “Fluids in Pressurized Batteries,” OSK states, “None. Capella uses unpressurized standard Lithium Ion battery cells.”</w:t>
      </w:r>
      <w:r>
        <w:rPr>
          <w:sz w:val="22"/>
          <w:szCs w:val="22"/>
          <w:vertAlign w:val="superscript"/>
        </w:rPr>
        <w:footnoteReference w:id="29"/>
      </w:r>
      <w:r w:rsidRPr="00B53C1D">
        <w:rPr>
          <w:sz w:val="22"/>
          <w:szCs w:val="22"/>
          <w:vertAlign w:val="superscript"/>
        </w:rPr>
        <w:t xml:space="preserve"> </w:t>
      </w:r>
      <w:r w:rsidRPr="00B53C1D">
        <w:rPr>
          <w:sz w:val="22"/>
          <w:szCs w:val="22"/>
        </w:rPr>
        <w:t xml:space="preserve"> In any re-filed application, this information should be provided for the OSK spacecraft.  If an ODAR for another FCC satellite application was used as a template for the OSK ODAR, please carefully review the entire ODAR to ensure that it is factually accurate for the OSK spacecraft and that the ODAR accurately reflects the steps undertaken by OSK to complete the ODAR.</w:t>
      </w:r>
    </w:p>
    <w:p w:rsidR="00260CE9" w:rsidRPr="00B53C1D" w:rsidP="00B53C1D" w14:paraId="5CE2A8FD" w14:textId="4A81776F">
      <w:pPr>
        <w:pStyle w:val="paragraph"/>
        <w:spacing w:before="0" w:beforeAutospacing="0" w:after="240" w:afterAutospacing="0"/>
        <w:ind w:firstLine="360"/>
        <w:textAlignment w:val="baseline"/>
        <w:rPr>
          <w:rStyle w:val="normaltextrun"/>
          <w:sz w:val="22"/>
          <w:szCs w:val="22"/>
        </w:rPr>
      </w:pPr>
      <w:r w:rsidRPr="00B53C1D">
        <w:rPr>
          <w:rStyle w:val="normaltextrun"/>
          <w:sz w:val="22"/>
          <w:szCs w:val="22"/>
        </w:rPr>
        <w:t>Finally,</w:t>
      </w:r>
      <w:r w:rsidRPr="00B53C1D" w:rsidR="00F45898">
        <w:rPr>
          <w:rStyle w:val="normaltextrun"/>
          <w:sz w:val="22"/>
          <w:szCs w:val="22"/>
        </w:rPr>
        <w:t xml:space="preserve"> in any refiled application, please</w:t>
      </w:r>
      <w:r w:rsidRPr="00B53C1D">
        <w:rPr>
          <w:rStyle w:val="normaltextrun"/>
          <w:sz w:val="22"/>
          <w:szCs w:val="22"/>
        </w:rPr>
        <w:t xml:space="preserve"> provide </w:t>
      </w:r>
      <w:r w:rsidRPr="00B53C1D" w:rsidR="00F45898">
        <w:rPr>
          <w:rStyle w:val="normaltextrun"/>
          <w:sz w:val="22"/>
          <w:szCs w:val="22"/>
        </w:rPr>
        <w:t xml:space="preserve">the following additional </w:t>
      </w:r>
      <w:r w:rsidRPr="00B53C1D">
        <w:rPr>
          <w:rStyle w:val="normaltextrun"/>
          <w:sz w:val="22"/>
          <w:szCs w:val="22"/>
        </w:rPr>
        <w:t xml:space="preserve">information </w:t>
      </w:r>
      <w:r w:rsidRPr="00B53C1D" w:rsidR="00F45898">
        <w:rPr>
          <w:rStyle w:val="normaltextrun"/>
          <w:sz w:val="22"/>
          <w:szCs w:val="22"/>
        </w:rPr>
        <w:t>in order to assist</w:t>
      </w:r>
      <w:r w:rsidRPr="00B53C1D" w:rsidR="00791C2F">
        <w:rPr>
          <w:rStyle w:val="normaltextrun"/>
          <w:sz w:val="22"/>
          <w:szCs w:val="22"/>
        </w:rPr>
        <w:t xml:space="preserve"> </w:t>
      </w:r>
      <w:r w:rsidRPr="00B53C1D">
        <w:rPr>
          <w:rStyle w:val="normaltextrun"/>
          <w:sz w:val="22"/>
          <w:szCs w:val="22"/>
        </w:rPr>
        <w:t xml:space="preserve">the Commission </w:t>
      </w:r>
      <w:r w:rsidRPr="00B53C1D" w:rsidR="00F45898">
        <w:rPr>
          <w:rStyle w:val="normaltextrun"/>
          <w:sz w:val="22"/>
          <w:szCs w:val="22"/>
        </w:rPr>
        <w:t xml:space="preserve">in </w:t>
      </w:r>
      <w:r w:rsidRPr="00B53C1D">
        <w:rPr>
          <w:rStyle w:val="normaltextrun"/>
          <w:sz w:val="22"/>
          <w:szCs w:val="22"/>
        </w:rPr>
        <w:t>process</w:t>
      </w:r>
      <w:r w:rsidRPr="00B53C1D" w:rsidR="00F45898">
        <w:rPr>
          <w:rStyle w:val="normaltextrun"/>
          <w:sz w:val="22"/>
          <w:szCs w:val="22"/>
        </w:rPr>
        <w:t xml:space="preserve">ing </w:t>
      </w:r>
      <w:r w:rsidRPr="00B53C1D">
        <w:rPr>
          <w:rStyle w:val="normaltextrun"/>
          <w:sz w:val="22"/>
          <w:szCs w:val="22"/>
        </w:rPr>
        <w:t>this application:</w:t>
      </w:r>
    </w:p>
    <w:p w:rsidR="00DD6164" w:rsidRPr="00B53C1D" w:rsidP="00BB479E" w14:paraId="39A1695C" w14:textId="645E2009">
      <w:pPr>
        <w:pStyle w:val="paragraph"/>
        <w:numPr>
          <w:ilvl w:val="0"/>
          <w:numId w:val="22"/>
        </w:numPr>
        <w:spacing w:before="0" w:beforeAutospacing="0" w:after="240" w:afterAutospacing="0"/>
        <w:textAlignment w:val="baseline"/>
        <w:rPr>
          <w:sz w:val="22"/>
          <w:szCs w:val="22"/>
        </w:rPr>
      </w:pPr>
      <w:r w:rsidRPr="00B53C1D">
        <w:rPr>
          <w:sz w:val="22"/>
          <w:szCs w:val="22"/>
        </w:rPr>
        <w:t xml:space="preserve">Please indicate </w:t>
      </w:r>
      <w:r w:rsidRPr="00B53C1D" w:rsidR="00940861">
        <w:rPr>
          <w:sz w:val="22"/>
          <w:szCs w:val="22"/>
        </w:rPr>
        <w:t>whether all satellites will be technically identical.</w:t>
      </w:r>
      <w:r>
        <w:rPr>
          <w:sz w:val="22"/>
          <w:szCs w:val="22"/>
          <w:vertAlign w:val="superscript"/>
        </w:rPr>
        <w:footnoteReference w:id="30"/>
      </w:r>
      <w:r w:rsidRPr="00B53C1D" w:rsidR="00BC528E">
        <w:rPr>
          <w:sz w:val="22"/>
          <w:szCs w:val="22"/>
          <w:vertAlign w:val="superscript"/>
        </w:rPr>
        <w:t xml:space="preserve"> </w:t>
      </w:r>
    </w:p>
    <w:p w:rsidR="00587119" w:rsidRPr="00B53C1D" w:rsidP="00A86B15" w14:paraId="0A71F867" w14:textId="669FAA1A">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 xml:space="preserve">In one section of the application, </w:t>
      </w:r>
      <w:r w:rsidRPr="00B53C1D" w:rsidR="00F362B1">
        <w:rPr>
          <w:sz w:val="22"/>
          <w:szCs w:val="22"/>
        </w:rPr>
        <w:t>OSK writes that the orbital altitude will be 525+75/-25 km.</w:t>
      </w:r>
      <w:r>
        <w:rPr>
          <w:sz w:val="22"/>
          <w:szCs w:val="22"/>
          <w:vertAlign w:val="superscript"/>
        </w:rPr>
        <w:footnoteReference w:id="31"/>
      </w:r>
      <w:r w:rsidRPr="00B53C1D" w:rsidR="00F362B1">
        <w:rPr>
          <w:sz w:val="22"/>
          <w:szCs w:val="22"/>
          <w:vertAlign w:val="superscript"/>
        </w:rPr>
        <w:t xml:space="preserve"> </w:t>
      </w:r>
      <w:r w:rsidRPr="00B53C1D" w:rsidR="00F362B1">
        <w:rPr>
          <w:sz w:val="22"/>
          <w:szCs w:val="22"/>
        </w:rPr>
        <w:t xml:space="preserve"> </w:t>
      </w:r>
      <w:r w:rsidRPr="00B53C1D">
        <w:rPr>
          <w:sz w:val="22"/>
          <w:szCs w:val="22"/>
        </w:rPr>
        <w:t>In another section, OSK writes that the satellites will be “deployed to a target altitude of 525 km, and no higher than 600 km,</w:t>
      </w:r>
      <w:r w:rsidRPr="00B53C1D" w:rsidR="001F5810">
        <w:rPr>
          <w:sz w:val="22"/>
          <w:szCs w:val="22"/>
        </w:rPr>
        <w:t>”</w:t>
      </w:r>
      <w:r>
        <w:rPr>
          <w:rStyle w:val="FootnoteReference"/>
          <w:sz w:val="22"/>
          <w:szCs w:val="22"/>
        </w:rPr>
        <w:footnoteReference w:id="32"/>
      </w:r>
      <w:r w:rsidRPr="00B53C1D">
        <w:rPr>
          <w:sz w:val="22"/>
          <w:szCs w:val="22"/>
          <w:vertAlign w:val="superscript"/>
        </w:rPr>
        <w:t xml:space="preserve"> </w:t>
      </w:r>
      <w:r w:rsidRPr="00B53C1D">
        <w:rPr>
          <w:sz w:val="22"/>
          <w:szCs w:val="22"/>
        </w:rPr>
        <w:t>and</w:t>
      </w:r>
      <w:r w:rsidRPr="00B53C1D" w:rsidR="003750BB">
        <w:rPr>
          <w:sz w:val="22"/>
          <w:szCs w:val="22"/>
        </w:rPr>
        <w:t>,</w:t>
      </w:r>
      <w:r w:rsidRPr="00B53C1D">
        <w:rPr>
          <w:sz w:val="22"/>
          <w:szCs w:val="22"/>
        </w:rPr>
        <w:t xml:space="preserve"> in another, that “[t]he </w:t>
      </w:r>
      <w:r w:rsidRPr="00B53C1D">
        <w:rPr>
          <w:sz w:val="22"/>
          <w:szCs w:val="22"/>
        </w:rPr>
        <w:t>GHOSt</w:t>
      </w:r>
      <w:r w:rsidRPr="00B53C1D">
        <w:rPr>
          <w:sz w:val="22"/>
          <w:szCs w:val="22"/>
        </w:rPr>
        <w:t xml:space="preserve"> satellites described in this application will operate at an altitude between 500 and 600 km.”</w:t>
      </w:r>
      <w:r>
        <w:rPr>
          <w:sz w:val="22"/>
          <w:szCs w:val="22"/>
          <w:vertAlign w:val="superscript"/>
        </w:rPr>
        <w:footnoteReference w:id="33"/>
      </w:r>
      <w:r w:rsidRPr="00B53C1D">
        <w:rPr>
          <w:sz w:val="22"/>
          <w:szCs w:val="22"/>
        </w:rPr>
        <w:t xml:space="preserve">  </w:t>
      </w:r>
      <w:r w:rsidRPr="00B53C1D" w:rsidR="00990F8B">
        <w:rPr>
          <w:sz w:val="22"/>
          <w:szCs w:val="22"/>
        </w:rPr>
        <w:t>Please</w:t>
      </w:r>
      <w:r w:rsidRPr="00B53C1D" w:rsidR="00EE71EC">
        <w:rPr>
          <w:sz w:val="22"/>
          <w:szCs w:val="22"/>
        </w:rPr>
        <w:t xml:space="preserve"> </w:t>
      </w:r>
      <w:r w:rsidRPr="00B53C1D" w:rsidR="00F44581">
        <w:rPr>
          <w:sz w:val="22"/>
          <w:szCs w:val="22"/>
        </w:rPr>
        <w:t xml:space="preserve">specify the uncertainties that OSK is addressing by specifying the range of launch altitudes as such.  </w:t>
      </w:r>
    </w:p>
    <w:p w:rsidR="00B25907" w:rsidRPr="00B53C1D" w:rsidP="00BB479E" w14:paraId="74EB39B3" w14:textId="0D35BBCD">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 xml:space="preserve">Please </w:t>
      </w:r>
      <w:r w:rsidRPr="00B53C1D">
        <w:rPr>
          <w:sz w:val="22"/>
          <w:szCs w:val="22"/>
        </w:rPr>
        <w:t>elaborate on</w:t>
      </w:r>
      <w:r w:rsidRPr="00B53C1D">
        <w:rPr>
          <w:sz w:val="22"/>
          <w:szCs w:val="22"/>
        </w:rPr>
        <w:t xml:space="preserve"> whether, and if so, how</w:t>
      </w:r>
      <w:r w:rsidRPr="00B53C1D">
        <w:rPr>
          <w:sz w:val="22"/>
          <w:szCs w:val="22"/>
        </w:rPr>
        <w:t xml:space="preserve"> the </w:t>
      </w:r>
      <w:r w:rsidRPr="00B53C1D">
        <w:rPr>
          <w:sz w:val="22"/>
          <w:szCs w:val="22"/>
        </w:rPr>
        <w:t>GHOSt</w:t>
      </w:r>
      <w:r w:rsidRPr="00B53C1D">
        <w:rPr>
          <w:sz w:val="22"/>
          <w:szCs w:val="22"/>
        </w:rPr>
        <w:t xml:space="preserve"> </w:t>
      </w:r>
      <w:r w:rsidRPr="00B53C1D" w:rsidR="00167CAD">
        <w:rPr>
          <w:sz w:val="22"/>
          <w:szCs w:val="22"/>
        </w:rPr>
        <w:t>satellites</w:t>
      </w:r>
      <w:r w:rsidRPr="00B53C1D">
        <w:rPr>
          <w:sz w:val="22"/>
          <w:szCs w:val="22"/>
        </w:rPr>
        <w:t xml:space="preserve"> will avoid collision with </w:t>
      </w:r>
      <w:r w:rsidRPr="00B53C1D" w:rsidR="00995061">
        <w:rPr>
          <w:sz w:val="22"/>
          <w:szCs w:val="22"/>
        </w:rPr>
        <w:t>habitable space stations</w:t>
      </w:r>
      <w:r w:rsidRPr="00B53C1D">
        <w:rPr>
          <w:sz w:val="22"/>
          <w:szCs w:val="22"/>
        </w:rPr>
        <w:t>.</w:t>
      </w:r>
      <w:r>
        <w:rPr>
          <w:sz w:val="22"/>
          <w:szCs w:val="22"/>
          <w:vertAlign w:val="superscript"/>
        </w:rPr>
        <w:footnoteReference w:id="34"/>
      </w:r>
      <w:r w:rsidRPr="00B53C1D" w:rsidR="00995061">
        <w:rPr>
          <w:sz w:val="22"/>
          <w:szCs w:val="22"/>
          <w:vertAlign w:val="superscript"/>
        </w:rPr>
        <w:t xml:space="preserve"> </w:t>
      </w:r>
      <w:r w:rsidRPr="00B53C1D" w:rsidR="00995061">
        <w:rPr>
          <w:sz w:val="22"/>
          <w:szCs w:val="22"/>
        </w:rPr>
        <w:t xml:space="preserve"> Also, </w:t>
      </w:r>
      <w:r w:rsidRPr="00B53C1D" w:rsidR="00990F8B">
        <w:rPr>
          <w:sz w:val="22"/>
          <w:szCs w:val="22"/>
        </w:rPr>
        <w:t>please</w:t>
      </w:r>
      <w:r w:rsidRPr="00B53C1D" w:rsidR="00260CE9">
        <w:rPr>
          <w:sz w:val="22"/>
          <w:szCs w:val="22"/>
        </w:rPr>
        <w:t xml:space="preserve"> </w:t>
      </w:r>
      <w:r w:rsidRPr="00B53C1D" w:rsidR="00D57432">
        <w:rPr>
          <w:sz w:val="22"/>
          <w:szCs w:val="22"/>
        </w:rPr>
        <w:t xml:space="preserve">indicate </w:t>
      </w:r>
      <w:r w:rsidRPr="00B53C1D" w:rsidR="00995061">
        <w:rPr>
          <w:sz w:val="22"/>
          <w:szCs w:val="22"/>
        </w:rPr>
        <w:t xml:space="preserve">whether OSK will be </w:t>
      </w:r>
      <w:r w:rsidRPr="00B53C1D" w:rsidR="00D57432">
        <w:rPr>
          <w:sz w:val="22"/>
          <w:szCs w:val="22"/>
        </w:rPr>
        <w:t xml:space="preserve">working with a particular tracking entity for purposes of space situational awareness, </w:t>
      </w:r>
      <w:r w:rsidRPr="00B53C1D" w:rsidR="00995061">
        <w:rPr>
          <w:sz w:val="22"/>
          <w:szCs w:val="22"/>
        </w:rPr>
        <w:t xml:space="preserve">or will </w:t>
      </w:r>
      <w:r w:rsidRPr="00B53C1D" w:rsidR="00D57432">
        <w:rPr>
          <w:sz w:val="22"/>
          <w:szCs w:val="22"/>
        </w:rPr>
        <w:t xml:space="preserve">otherwise </w:t>
      </w:r>
      <w:r w:rsidRPr="00B53C1D" w:rsidR="00995061">
        <w:rPr>
          <w:sz w:val="22"/>
          <w:szCs w:val="22"/>
        </w:rPr>
        <w:t>be supplying information to habitable space stations.</w:t>
      </w:r>
    </w:p>
    <w:p w:rsidR="00940861" w:rsidRPr="00B53C1D" w:rsidP="00B0717F" w14:paraId="4C0AA47D" w14:textId="0D818049">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 xml:space="preserve">OSK states that the </w:t>
      </w:r>
      <w:r w:rsidRPr="00B53C1D">
        <w:rPr>
          <w:sz w:val="22"/>
          <w:szCs w:val="22"/>
        </w:rPr>
        <w:t>GHOSt</w:t>
      </w:r>
      <w:r w:rsidRPr="00B53C1D">
        <w:rPr>
          <w:sz w:val="22"/>
          <w:szCs w:val="22"/>
        </w:rPr>
        <w:t xml:space="preserve"> </w:t>
      </w:r>
      <w:r w:rsidRPr="00B53C1D" w:rsidR="00572B3C">
        <w:rPr>
          <w:sz w:val="22"/>
          <w:szCs w:val="22"/>
        </w:rPr>
        <w:t>system</w:t>
      </w:r>
      <w:r w:rsidRPr="00B53C1D">
        <w:rPr>
          <w:sz w:val="22"/>
          <w:szCs w:val="22"/>
        </w:rPr>
        <w:t xml:space="preserve"> compl</w:t>
      </w:r>
      <w:r w:rsidRPr="00B53C1D" w:rsidR="00572B3C">
        <w:rPr>
          <w:sz w:val="22"/>
          <w:szCs w:val="22"/>
        </w:rPr>
        <w:t>ies</w:t>
      </w:r>
      <w:r w:rsidRPr="00B53C1D">
        <w:rPr>
          <w:sz w:val="22"/>
          <w:szCs w:val="22"/>
        </w:rPr>
        <w:t xml:space="preserve"> with the PFD level provided in SA.1862.  However, OSK also states that, in the alternative, if the </w:t>
      </w:r>
      <w:r w:rsidRPr="00B53C1D">
        <w:rPr>
          <w:sz w:val="22"/>
          <w:szCs w:val="22"/>
        </w:rPr>
        <w:t>GHOSt</w:t>
      </w:r>
      <w:r w:rsidRPr="00B53C1D">
        <w:rPr>
          <w:sz w:val="22"/>
          <w:szCs w:val="22"/>
        </w:rPr>
        <w:t xml:space="preserve"> </w:t>
      </w:r>
      <w:r w:rsidRPr="00B53C1D" w:rsidR="00572B3C">
        <w:rPr>
          <w:sz w:val="22"/>
          <w:szCs w:val="22"/>
        </w:rPr>
        <w:t>system</w:t>
      </w:r>
      <w:r w:rsidRPr="00B53C1D">
        <w:rPr>
          <w:sz w:val="22"/>
          <w:szCs w:val="22"/>
        </w:rPr>
        <w:t xml:space="preserve"> did not </w:t>
      </w:r>
      <w:r w:rsidRPr="00B53C1D" w:rsidR="00DF611B">
        <w:rPr>
          <w:sz w:val="22"/>
          <w:szCs w:val="22"/>
        </w:rPr>
        <w:t xml:space="preserve">comply with </w:t>
      </w:r>
      <w:r w:rsidRPr="00B53C1D">
        <w:rPr>
          <w:sz w:val="22"/>
          <w:szCs w:val="22"/>
        </w:rPr>
        <w:t xml:space="preserve">the </w:t>
      </w:r>
      <w:r w:rsidRPr="00B53C1D" w:rsidR="00436B85">
        <w:rPr>
          <w:sz w:val="22"/>
          <w:szCs w:val="22"/>
        </w:rPr>
        <w:t>power-flux density (</w:t>
      </w:r>
      <w:r w:rsidRPr="00B53C1D">
        <w:rPr>
          <w:sz w:val="22"/>
          <w:szCs w:val="22"/>
        </w:rPr>
        <w:t>PFD</w:t>
      </w:r>
      <w:r w:rsidRPr="00B53C1D" w:rsidR="00436B85">
        <w:rPr>
          <w:sz w:val="22"/>
          <w:szCs w:val="22"/>
        </w:rPr>
        <w:t>)</w:t>
      </w:r>
      <w:r w:rsidRPr="00B53C1D">
        <w:rPr>
          <w:sz w:val="22"/>
          <w:szCs w:val="22"/>
        </w:rPr>
        <w:t xml:space="preserve"> level in SA.1862, OSK could make small adjustments in its operating schedule.</w:t>
      </w:r>
      <w:r>
        <w:rPr>
          <w:sz w:val="22"/>
          <w:szCs w:val="22"/>
          <w:vertAlign w:val="superscript"/>
        </w:rPr>
        <w:footnoteReference w:id="35"/>
      </w:r>
      <w:r w:rsidRPr="00B53C1D">
        <w:rPr>
          <w:sz w:val="22"/>
          <w:szCs w:val="22"/>
        </w:rPr>
        <w:t xml:space="preserve">  </w:t>
      </w:r>
      <w:r w:rsidRPr="00B53C1D" w:rsidR="00990F8B">
        <w:rPr>
          <w:sz w:val="22"/>
          <w:szCs w:val="22"/>
        </w:rPr>
        <w:t>Please</w:t>
      </w:r>
      <w:r w:rsidRPr="00B53C1D">
        <w:rPr>
          <w:sz w:val="22"/>
          <w:szCs w:val="22"/>
        </w:rPr>
        <w:t xml:space="preserve"> </w:t>
      </w:r>
      <w:r w:rsidRPr="00B53C1D" w:rsidR="00B64750">
        <w:rPr>
          <w:sz w:val="22"/>
          <w:szCs w:val="22"/>
        </w:rPr>
        <w:t xml:space="preserve">address whether </w:t>
      </w:r>
      <w:r w:rsidRPr="00B53C1D">
        <w:rPr>
          <w:sz w:val="22"/>
          <w:szCs w:val="22"/>
        </w:rPr>
        <w:t xml:space="preserve">the OSK </w:t>
      </w:r>
      <w:r w:rsidRPr="00B53C1D" w:rsidR="00167CAD">
        <w:rPr>
          <w:sz w:val="22"/>
          <w:szCs w:val="22"/>
        </w:rPr>
        <w:t>satellites</w:t>
      </w:r>
      <w:r w:rsidRPr="00B53C1D">
        <w:rPr>
          <w:sz w:val="22"/>
          <w:szCs w:val="22"/>
        </w:rPr>
        <w:t xml:space="preserve"> </w:t>
      </w:r>
      <w:r w:rsidRPr="00B53C1D" w:rsidR="00B64750">
        <w:rPr>
          <w:sz w:val="22"/>
          <w:szCs w:val="22"/>
        </w:rPr>
        <w:t>will</w:t>
      </w:r>
      <w:r w:rsidRPr="00B53C1D" w:rsidR="00AB7CCB">
        <w:rPr>
          <w:sz w:val="22"/>
          <w:szCs w:val="22"/>
        </w:rPr>
        <w:t xml:space="preserve"> </w:t>
      </w:r>
      <w:r w:rsidRPr="00B53C1D" w:rsidR="000F733C">
        <w:rPr>
          <w:sz w:val="22"/>
          <w:szCs w:val="22"/>
        </w:rPr>
        <w:t>in fact</w:t>
      </w:r>
      <w:r w:rsidRPr="00B53C1D">
        <w:rPr>
          <w:sz w:val="22"/>
          <w:szCs w:val="22"/>
        </w:rPr>
        <w:t xml:space="preserve"> comply with the PFD level provided in SA.1862</w:t>
      </w:r>
      <w:r w:rsidRPr="00B53C1D" w:rsidR="00B64750">
        <w:rPr>
          <w:sz w:val="22"/>
          <w:szCs w:val="22"/>
        </w:rPr>
        <w:t xml:space="preserve">, </w:t>
      </w:r>
      <w:r w:rsidRPr="00B53C1D" w:rsidR="009100A5">
        <w:rPr>
          <w:sz w:val="22"/>
          <w:szCs w:val="22"/>
        </w:rPr>
        <w:t xml:space="preserve">including describing with specificity the </w:t>
      </w:r>
      <w:r w:rsidRPr="00B53C1D" w:rsidR="00B64750">
        <w:rPr>
          <w:sz w:val="22"/>
          <w:szCs w:val="22"/>
        </w:rPr>
        <w:t xml:space="preserve">methods </w:t>
      </w:r>
      <w:r w:rsidRPr="00B53C1D" w:rsidR="009100A5">
        <w:rPr>
          <w:sz w:val="22"/>
          <w:szCs w:val="22"/>
        </w:rPr>
        <w:t>that will be used for</w:t>
      </w:r>
      <w:r w:rsidRPr="00B53C1D" w:rsidR="00B64750">
        <w:rPr>
          <w:sz w:val="22"/>
          <w:szCs w:val="22"/>
        </w:rPr>
        <w:t xml:space="preserve"> ensuring compliance</w:t>
      </w:r>
      <w:r w:rsidRPr="00B53C1D" w:rsidR="009100A5">
        <w:rPr>
          <w:sz w:val="22"/>
          <w:szCs w:val="22"/>
        </w:rPr>
        <w:t>.  In addition, please describe any operational schedule scenarios that would result in excess of those specified in SA.1862, and the steps that will be taken to avoid those scenarios.</w:t>
      </w:r>
    </w:p>
    <w:p w:rsidR="00226EAB" w:rsidRPr="00B53C1D" w:rsidP="00B0717F" w14:paraId="4E4C6D3F" w14:textId="3C231C5A">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Please</w:t>
      </w:r>
      <w:r w:rsidRPr="00B53C1D">
        <w:rPr>
          <w:sz w:val="22"/>
          <w:szCs w:val="22"/>
        </w:rPr>
        <w:t xml:space="preserve"> provide a detailed list of steps </w:t>
      </w:r>
      <w:r w:rsidRPr="00B53C1D" w:rsidR="001153A3">
        <w:rPr>
          <w:sz w:val="22"/>
          <w:szCs w:val="22"/>
        </w:rPr>
        <w:t>that OSK will take when it</w:t>
      </w:r>
      <w:r w:rsidRPr="00B53C1D">
        <w:rPr>
          <w:sz w:val="22"/>
          <w:szCs w:val="22"/>
        </w:rPr>
        <w:t xml:space="preserve"> receive</w:t>
      </w:r>
      <w:r w:rsidRPr="00B53C1D" w:rsidR="001153A3">
        <w:rPr>
          <w:sz w:val="22"/>
          <w:szCs w:val="22"/>
        </w:rPr>
        <w:t>s</w:t>
      </w:r>
      <w:r w:rsidRPr="00B53C1D">
        <w:rPr>
          <w:sz w:val="22"/>
          <w:szCs w:val="22"/>
        </w:rPr>
        <w:t xml:space="preserve"> a conjunction data message (CDM)</w:t>
      </w:r>
      <w:r w:rsidRPr="00B53C1D" w:rsidR="00226C60">
        <w:rPr>
          <w:sz w:val="22"/>
          <w:szCs w:val="22"/>
        </w:rPr>
        <w:t xml:space="preserve"> along with </w:t>
      </w:r>
      <w:r w:rsidRPr="00B53C1D" w:rsidR="001153A3">
        <w:rPr>
          <w:sz w:val="22"/>
          <w:szCs w:val="22"/>
        </w:rPr>
        <w:t>the</w:t>
      </w:r>
      <w:r w:rsidRPr="00B53C1D">
        <w:rPr>
          <w:sz w:val="22"/>
          <w:szCs w:val="22"/>
        </w:rPr>
        <w:t xml:space="preserve"> timeframes for each step.</w:t>
      </w:r>
    </w:p>
    <w:p w:rsidR="00226EAB" w:rsidRPr="00B53C1D" w:rsidP="00B0717F" w14:paraId="6507F81B" w14:textId="2A038C80">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Please</w:t>
      </w:r>
      <w:r w:rsidRPr="00B53C1D" w:rsidR="00260CE9">
        <w:rPr>
          <w:sz w:val="22"/>
          <w:szCs w:val="22"/>
        </w:rPr>
        <w:t xml:space="preserve"> provide </w:t>
      </w:r>
      <w:r w:rsidRPr="00B53C1D" w:rsidR="00E946D6">
        <w:rPr>
          <w:sz w:val="22"/>
          <w:szCs w:val="22"/>
        </w:rPr>
        <w:t>the achievable change in altitude of the spacecraft</w:t>
      </w:r>
      <w:r w:rsidRPr="00B53C1D" w:rsidR="00B25BC4">
        <w:rPr>
          <w:sz w:val="22"/>
          <w:szCs w:val="22"/>
        </w:rPr>
        <w:t xml:space="preserve"> within a 48-hour period</w:t>
      </w:r>
      <w:r w:rsidRPr="00B53C1D" w:rsidR="00260CE9">
        <w:rPr>
          <w:sz w:val="22"/>
          <w:szCs w:val="22"/>
        </w:rPr>
        <w:t xml:space="preserve"> if the spacecraft must perform a collision avoidance maneuver.</w:t>
      </w:r>
    </w:p>
    <w:p w:rsidR="00226EAB" w:rsidRPr="00B53C1D" w:rsidP="00B0717F" w14:paraId="30BD2E2D" w14:textId="6531E23D">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Please</w:t>
      </w:r>
      <w:r w:rsidRPr="00B53C1D" w:rsidR="00150851">
        <w:rPr>
          <w:sz w:val="22"/>
          <w:szCs w:val="22"/>
        </w:rPr>
        <w:t xml:space="preserve"> provide the make and model of the radio being used to communicate with the Globalstar constellation</w:t>
      </w:r>
      <w:r w:rsidRPr="00B53C1D" w:rsidR="00EE71EC">
        <w:rPr>
          <w:sz w:val="22"/>
          <w:szCs w:val="22"/>
        </w:rPr>
        <w:t>.</w:t>
      </w:r>
    </w:p>
    <w:p w:rsidR="00226EAB" w:rsidRPr="00B53C1D" w:rsidP="00B0717F" w14:paraId="64A13575" w14:textId="35E6E39F">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Please</w:t>
      </w:r>
      <w:r w:rsidRPr="00B53C1D" w:rsidR="00150851">
        <w:rPr>
          <w:sz w:val="22"/>
          <w:szCs w:val="22"/>
        </w:rPr>
        <w:t xml:space="preserve"> provide all operational flight configurations. </w:t>
      </w:r>
      <w:r w:rsidRPr="00B53C1D" w:rsidR="0057565E">
        <w:rPr>
          <w:sz w:val="22"/>
          <w:szCs w:val="22"/>
        </w:rPr>
        <w:t xml:space="preserve"> </w:t>
      </w:r>
      <w:r w:rsidRPr="00B53C1D" w:rsidR="00150851">
        <w:rPr>
          <w:sz w:val="22"/>
          <w:szCs w:val="22"/>
        </w:rPr>
        <w:t xml:space="preserve">Is there a high-drag configuration?  Low-drag? </w:t>
      </w:r>
      <w:r w:rsidRPr="00B53C1D" w:rsidR="00226C60">
        <w:rPr>
          <w:sz w:val="22"/>
          <w:szCs w:val="22"/>
        </w:rPr>
        <w:t xml:space="preserve"> </w:t>
      </w:r>
      <w:r w:rsidRPr="00B53C1D" w:rsidR="00150851">
        <w:rPr>
          <w:sz w:val="22"/>
          <w:szCs w:val="22"/>
        </w:rPr>
        <w:t xml:space="preserve">Will the spacecraft be tumbling at any point during the active mission lifetime of the satellite? Please provide the area-to-mass values and orbital lifetimes for all planned configurations (at both the lowest and highest insertion altitudes). </w:t>
      </w:r>
      <w:r w:rsidRPr="00B53C1D" w:rsidR="00226C60">
        <w:rPr>
          <w:sz w:val="22"/>
          <w:szCs w:val="22"/>
        </w:rPr>
        <w:t xml:space="preserve"> </w:t>
      </w:r>
      <w:r w:rsidRPr="00B53C1D" w:rsidR="00150851">
        <w:rPr>
          <w:sz w:val="22"/>
          <w:szCs w:val="22"/>
        </w:rPr>
        <w:t xml:space="preserve">Additionally, </w:t>
      </w:r>
      <w:r w:rsidRPr="00B53C1D">
        <w:rPr>
          <w:sz w:val="22"/>
          <w:szCs w:val="22"/>
        </w:rPr>
        <w:t>please</w:t>
      </w:r>
      <w:r w:rsidRPr="00B53C1D" w:rsidR="00150851">
        <w:rPr>
          <w:sz w:val="22"/>
          <w:szCs w:val="22"/>
        </w:rPr>
        <w:t xml:space="preserve"> provide the orbital lifetime for a satellite that is non-functional </w:t>
      </w:r>
      <w:r w:rsidRPr="00B53C1D" w:rsidR="009100A5">
        <w:rPr>
          <w:sz w:val="22"/>
          <w:szCs w:val="22"/>
        </w:rPr>
        <w:t>(not responsive to commands, including any commands with respect to components of the spacecraft that must be commanded in order to deploy)</w:t>
      </w:r>
      <w:r w:rsidRPr="00B53C1D" w:rsidR="00150851">
        <w:rPr>
          <w:sz w:val="22"/>
          <w:szCs w:val="22"/>
        </w:rPr>
        <w:t xml:space="preserve"> following release from the launch vehicle at the highest intended insertion altitude</w:t>
      </w:r>
      <w:r w:rsidRPr="00B53C1D">
        <w:rPr>
          <w:sz w:val="22"/>
          <w:szCs w:val="22"/>
        </w:rPr>
        <w:t>.</w:t>
      </w:r>
    </w:p>
    <w:p w:rsidR="00226EAB" w:rsidRPr="00B53C1D" w:rsidP="00BB479E" w14:paraId="74F1A523" w14:textId="0F2EEC2C">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 xml:space="preserve">OSK states that </w:t>
      </w:r>
      <w:r w:rsidRPr="00B53C1D" w:rsidR="006948EF">
        <w:rPr>
          <w:sz w:val="22"/>
          <w:szCs w:val="22"/>
        </w:rPr>
        <w:t xml:space="preserve">the </w:t>
      </w:r>
      <w:r w:rsidRPr="00B53C1D">
        <w:rPr>
          <w:sz w:val="22"/>
          <w:szCs w:val="22"/>
        </w:rPr>
        <w:t>GHOSt</w:t>
      </w:r>
      <w:r w:rsidRPr="00B53C1D">
        <w:rPr>
          <w:sz w:val="22"/>
          <w:szCs w:val="22"/>
        </w:rPr>
        <w:t xml:space="preserve"> </w:t>
      </w:r>
      <w:r w:rsidRPr="00B53C1D" w:rsidR="006948EF">
        <w:rPr>
          <w:sz w:val="22"/>
          <w:szCs w:val="22"/>
        </w:rPr>
        <w:t xml:space="preserve">satellites </w:t>
      </w:r>
      <w:r w:rsidRPr="00B53C1D">
        <w:rPr>
          <w:sz w:val="22"/>
          <w:szCs w:val="22"/>
        </w:rPr>
        <w:t>will use GPS modules</w:t>
      </w:r>
      <w:r w:rsidRPr="00B53C1D" w:rsidR="00990F8B">
        <w:rPr>
          <w:sz w:val="22"/>
          <w:szCs w:val="22"/>
        </w:rPr>
        <w:t>.  Please</w:t>
      </w:r>
      <w:r w:rsidRPr="00B53C1D" w:rsidR="00995AE9">
        <w:rPr>
          <w:sz w:val="22"/>
          <w:szCs w:val="22"/>
        </w:rPr>
        <w:t xml:space="preserve"> </w:t>
      </w:r>
      <w:r w:rsidRPr="00B53C1D" w:rsidR="009100A5">
        <w:rPr>
          <w:sz w:val="22"/>
          <w:szCs w:val="22"/>
        </w:rPr>
        <w:t>specify</w:t>
      </w:r>
      <w:r w:rsidRPr="00B53C1D" w:rsidR="00995AE9">
        <w:rPr>
          <w:sz w:val="22"/>
          <w:szCs w:val="22"/>
        </w:rPr>
        <w:t xml:space="preserve"> </w:t>
      </w:r>
      <w:r w:rsidRPr="00B53C1D" w:rsidR="00260CE9">
        <w:rPr>
          <w:sz w:val="22"/>
          <w:szCs w:val="22"/>
        </w:rPr>
        <w:t>the GPS signals that OSK intends to utilize</w:t>
      </w:r>
      <w:r w:rsidRPr="00B53C1D">
        <w:rPr>
          <w:sz w:val="22"/>
          <w:szCs w:val="22"/>
        </w:rPr>
        <w:t>.</w:t>
      </w:r>
      <w:r>
        <w:rPr>
          <w:sz w:val="22"/>
          <w:szCs w:val="22"/>
          <w:vertAlign w:val="superscript"/>
        </w:rPr>
        <w:footnoteReference w:id="36"/>
      </w:r>
      <w:r w:rsidRPr="00B53C1D">
        <w:rPr>
          <w:sz w:val="22"/>
          <w:szCs w:val="22"/>
        </w:rPr>
        <w:t xml:space="preserve">  </w:t>
      </w:r>
    </w:p>
    <w:p w:rsidR="009100A5" w:rsidRPr="00B53C1D" w:rsidP="00B0717F" w14:paraId="033E5C80" w14:textId="16270092">
      <w:pPr>
        <w:pStyle w:val="paragraph"/>
        <w:numPr>
          <w:ilvl w:val="0"/>
          <w:numId w:val="22"/>
        </w:numPr>
        <w:spacing w:before="0" w:beforeAutospacing="0" w:after="240" w:afterAutospacing="0"/>
        <w:ind w:left="360" w:firstLine="0"/>
        <w:textAlignment w:val="baseline"/>
        <w:rPr>
          <w:sz w:val="22"/>
          <w:szCs w:val="22"/>
        </w:rPr>
      </w:pPr>
      <w:r w:rsidRPr="00B53C1D">
        <w:rPr>
          <w:sz w:val="22"/>
          <w:szCs w:val="22"/>
        </w:rPr>
        <w:t>OSK</w:t>
      </w:r>
      <w:r w:rsidRPr="00B53C1D" w:rsidR="00226EAB">
        <w:rPr>
          <w:sz w:val="22"/>
          <w:szCs w:val="22"/>
        </w:rPr>
        <w:t xml:space="preserve"> state</w:t>
      </w:r>
      <w:r w:rsidRPr="00B53C1D">
        <w:rPr>
          <w:sz w:val="22"/>
          <w:szCs w:val="22"/>
        </w:rPr>
        <w:t>s,</w:t>
      </w:r>
      <w:r w:rsidRPr="00B53C1D" w:rsidR="00226EAB">
        <w:rPr>
          <w:sz w:val="22"/>
          <w:szCs w:val="22"/>
        </w:rPr>
        <w:t xml:space="preserve"> </w:t>
      </w:r>
      <w:r w:rsidRPr="00B53C1D">
        <w:rPr>
          <w:sz w:val="22"/>
          <w:szCs w:val="22"/>
        </w:rPr>
        <w:t>“</w:t>
      </w:r>
      <w:r w:rsidRPr="00B53C1D" w:rsidR="00226EAB">
        <w:rPr>
          <w:sz w:val="22"/>
          <w:szCs w:val="22"/>
        </w:rPr>
        <w:t>After the spacecraft has demonstrated all relevant technologies and completed payload operations, the spacecraft will be left to deorbit in the given period to comply with regulation requirements.</w:t>
      </w:r>
      <w:r w:rsidRPr="00B53C1D">
        <w:rPr>
          <w:sz w:val="22"/>
          <w:szCs w:val="22"/>
        </w:rPr>
        <w:t>”</w:t>
      </w:r>
      <w:r>
        <w:rPr>
          <w:sz w:val="22"/>
          <w:szCs w:val="22"/>
          <w:vertAlign w:val="superscript"/>
        </w:rPr>
        <w:footnoteReference w:id="37"/>
      </w:r>
      <w:r w:rsidRPr="00B53C1D" w:rsidR="00226EAB">
        <w:rPr>
          <w:sz w:val="22"/>
          <w:szCs w:val="22"/>
          <w:vertAlign w:val="superscript"/>
        </w:rPr>
        <w:t xml:space="preserve"> </w:t>
      </w:r>
      <w:r w:rsidRPr="00B53C1D" w:rsidR="001C1065">
        <w:rPr>
          <w:sz w:val="22"/>
          <w:szCs w:val="22"/>
        </w:rPr>
        <w:t xml:space="preserve"> </w:t>
      </w:r>
      <w:r w:rsidRPr="00B53C1D" w:rsidR="008F7E1E">
        <w:rPr>
          <w:sz w:val="22"/>
          <w:szCs w:val="22"/>
        </w:rPr>
        <w:t xml:space="preserve">However, OSK does not provide (1) whether </w:t>
      </w:r>
      <w:r w:rsidRPr="00B53C1D" w:rsidR="00226C60">
        <w:rPr>
          <w:sz w:val="22"/>
          <w:szCs w:val="22"/>
        </w:rPr>
        <w:t>the spacecraft be commanded into a high- or low- drag configuration prior to end-of-life (EOL)</w:t>
      </w:r>
      <w:r w:rsidRPr="00B53C1D" w:rsidR="008F7E1E">
        <w:rPr>
          <w:sz w:val="22"/>
          <w:szCs w:val="22"/>
        </w:rPr>
        <w:t>, (2) whether the spacecraft will</w:t>
      </w:r>
      <w:r w:rsidRPr="00B53C1D" w:rsidR="00226C60">
        <w:rPr>
          <w:sz w:val="22"/>
          <w:szCs w:val="22"/>
        </w:rPr>
        <w:t xml:space="preserve"> be left tumbling</w:t>
      </w:r>
      <w:r w:rsidRPr="00B53C1D" w:rsidR="008F7E1E">
        <w:rPr>
          <w:sz w:val="22"/>
          <w:szCs w:val="22"/>
        </w:rPr>
        <w:t>, (3) any</w:t>
      </w:r>
      <w:r w:rsidRPr="00B53C1D" w:rsidR="00226C60">
        <w:rPr>
          <w:sz w:val="22"/>
          <w:szCs w:val="22"/>
        </w:rPr>
        <w:t xml:space="preserve"> additional information on any EOL configuration changes to the spacecraft</w:t>
      </w:r>
      <w:r w:rsidRPr="00B53C1D" w:rsidR="008F7E1E">
        <w:rPr>
          <w:sz w:val="22"/>
          <w:szCs w:val="22"/>
        </w:rPr>
        <w:t>, (4)</w:t>
      </w:r>
      <w:r w:rsidRPr="00B53C1D" w:rsidR="00226C60">
        <w:rPr>
          <w:sz w:val="22"/>
          <w:szCs w:val="22"/>
        </w:rPr>
        <w:t xml:space="preserve"> the expected altitude at EOL for a spacecraft with an insertion altitude at the lowest </w:t>
      </w:r>
      <w:r w:rsidRPr="00B53C1D" w:rsidR="0050251E">
        <w:rPr>
          <w:sz w:val="22"/>
          <w:szCs w:val="22"/>
        </w:rPr>
        <w:t>value</w:t>
      </w:r>
      <w:r w:rsidRPr="00B53C1D" w:rsidR="008F7E1E">
        <w:rPr>
          <w:sz w:val="22"/>
          <w:szCs w:val="22"/>
        </w:rPr>
        <w:t>, or (5)</w:t>
      </w:r>
      <w:r w:rsidRPr="00B53C1D" w:rsidR="00226C60">
        <w:rPr>
          <w:sz w:val="22"/>
          <w:szCs w:val="22"/>
        </w:rPr>
        <w:t xml:space="preserve"> the EOL altitude for a spacecraft with an initial insertion altitude at the highest value</w:t>
      </w:r>
      <w:r w:rsidRPr="00B53C1D" w:rsidR="008F7E1E">
        <w:rPr>
          <w:sz w:val="22"/>
          <w:szCs w:val="22"/>
        </w:rPr>
        <w:t xml:space="preserve">. </w:t>
      </w:r>
      <w:r w:rsidRPr="00B53C1D" w:rsidR="00990F8B">
        <w:rPr>
          <w:sz w:val="22"/>
          <w:szCs w:val="22"/>
        </w:rPr>
        <w:t xml:space="preserve"> Please provide the additional enumerated information.</w:t>
      </w:r>
    </w:p>
    <w:p w:rsidR="00DD6164" w:rsidRPr="00B53C1D" w:rsidP="00B53C1D" w14:paraId="2AAF1312" w14:textId="437647E2">
      <w:pPr>
        <w:pStyle w:val="paragraph"/>
        <w:spacing w:before="0" w:beforeAutospacing="0" w:after="240" w:afterAutospacing="0"/>
        <w:ind w:firstLine="360"/>
        <w:textAlignment w:val="baseline"/>
        <w:rPr>
          <w:sz w:val="22"/>
          <w:szCs w:val="22"/>
        </w:rPr>
      </w:pPr>
      <w:r w:rsidRPr="00B53C1D">
        <w:rPr>
          <w:sz w:val="22"/>
          <w:szCs w:val="22"/>
        </w:rPr>
        <w:t xml:space="preserve">Accordingly, pursuant to Section 25.112(a)(1) of the Commission’s rules, we dismiss </w:t>
      </w:r>
      <w:r w:rsidRPr="00B53C1D" w:rsidR="00990F8B">
        <w:rPr>
          <w:sz w:val="22"/>
          <w:szCs w:val="22"/>
        </w:rPr>
        <w:t xml:space="preserve">the OSK </w:t>
      </w:r>
      <w:r w:rsidRPr="00B53C1D">
        <w:rPr>
          <w:sz w:val="22"/>
          <w:szCs w:val="22"/>
        </w:rPr>
        <w:t>application as defective without prejudice to refiling.</w:t>
      </w:r>
      <w:r w:rsidRPr="00B53C1D" w:rsidR="007E6181">
        <w:rPr>
          <w:sz w:val="22"/>
          <w:szCs w:val="22"/>
        </w:rPr>
        <w:t xml:space="preserve"> </w:t>
      </w:r>
      <w:r w:rsidRPr="00B53C1D" w:rsidR="009100A5">
        <w:rPr>
          <w:sz w:val="22"/>
          <w:szCs w:val="22"/>
        </w:rPr>
        <w:t xml:space="preserve"> </w:t>
      </w:r>
    </w:p>
    <w:p w:rsidR="00DD6164" w:rsidRPr="00B53C1D" w:rsidP="00DD6164" w14:paraId="197B7029" w14:textId="77777777">
      <w:pPr>
        <w:pStyle w:val="paragraph"/>
        <w:spacing w:before="0" w:beforeAutospacing="0" w:after="0" w:afterAutospacing="0"/>
        <w:ind w:left="3600" w:firstLine="720"/>
        <w:textAlignment w:val="baseline"/>
        <w:rPr>
          <w:sz w:val="22"/>
          <w:szCs w:val="22"/>
        </w:rPr>
      </w:pPr>
      <w:r w:rsidRPr="00B53C1D">
        <w:rPr>
          <w:rStyle w:val="normaltextrun"/>
          <w:sz w:val="22"/>
          <w:szCs w:val="22"/>
        </w:rPr>
        <w:t>Sincerely,</w:t>
      </w:r>
      <w:r w:rsidRPr="00B53C1D">
        <w:rPr>
          <w:rStyle w:val="eop"/>
          <w:sz w:val="22"/>
          <w:szCs w:val="22"/>
        </w:rPr>
        <w:t> </w:t>
      </w:r>
    </w:p>
    <w:p w:rsidR="00DD6164" w:rsidRPr="00B53C1D" w:rsidP="00DD6164" w14:paraId="2F8A95DC" w14:textId="77777777">
      <w:pPr>
        <w:pStyle w:val="paragraph"/>
        <w:spacing w:before="0" w:beforeAutospacing="0" w:after="0" w:afterAutospacing="0"/>
        <w:ind w:left="3600" w:firstLine="720"/>
        <w:textAlignment w:val="baseline"/>
        <w:rPr>
          <w:sz w:val="22"/>
          <w:szCs w:val="22"/>
        </w:rPr>
      </w:pPr>
      <w:r w:rsidRPr="00B53C1D">
        <w:rPr>
          <w:rStyle w:val="normaltextrun"/>
          <w:sz w:val="22"/>
          <w:szCs w:val="22"/>
        </w:rPr>
        <w:t> </w:t>
      </w:r>
      <w:r w:rsidRPr="00B53C1D">
        <w:rPr>
          <w:rStyle w:val="eop"/>
          <w:sz w:val="22"/>
          <w:szCs w:val="22"/>
        </w:rPr>
        <w:t> </w:t>
      </w:r>
    </w:p>
    <w:p w:rsidR="00DD6164" w:rsidRPr="00B53C1D" w:rsidP="00DD6164" w14:paraId="72A3DEE7" w14:textId="19603DAE">
      <w:pPr>
        <w:pStyle w:val="paragraph"/>
        <w:spacing w:before="0" w:beforeAutospacing="0" w:after="0" w:afterAutospacing="0"/>
        <w:textAlignment w:val="baseline"/>
        <w:rPr>
          <w:rFonts w:ascii="Vladimir Script" w:hAnsi="Vladimir Script"/>
          <w:b/>
          <w:bCs/>
          <w:sz w:val="44"/>
          <w:szCs w:val="44"/>
        </w:rPr>
      </w:pPr>
      <w:r w:rsidRPr="00B53C1D">
        <w:rPr>
          <w:rStyle w:val="eop"/>
          <w:sz w:val="22"/>
          <w:szCs w:val="22"/>
        </w:rPr>
        <w:t> </w:t>
      </w:r>
      <w:r w:rsidR="00B53C1D">
        <w:rPr>
          <w:rStyle w:val="eop"/>
          <w:sz w:val="22"/>
          <w:szCs w:val="22"/>
        </w:rPr>
        <w:tab/>
      </w:r>
      <w:r w:rsidR="00B53C1D">
        <w:rPr>
          <w:rStyle w:val="eop"/>
          <w:sz w:val="22"/>
          <w:szCs w:val="22"/>
        </w:rPr>
        <w:tab/>
      </w:r>
      <w:r w:rsidR="00B53C1D">
        <w:rPr>
          <w:rStyle w:val="eop"/>
          <w:sz w:val="22"/>
          <w:szCs w:val="22"/>
        </w:rPr>
        <w:tab/>
      </w:r>
      <w:r w:rsidR="00B53C1D">
        <w:rPr>
          <w:rStyle w:val="eop"/>
          <w:sz w:val="22"/>
          <w:szCs w:val="22"/>
        </w:rPr>
        <w:tab/>
      </w:r>
      <w:r w:rsidR="00B53C1D">
        <w:rPr>
          <w:rStyle w:val="eop"/>
          <w:sz w:val="22"/>
          <w:szCs w:val="22"/>
        </w:rPr>
        <w:tab/>
      </w:r>
      <w:r w:rsidR="00B53C1D">
        <w:rPr>
          <w:rStyle w:val="eop"/>
          <w:sz w:val="22"/>
          <w:szCs w:val="22"/>
        </w:rPr>
        <w:tab/>
      </w:r>
      <w:r w:rsidRPr="00B53C1D" w:rsidR="00B53C1D">
        <w:rPr>
          <w:rStyle w:val="eop"/>
          <w:rFonts w:ascii="Vladimir Script" w:hAnsi="Vladimir Script"/>
          <w:b/>
          <w:bCs/>
          <w:sz w:val="44"/>
          <w:szCs w:val="44"/>
        </w:rPr>
        <w:t>Karl A. Kensinger</w:t>
      </w:r>
    </w:p>
    <w:p w:rsidR="00DD6164" w:rsidRPr="00B53C1D" w:rsidP="00DD6164" w14:paraId="13AB36C9" w14:textId="77777777">
      <w:pPr>
        <w:pStyle w:val="paragraph"/>
        <w:spacing w:before="0" w:beforeAutospacing="0" w:after="0" w:afterAutospacing="0"/>
        <w:textAlignment w:val="baseline"/>
        <w:rPr>
          <w:sz w:val="22"/>
          <w:szCs w:val="22"/>
        </w:rPr>
      </w:pPr>
      <w:r w:rsidRPr="00B53C1D">
        <w:rPr>
          <w:rStyle w:val="eop"/>
          <w:sz w:val="22"/>
          <w:szCs w:val="22"/>
        </w:rPr>
        <w:t> </w:t>
      </w:r>
    </w:p>
    <w:p w:rsidR="00DD6164" w:rsidRPr="00B53C1D" w:rsidP="00B53C1D" w14:paraId="79C62B8B" w14:textId="1ED2E818">
      <w:pPr>
        <w:pStyle w:val="paragraph"/>
        <w:spacing w:before="0" w:beforeAutospacing="0" w:after="0" w:afterAutospacing="0"/>
        <w:textAlignment w:val="baseline"/>
        <w:rPr>
          <w:sz w:val="22"/>
          <w:szCs w:val="22"/>
        </w:rPr>
      </w:pPr>
      <w:r w:rsidRPr="00B53C1D">
        <w:rPr>
          <w:rStyle w:val="eop"/>
          <w:sz w:val="22"/>
          <w:szCs w:val="22"/>
        </w:rPr>
        <w:t> </w:t>
      </w:r>
      <w:r w:rsidR="00B53C1D">
        <w:rPr>
          <w:rStyle w:val="eop"/>
          <w:sz w:val="22"/>
          <w:szCs w:val="22"/>
        </w:rPr>
        <w:tab/>
      </w:r>
      <w:r w:rsidR="00B53C1D">
        <w:rPr>
          <w:rStyle w:val="eop"/>
          <w:sz w:val="22"/>
          <w:szCs w:val="22"/>
        </w:rPr>
        <w:tab/>
      </w:r>
      <w:r w:rsidR="00B53C1D">
        <w:rPr>
          <w:rStyle w:val="eop"/>
          <w:sz w:val="22"/>
          <w:szCs w:val="22"/>
        </w:rPr>
        <w:tab/>
      </w:r>
      <w:r w:rsidR="00B53C1D">
        <w:rPr>
          <w:rStyle w:val="eop"/>
          <w:sz w:val="22"/>
          <w:szCs w:val="22"/>
        </w:rPr>
        <w:tab/>
      </w:r>
      <w:r w:rsidR="00B53C1D">
        <w:rPr>
          <w:rStyle w:val="eop"/>
          <w:sz w:val="22"/>
          <w:szCs w:val="22"/>
        </w:rPr>
        <w:tab/>
      </w:r>
      <w:r w:rsidR="00B53C1D">
        <w:rPr>
          <w:rStyle w:val="eop"/>
          <w:sz w:val="22"/>
          <w:szCs w:val="22"/>
        </w:rPr>
        <w:tab/>
      </w:r>
      <w:r w:rsidRPr="00B53C1D">
        <w:rPr>
          <w:rStyle w:val="normaltextrun"/>
          <w:sz w:val="22"/>
          <w:szCs w:val="22"/>
        </w:rPr>
        <w:t>Karl A. Kensinger</w:t>
      </w:r>
      <w:r w:rsidRPr="00B53C1D">
        <w:rPr>
          <w:rStyle w:val="eop"/>
          <w:sz w:val="22"/>
          <w:szCs w:val="22"/>
        </w:rPr>
        <w:t> </w:t>
      </w:r>
    </w:p>
    <w:p w:rsidR="00DD6164" w:rsidRPr="00B53C1D" w:rsidP="00DD6164" w14:paraId="42816E01" w14:textId="77777777">
      <w:pPr>
        <w:pStyle w:val="paragraph"/>
        <w:spacing w:before="0" w:beforeAutospacing="0" w:after="0" w:afterAutospacing="0"/>
        <w:ind w:left="3600" w:firstLine="720"/>
        <w:textAlignment w:val="baseline"/>
        <w:rPr>
          <w:sz w:val="22"/>
          <w:szCs w:val="22"/>
        </w:rPr>
      </w:pPr>
      <w:r w:rsidRPr="00B53C1D">
        <w:rPr>
          <w:rStyle w:val="normaltextrun"/>
          <w:sz w:val="22"/>
          <w:szCs w:val="22"/>
        </w:rPr>
        <w:t>Chief, Satellite Division</w:t>
      </w:r>
      <w:r w:rsidRPr="00B53C1D">
        <w:rPr>
          <w:rStyle w:val="eop"/>
          <w:sz w:val="22"/>
          <w:szCs w:val="22"/>
        </w:rPr>
        <w:t> </w:t>
      </w:r>
    </w:p>
    <w:p w:rsidR="00204CE3" w:rsidRPr="00B53C1D" w:rsidP="00DD6164" w14:paraId="2EE3BB41" w14:textId="37D9B153">
      <w:pPr>
        <w:rPr>
          <w:sz w:val="22"/>
          <w:szCs w:val="22"/>
        </w:rPr>
      </w:pPr>
      <w:r w:rsidRPr="00B53C1D">
        <w:rPr>
          <w:sz w:val="22"/>
          <w:szCs w:val="22"/>
        </w:rPr>
        <w:tab/>
      </w:r>
      <w:r w:rsidRPr="00B53C1D">
        <w:rPr>
          <w:sz w:val="22"/>
          <w:szCs w:val="22"/>
        </w:rPr>
        <w:tab/>
      </w:r>
      <w:r w:rsidRPr="00B53C1D">
        <w:rPr>
          <w:sz w:val="22"/>
          <w:szCs w:val="22"/>
        </w:rPr>
        <w:tab/>
      </w:r>
      <w:r w:rsidRPr="00B53C1D">
        <w:rPr>
          <w:sz w:val="22"/>
          <w:szCs w:val="22"/>
        </w:rPr>
        <w:tab/>
      </w:r>
      <w:r w:rsidRPr="00B53C1D">
        <w:rPr>
          <w:sz w:val="22"/>
          <w:szCs w:val="22"/>
        </w:rPr>
        <w:tab/>
      </w:r>
      <w:r w:rsidRPr="00B53C1D">
        <w:rPr>
          <w:sz w:val="22"/>
          <w:szCs w:val="22"/>
        </w:rPr>
        <w:tab/>
        <w:t>International Bureau</w:t>
      </w:r>
    </w:p>
    <w:sectPr>
      <w:headerReference w:type="default" r:id="rId6"/>
      <w:footerReference w:type="default" r:id="rId7"/>
      <w:headerReference w:type="first" r:id="rId8"/>
      <w:foot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C1D" w14:paraId="2C0BC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C1D" w14:paraId="544A81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4C34" w14:paraId="31201E82" w14:textId="77777777">
      <w:r>
        <w:separator/>
      </w:r>
    </w:p>
  </w:footnote>
  <w:footnote w:type="continuationSeparator" w:id="1">
    <w:p w:rsidR="00174C34" w14:paraId="6826A242" w14:textId="77777777">
      <w:r>
        <w:continuationSeparator/>
      </w:r>
    </w:p>
  </w:footnote>
  <w:footnote w:id="2">
    <w:p w:rsidR="009F49C3" w14:paraId="44031246" w14:textId="62A25947">
      <w:pPr>
        <w:pStyle w:val="FootnoteText"/>
      </w:pPr>
      <w:r>
        <w:rPr>
          <w:rStyle w:val="FootnoteReference"/>
        </w:rPr>
        <w:footnoteRef/>
      </w:r>
      <w:r>
        <w:t xml:space="preserve"> In the first revision, OSK provided a </w:t>
      </w:r>
      <w:r w:rsidR="00DE34B5">
        <w:t>C</w:t>
      </w:r>
      <w:r>
        <w:t xml:space="preserve">over </w:t>
      </w:r>
      <w:r w:rsidR="00DE34B5">
        <w:t>L</w:t>
      </w:r>
      <w:r>
        <w:t xml:space="preserve">etter, a </w:t>
      </w:r>
      <w:r w:rsidR="00DE34B5">
        <w:t>R</w:t>
      </w:r>
      <w:r>
        <w:t>evised Schedule S, and a Revised Attachment B - Technical Annex (</w:t>
      </w:r>
      <w:r w:rsidR="006F242E">
        <w:t xml:space="preserve">OSK Revised </w:t>
      </w:r>
      <w:r>
        <w:t>Technical Annex).  In the second revision, OSK provided a Further Revised Schedule S and Cover Letter (</w:t>
      </w:r>
      <w:r w:rsidR="006F242E">
        <w:t xml:space="preserve">OSK Further Revised </w:t>
      </w:r>
      <w:r>
        <w:t>Schedule S).</w:t>
      </w:r>
    </w:p>
    <w:p w:rsidR="009F49C3" w14:paraId="7DEC4849" w14:textId="77777777">
      <w:pPr>
        <w:pStyle w:val="FootnoteText"/>
      </w:pPr>
    </w:p>
  </w:footnote>
  <w:footnote w:id="3">
    <w:p w:rsidR="00B64750" w:rsidRPr="00944DFD" w:rsidP="00B64750" w14:paraId="4AA7A2A0" w14:textId="7153FBB9">
      <w:pPr>
        <w:pStyle w:val="FootnoteText"/>
      </w:pPr>
      <w:r w:rsidRPr="005601ED">
        <w:rPr>
          <w:rStyle w:val="FootnoteReference"/>
        </w:rPr>
        <w:footnoteRef/>
      </w:r>
      <w:r w:rsidRPr="005601ED">
        <w:t xml:space="preserve"> 47 CFR § </w:t>
      </w:r>
      <w:r w:rsidRPr="00C42339">
        <w:t xml:space="preserve">25.112(a)(1).  </w:t>
      </w:r>
    </w:p>
    <w:p w:rsidR="00B64750" w:rsidP="00B64750" w14:paraId="1C16AFEA" w14:textId="77777777">
      <w:pPr>
        <w:pStyle w:val="FootnoteText"/>
      </w:pPr>
    </w:p>
  </w:footnote>
  <w:footnote w:id="4">
    <w:p w:rsidR="00B64750" w:rsidRPr="00944DFD" w:rsidP="00B64750" w14:paraId="582BDC13" w14:textId="2BCFC553">
      <w:pPr>
        <w:pStyle w:val="FootnoteText"/>
      </w:pPr>
      <w:r>
        <w:rPr>
          <w:rStyle w:val="FootnoteReference"/>
        </w:rPr>
        <w:footnoteRef/>
      </w:r>
      <w:r>
        <w:t xml:space="preserve"> </w:t>
      </w:r>
      <w:r w:rsidRPr="005601ED">
        <w:t xml:space="preserve">If OSK refiles an application identical to the one dismissed, with the exception of </w:t>
      </w:r>
      <w:r>
        <w:t>making the corrections addressed in this letter and supplying the missing information discussed in this letter</w:t>
      </w:r>
      <w:r w:rsidRPr="005601ED">
        <w:t>, it need not pay an</w:t>
      </w:r>
      <w:r>
        <w:t xml:space="preserve">other </w:t>
      </w:r>
      <w:r w:rsidRPr="005601ED">
        <w:t>application fee.</w:t>
      </w:r>
      <w:r>
        <w:t xml:space="preserve">  </w:t>
      </w:r>
      <w:r w:rsidRPr="00C42339">
        <w:rPr>
          <w:i/>
          <w:iCs/>
        </w:rPr>
        <w:t>See</w:t>
      </w:r>
      <w:r w:rsidRPr="005601ED">
        <w:t xml:space="preserve"> 47 CFR § 1.1111</w:t>
      </w:r>
      <w:r w:rsidRPr="00990F8B">
        <w:t>(d).</w:t>
      </w:r>
    </w:p>
    <w:p w:rsidR="00B64750" w14:paraId="66DCBEB2" w14:textId="25A69A3F">
      <w:pPr>
        <w:pStyle w:val="FootnoteText"/>
      </w:pPr>
    </w:p>
  </w:footnote>
  <w:footnote w:id="5">
    <w:p w:rsidR="00A33738" w14:paraId="0CB5202A" w14:textId="1EBD8A7B">
      <w:pPr>
        <w:pStyle w:val="FootnoteText"/>
        <w:rPr>
          <w:i/>
          <w:iCs/>
        </w:rPr>
      </w:pPr>
      <w:r>
        <w:rPr>
          <w:rStyle w:val="FootnoteReference"/>
        </w:rPr>
        <w:footnoteRef/>
      </w:r>
      <w:r>
        <w:t xml:space="preserve"> </w:t>
      </w:r>
      <w:r w:rsidR="001A1AD5">
        <w:t>OSK Revised Technical Annex at 69; OSK Further Revised Schedule S at 23</w:t>
      </w:r>
      <w:r>
        <w:rPr>
          <w:i/>
          <w:iCs/>
        </w:rPr>
        <w:t>.</w:t>
      </w:r>
    </w:p>
    <w:p w:rsidR="00A33738" w:rsidRPr="00A33738" w14:paraId="3104FE2C" w14:textId="77777777">
      <w:pPr>
        <w:pStyle w:val="FootnoteText"/>
        <w:rPr>
          <w:i/>
          <w:iCs/>
        </w:rPr>
      </w:pPr>
    </w:p>
  </w:footnote>
  <w:footnote w:id="6">
    <w:p w:rsidR="00A33738" w14:paraId="34E73902" w14:textId="545602AE">
      <w:pPr>
        <w:pStyle w:val="FootnoteText"/>
        <w:rPr>
          <w:i/>
          <w:iCs/>
        </w:rPr>
      </w:pPr>
      <w:r>
        <w:rPr>
          <w:rStyle w:val="FootnoteReference"/>
        </w:rPr>
        <w:footnoteRef/>
      </w:r>
      <w:r>
        <w:t xml:space="preserve"> </w:t>
      </w:r>
      <w:r>
        <w:rPr>
          <w:i/>
          <w:iCs/>
        </w:rPr>
        <w:t>Id.</w:t>
      </w:r>
    </w:p>
    <w:p w:rsidR="00A33738" w:rsidRPr="00A33738" w14:paraId="02B1A1E2" w14:textId="77777777">
      <w:pPr>
        <w:pStyle w:val="FootnoteText"/>
        <w:rPr>
          <w:i/>
          <w:iCs/>
        </w:rPr>
      </w:pPr>
    </w:p>
  </w:footnote>
  <w:footnote w:id="7">
    <w:p w:rsidR="00A33738" w14:paraId="3FC4ED8A" w14:textId="01FEAD01">
      <w:pPr>
        <w:pStyle w:val="FootnoteText"/>
      </w:pPr>
      <w:r>
        <w:rPr>
          <w:rStyle w:val="FootnoteReference"/>
        </w:rPr>
        <w:footnoteRef/>
      </w:r>
      <w:r>
        <w:t xml:space="preserve"> </w:t>
      </w:r>
      <w:r w:rsidR="006F242E">
        <w:t xml:space="preserve">OSK Revised </w:t>
      </w:r>
      <w:r>
        <w:t>Technical Annex at 68, 71.</w:t>
      </w:r>
    </w:p>
    <w:p w:rsidR="00A33738" w14:paraId="13CA561B" w14:textId="77777777">
      <w:pPr>
        <w:pStyle w:val="FootnoteText"/>
      </w:pPr>
    </w:p>
  </w:footnote>
  <w:footnote w:id="8">
    <w:p w:rsidR="00E05E5C" w14:paraId="786AD75F" w14:textId="5F737FE2">
      <w:pPr>
        <w:pStyle w:val="FootnoteText"/>
      </w:pPr>
      <w:r>
        <w:rPr>
          <w:rStyle w:val="FootnoteReference"/>
        </w:rPr>
        <w:footnoteRef/>
      </w:r>
      <w:r>
        <w:t xml:space="preserve"> </w:t>
      </w:r>
      <w:r>
        <w:rPr>
          <w:i/>
          <w:iCs/>
        </w:rPr>
        <w:t xml:space="preserve">Id. </w:t>
      </w:r>
      <w:r>
        <w:t>at 69.</w:t>
      </w:r>
    </w:p>
    <w:p w:rsidR="00E05E5C" w:rsidRPr="00E05E5C" w14:paraId="6CFDE55A" w14:textId="77777777">
      <w:pPr>
        <w:pStyle w:val="FootnoteText"/>
      </w:pPr>
    </w:p>
  </w:footnote>
  <w:footnote w:id="9">
    <w:p w:rsidR="00E05E5C" w14:paraId="5F3F4A57" w14:textId="3DFF2743">
      <w:pPr>
        <w:pStyle w:val="FootnoteText"/>
      </w:pPr>
      <w:r>
        <w:rPr>
          <w:rStyle w:val="FootnoteReference"/>
        </w:rPr>
        <w:footnoteRef/>
      </w:r>
      <w:r>
        <w:t xml:space="preserve"> </w:t>
      </w:r>
      <w:r>
        <w:rPr>
          <w:i/>
          <w:iCs/>
        </w:rPr>
        <w:t>Id.</w:t>
      </w:r>
      <w:r>
        <w:t xml:space="preserve"> at 68, 71.</w:t>
      </w:r>
    </w:p>
    <w:p w:rsidR="00E05E5C" w:rsidRPr="00E05E5C" w14:paraId="00921CD2" w14:textId="77777777">
      <w:pPr>
        <w:pStyle w:val="FootnoteText"/>
      </w:pPr>
    </w:p>
  </w:footnote>
  <w:footnote w:id="10">
    <w:p w:rsidR="00E05E5C" w14:paraId="2CBB540B" w14:textId="6AAC5831">
      <w:pPr>
        <w:pStyle w:val="FootnoteText"/>
      </w:pPr>
      <w:r>
        <w:rPr>
          <w:rStyle w:val="FootnoteReference"/>
        </w:rPr>
        <w:footnoteRef/>
      </w:r>
      <w:r>
        <w:t xml:space="preserve"> </w:t>
      </w:r>
      <w:r>
        <w:rPr>
          <w:i/>
          <w:iCs/>
        </w:rPr>
        <w:t xml:space="preserve">Id. </w:t>
      </w:r>
      <w:r>
        <w:t>at 69.</w:t>
      </w:r>
    </w:p>
    <w:p w:rsidR="00023B8B" w:rsidRPr="00E05E5C" w14:paraId="70C04968" w14:textId="77777777">
      <w:pPr>
        <w:pStyle w:val="FootnoteText"/>
      </w:pPr>
    </w:p>
  </w:footnote>
  <w:footnote w:id="11">
    <w:p w:rsidR="00023B8B" w14:paraId="74350388" w14:textId="79661280">
      <w:pPr>
        <w:pStyle w:val="FootnoteText"/>
      </w:pPr>
      <w:r>
        <w:rPr>
          <w:rStyle w:val="FootnoteReference"/>
        </w:rPr>
        <w:footnoteRef/>
      </w:r>
      <w:r>
        <w:t xml:space="preserve"> </w:t>
      </w:r>
      <w:r>
        <w:rPr>
          <w:i/>
          <w:iCs/>
        </w:rPr>
        <w:t xml:space="preserve">Id. </w:t>
      </w:r>
      <w:r>
        <w:t>at 71</w:t>
      </w:r>
      <w:r w:rsidR="007E37DB">
        <w:t>-72</w:t>
      </w:r>
      <w:r>
        <w:t>.</w:t>
      </w:r>
    </w:p>
    <w:p w:rsidR="00023B8B" w:rsidRPr="00023B8B" w14:paraId="256EB46F" w14:textId="77777777">
      <w:pPr>
        <w:pStyle w:val="FootnoteText"/>
      </w:pPr>
    </w:p>
  </w:footnote>
  <w:footnote w:id="12">
    <w:p w:rsidR="00023B8B" w14:paraId="55479272" w14:textId="230CC185">
      <w:pPr>
        <w:pStyle w:val="FootnoteText"/>
      </w:pPr>
      <w:r>
        <w:rPr>
          <w:rStyle w:val="FootnoteReference"/>
        </w:rPr>
        <w:footnoteRef/>
      </w:r>
      <w:r>
        <w:t xml:space="preserve"> </w:t>
      </w:r>
      <w:r>
        <w:rPr>
          <w:i/>
          <w:iCs/>
        </w:rPr>
        <w:t xml:space="preserve">Id. </w:t>
      </w:r>
      <w:r>
        <w:t>at 68.</w:t>
      </w:r>
    </w:p>
    <w:p w:rsidR="00023B8B" w:rsidRPr="00023B8B" w14:paraId="3B68D1D3" w14:textId="77777777">
      <w:pPr>
        <w:pStyle w:val="FootnoteText"/>
      </w:pPr>
    </w:p>
  </w:footnote>
  <w:footnote w:id="13">
    <w:p w:rsidR="00023B8B" w14:paraId="13F00682" w14:textId="223FA4C1">
      <w:pPr>
        <w:pStyle w:val="FootnoteText"/>
      </w:pPr>
      <w:r>
        <w:rPr>
          <w:rStyle w:val="FootnoteReference"/>
        </w:rPr>
        <w:footnoteRef/>
      </w:r>
      <w:r>
        <w:t xml:space="preserve"> </w:t>
      </w:r>
      <w:r w:rsidR="006F242E">
        <w:t xml:space="preserve">OSK Revised </w:t>
      </w:r>
      <w:r>
        <w:t>Technical Annex at 69.</w:t>
      </w:r>
    </w:p>
    <w:p w:rsidR="00221B7B" w14:paraId="5330EA98" w14:textId="77777777">
      <w:pPr>
        <w:pStyle w:val="FootnoteText"/>
      </w:pPr>
    </w:p>
  </w:footnote>
  <w:footnote w:id="14">
    <w:p w:rsidR="004F2011" w14:paraId="6B332CAB" w14:textId="0157FAB7">
      <w:pPr>
        <w:pStyle w:val="FootnoteText"/>
      </w:pPr>
      <w:r>
        <w:rPr>
          <w:rStyle w:val="FootnoteReference"/>
        </w:rPr>
        <w:footnoteRef/>
      </w:r>
      <w:r>
        <w:t xml:space="preserve"> </w:t>
      </w:r>
      <w:r>
        <w:rPr>
          <w:i/>
          <w:iCs/>
        </w:rPr>
        <w:t xml:space="preserve">Id. </w:t>
      </w:r>
      <w:r>
        <w:t>at 68, 71</w:t>
      </w:r>
      <w:r w:rsidR="0089729C">
        <w:t>-72</w:t>
      </w:r>
      <w:r>
        <w:t>.</w:t>
      </w:r>
    </w:p>
    <w:p w:rsidR="00221B7B" w:rsidRPr="004F2011" w14:paraId="4885A04A" w14:textId="77777777">
      <w:pPr>
        <w:pStyle w:val="FootnoteText"/>
      </w:pPr>
    </w:p>
  </w:footnote>
  <w:footnote w:id="15">
    <w:p w:rsidR="004F2011" w14:paraId="13A7282B" w14:textId="49630CFA">
      <w:pPr>
        <w:pStyle w:val="FootnoteText"/>
      </w:pPr>
      <w:r>
        <w:rPr>
          <w:rStyle w:val="FootnoteReference"/>
        </w:rPr>
        <w:footnoteRef/>
      </w:r>
      <w:r>
        <w:t xml:space="preserve"> </w:t>
      </w:r>
      <w:r>
        <w:rPr>
          <w:i/>
          <w:iCs/>
        </w:rPr>
        <w:t xml:space="preserve">Id. </w:t>
      </w:r>
      <w:r>
        <w:t>at 69.</w:t>
      </w:r>
    </w:p>
    <w:p w:rsidR="00221B7B" w:rsidRPr="004F2011" w14:paraId="77F5A158" w14:textId="77777777">
      <w:pPr>
        <w:pStyle w:val="FootnoteText"/>
      </w:pPr>
    </w:p>
  </w:footnote>
  <w:footnote w:id="16">
    <w:p w:rsidR="004F2011" w14:paraId="0649C978" w14:textId="253B9499">
      <w:pPr>
        <w:pStyle w:val="FootnoteText"/>
      </w:pPr>
      <w:r>
        <w:rPr>
          <w:rStyle w:val="FootnoteReference"/>
        </w:rPr>
        <w:footnoteRef/>
      </w:r>
      <w:r>
        <w:t xml:space="preserve"> </w:t>
      </w:r>
      <w:r>
        <w:rPr>
          <w:i/>
          <w:iCs/>
        </w:rPr>
        <w:t xml:space="preserve">Id. </w:t>
      </w:r>
      <w:r>
        <w:t>at 70.</w:t>
      </w:r>
    </w:p>
    <w:p w:rsidR="00221B7B" w:rsidRPr="004F2011" w14:paraId="79C06D26" w14:textId="77777777">
      <w:pPr>
        <w:pStyle w:val="FootnoteText"/>
      </w:pPr>
    </w:p>
  </w:footnote>
  <w:footnote w:id="17">
    <w:p w:rsidR="00BB21EF" w14:paraId="51A47816" w14:textId="1C4202E2">
      <w:pPr>
        <w:pStyle w:val="FootnoteText"/>
      </w:pPr>
      <w:r>
        <w:rPr>
          <w:rStyle w:val="FootnoteReference"/>
        </w:rPr>
        <w:footnoteRef/>
      </w:r>
      <w:r>
        <w:t xml:space="preserve"> </w:t>
      </w:r>
      <w:r>
        <w:rPr>
          <w:i/>
          <w:iCs/>
        </w:rPr>
        <w:t xml:space="preserve">Id. </w:t>
      </w:r>
      <w:r>
        <w:t>at 72.</w:t>
      </w:r>
    </w:p>
    <w:p w:rsidR="00BB21EF" w:rsidRPr="00BB21EF" w14:paraId="2B75620F" w14:textId="77777777">
      <w:pPr>
        <w:pStyle w:val="FootnoteText"/>
      </w:pPr>
    </w:p>
  </w:footnote>
  <w:footnote w:id="18">
    <w:p w:rsidR="00BB21EF" w:rsidP="00BB21EF" w14:paraId="1EE2D05B" w14:textId="77777777">
      <w:pPr>
        <w:pStyle w:val="FootnoteText"/>
      </w:pPr>
      <w:r>
        <w:rPr>
          <w:rStyle w:val="FootnoteReference"/>
        </w:rPr>
        <w:footnoteRef/>
      </w:r>
      <w:r>
        <w:t xml:space="preserve"> </w:t>
      </w:r>
      <w:r>
        <w:rPr>
          <w:i/>
          <w:iCs/>
        </w:rPr>
        <w:t xml:space="preserve">Id. </w:t>
      </w:r>
      <w:r>
        <w:t>at 68.</w:t>
      </w:r>
    </w:p>
    <w:p w:rsidR="00BB21EF" w:rsidRPr="00221B7B" w:rsidP="00BB21EF" w14:paraId="7E5FFAC3" w14:textId="77777777">
      <w:pPr>
        <w:pStyle w:val="FootnoteText"/>
      </w:pPr>
    </w:p>
  </w:footnote>
  <w:footnote w:id="19">
    <w:p w:rsidR="004F2011" w14:paraId="272269BD" w14:textId="7EA04C17">
      <w:pPr>
        <w:pStyle w:val="FootnoteText"/>
      </w:pPr>
      <w:r>
        <w:rPr>
          <w:rStyle w:val="FootnoteReference"/>
        </w:rPr>
        <w:footnoteRef/>
      </w:r>
      <w:r>
        <w:t xml:space="preserve"> </w:t>
      </w:r>
      <w:r w:rsidR="006F242E">
        <w:t xml:space="preserve">OSK Revised </w:t>
      </w:r>
      <w:r w:rsidR="00777FE5">
        <w:t>Technical Annex</w:t>
      </w:r>
      <w:r>
        <w:rPr>
          <w:i/>
          <w:iCs/>
        </w:rPr>
        <w:t xml:space="preserve"> </w:t>
      </w:r>
      <w:r>
        <w:t>at 69.</w:t>
      </w:r>
    </w:p>
    <w:p w:rsidR="00221B7B" w:rsidRPr="004F2011" w14:paraId="2F65A4FE" w14:textId="77777777">
      <w:pPr>
        <w:pStyle w:val="FootnoteText"/>
      </w:pPr>
    </w:p>
  </w:footnote>
  <w:footnote w:id="20">
    <w:p w:rsidR="00221B7B" w14:paraId="14848F30" w14:textId="373C5FD0">
      <w:pPr>
        <w:pStyle w:val="FootnoteText"/>
      </w:pPr>
      <w:r>
        <w:rPr>
          <w:rStyle w:val="FootnoteReference"/>
        </w:rPr>
        <w:footnoteRef/>
      </w:r>
      <w:r>
        <w:t xml:space="preserve"> </w:t>
      </w:r>
      <w:r w:rsidR="00777FE5">
        <w:rPr>
          <w:i/>
          <w:iCs/>
        </w:rPr>
        <w:t>Id.</w:t>
      </w:r>
      <w:r>
        <w:t xml:space="preserve"> at 70.</w:t>
      </w:r>
    </w:p>
    <w:p w:rsidR="00221B7B" w14:paraId="069702DF" w14:textId="77777777">
      <w:pPr>
        <w:pStyle w:val="FootnoteText"/>
      </w:pPr>
    </w:p>
  </w:footnote>
  <w:footnote w:id="21">
    <w:p w:rsidR="00221B7B" w:rsidP="00221B7B" w14:paraId="208DE3F1" w14:textId="12BBDCF1">
      <w:pPr>
        <w:pStyle w:val="FootnoteText"/>
      </w:pPr>
      <w:r>
        <w:rPr>
          <w:rStyle w:val="FootnoteReference"/>
        </w:rPr>
        <w:footnoteRef/>
      </w:r>
      <w:r>
        <w:t xml:space="preserve"> </w:t>
      </w:r>
      <w:r>
        <w:rPr>
          <w:i/>
          <w:iCs/>
        </w:rPr>
        <w:t xml:space="preserve">Id. </w:t>
      </w:r>
      <w:r>
        <w:t>at 69.</w:t>
      </w:r>
    </w:p>
    <w:p w:rsidR="00221B7B" w:rsidRPr="00221B7B" w:rsidP="00221B7B" w14:paraId="4C17D6BA" w14:textId="77777777">
      <w:pPr>
        <w:pStyle w:val="FootnoteText"/>
      </w:pPr>
    </w:p>
  </w:footnote>
  <w:footnote w:id="22">
    <w:p w:rsidR="00221B7B" w14:paraId="723738BE" w14:textId="6A55DA49">
      <w:pPr>
        <w:pStyle w:val="FootnoteText"/>
        <w:rPr>
          <w:i/>
          <w:iCs/>
        </w:rPr>
      </w:pPr>
      <w:r>
        <w:rPr>
          <w:rStyle w:val="FootnoteReference"/>
        </w:rPr>
        <w:footnoteRef/>
      </w:r>
      <w:r>
        <w:t xml:space="preserve"> </w:t>
      </w:r>
      <w:r>
        <w:rPr>
          <w:i/>
          <w:iCs/>
        </w:rPr>
        <w:t>Id.</w:t>
      </w:r>
    </w:p>
    <w:p w:rsidR="00221B7B" w:rsidRPr="00221B7B" w14:paraId="7AA401FA" w14:textId="77777777">
      <w:pPr>
        <w:pStyle w:val="FootnoteText"/>
        <w:rPr>
          <w:i/>
          <w:iCs/>
        </w:rPr>
      </w:pPr>
    </w:p>
  </w:footnote>
  <w:footnote w:id="23">
    <w:p w:rsidR="00260CE9" w:rsidP="00260CE9" w14:paraId="28FF3B9C" w14:textId="77777777">
      <w:pPr>
        <w:pStyle w:val="FootnoteText"/>
      </w:pPr>
      <w:r>
        <w:rPr>
          <w:rStyle w:val="FootnoteReference"/>
        </w:rPr>
        <w:footnoteRef/>
      </w:r>
      <w:r>
        <w:t xml:space="preserve"> OSK ODAR at 12.</w:t>
      </w:r>
    </w:p>
    <w:p w:rsidR="00260CE9" w:rsidP="00260CE9" w14:paraId="629EA264" w14:textId="77777777">
      <w:pPr>
        <w:pStyle w:val="FootnoteText"/>
      </w:pPr>
    </w:p>
  </w:footnote>
  <w:footnote w:id="24">
    <w:p w:rsidR="00260CE9" w:rsidP="00260CE9" w14:paraId="7AC8C48B" w14:textId="0CD95505">
      <w:pPr>
        <w:pStyle w:val="FootnoteText"/>
      </w:pPr>
      <w:r>
        <w:rPr>
          <w:rStyle w:val="FootnoteReference"/>
        </w:rPr>
        <w:footnoteRef/>
      </w:r>
      <w:r>
        <w:t xml:space="preserve"> </w:t>
      </w:r>
      <w:r w:rsidR="00777FE5">
        <w:rPr>
          <w:i/>
          <w:iCs/>
        </w:rPr>
        <w:t xml:space="preserve">Id. </w:t>
      </w:r>
      <w:r>
        <w:t>at 13.</w:t>
      </w:r>
    </w:p>
    <w:p w:rsidR="00260CE9" w:rsidP="00260CE9" w14:paraId="0329101F" w14:textId="77777777">
      <w:pPr>
        <w:pStyle w:val="FootnoteText"/>
      </w:pPr>
    </w:p>
  </w:footnote>
  <w:footnote w:id="25">
    <w:p w:rsidR="00260CE9" w:rsidP="00260CE9" w14:paraId="595C200B" w14:textId="0F6CC924">
      <w:pPr>
        <w:pStyle w:val="FootnoteText"/>
      </w:pPr>
      <w:r>
        <w:rPr>
          <w:rStyle w:val="FootnoteReference"/>
        </w:rPr>
        <w:footnoteRef/>
      </w:r>
      <w:r>
        <w:t xml:space="preserve"> </w:t>
      </w:r>
      <w:r w:rsidR="00777FE5">
        <w:rPr>
          <w:i/>
          <w:iCs/>
        </w:rPr>
        <w:t>Id.</w:t>
      </w:r>
      <w:r>
        <w:t xml:space="preserve"> at 16-27.</w:t>
      </w:r>
    </w:p>
    <w:p w:rsidR="00260CE9" w:rsidP="00260CE9" w14:paraId="3E463B56" w14:textId="77777777">
      <w:pPr>
        <w:pStyle w:val="FootnoteText"/>
      </w:pPr>
    </w:p>
  </w:footnote>
  <w:footnote w:id="26">
    <w:p w:rsidR="00260CE9" w:rsidP="00260CE9" w14:paraId="14A501A2" w14:textId="2027F739">
      <w:pPr>
        <w:pStyle w:val="FootnoteText"/>
      </w:pPr>
      <w:r>
        <w:rPr>
          <w:rStyle w:val="FootnoteReference"/>
        </w:rPr>
        <w:footnoteRef/>
      </w:r>
      <w:r>
        <w:t xml:space="preserve"> </w:t>
      </w:r>
      <w:r w:rsidR="007D6BDB">
        <w:rPr>
          <w:i/>
          <w:iCs/>
        </w:rPr>
        <w:t>Id.</w:t>
      </w:r>
      <w:r>
        <w:t xml:space="preserve"> at 12.</w:t>
      </w:r>
    </w:p>
    <w:p w:rsidR="00260CE9" w:rsidP="00260CE9" w14:paraId="193C5515" w14:textId="77777777">
      <w:pPr>
        <w:pStyle w:val="FootnoteText"/>
      </w:pPr>
    </w:p>
  </w:footnote>
  <w:footnote w:id="27">
    <w:p w:rsidR="00260CE9" w:rsidP="00260CE9" w14:paraId="3A98C711" w14:textId="77777777">
      <w:pPr>
        <w:pStyle w:val="FootnoteText"/>
      </w:pPr>
      <w:r>
        <w:rPr>
          <w:rStyle w:val="FootnoteReference"/>
        </w:rPr>
        <w:footnoteRef/>
      </w:r>
      <w:r>
        <w:t xml:space="preserve"> OSK Legal Narrative at 2.</w:t>
      </w:r>
    </w:p>
    <w:p w:rsidR="00260CE9" w:rsidP="00260CE9" w14:paraId="1219B91C" w14:textId="77777777">
      <w:pPr>
        <w:pStyle w:val="FootnoteText"/>
      </w:pPr>
    </w:p>
  </w:footnote>
  <w:footnote w:id="28">
    <w:p w:rsidR="00260CE9" w:rsidP="00260CE9" w14:paraId="7FDF2A27" w14:textId="77777777">
      <w:pPr>
        <w:pStyle w:val="FootnoteText"/>
      </w:pPr>
      <w:r>
        <w:rPr>
          <w:rStyle w:val="FootnoteReference"/>
        </w:rPr>
        <w:footnoteRef/>
      </w:r>
      <w:r>
        <w:t xml:space="preserve"> OSK ODAR at 3.</w:t>
      </w:r>
    </w:p>
    <w:p w:rsidR="00260CE9" w:rsidP="00260CE9" w14:paraId="2F612935" w14:textId="77777777">
      <w:pPr>
        <w:pStyle w:val="FootnoteText"/>
      </w:pPr>
    </w:p>
  </w:footnote>
  <w:footnote w:id="29">
    <w:p w:rsidR="00587119" w:rsidP="00587119" w14:paraId="66284074" w14:textId="77777777">
      <w:pPr>
        <w:pStyle w:val="FootnoteText"/>
      </w:pPr>
      <w:r>
        <w:rPr>
          <w:rStyle w:val="FootnoteReference"/>
        </w:rPr>
        <w:footnoteRef/>
      </w:r>
      <w:r>
        <w:t xml:space="preserve"> OSK ODAR at 5.</w:t>
      </w:r>
    </w:p>
    <w:p w:rsidR="00587119" w:rsidP="00587119" w14:paraId="313D9754" w14:textId="77777777">
      <w:pPr>
        <w:pStyle w:val="FootnoteText"/>
      </w:pPr>
    </w:p>
  </w:footnote>
  <w:footnote w:id="30">
    <w:p w:rsidR="00940861" w14:paraId="7DED0AD7" w14:textId="4F845181">
      <w:pPr>
        <w:pStyle w:val="FootnoteText"/>
        <w:rPr>
          <w:rStyle w:val="normaltextrun"/>
          <w:color w:val="000000"/>
          <w:bdr w:val="none" w:sz="0" w:space="0" w:color="auto" w:frame="1"/>
        </w:rPr>
      </w:pPr>
      <w:r>
        <w:rPr>
          <w:rStyle w:val="FootnoteReference"/>
        </w:rPr>
        <w:footnoteRef/>
      </w:r>
      <w:r>
        <w:t xml:space="preserve"> </w:t>
      </w:r>
      <w:r>
        <w:rPr>
          <w:i/>
          <w:iCs/>
        </w:rPr>
        <w:t xml:space="preserve">See </w:t>
      </w:r>
      <w:r>
        <w:rPr>
          <w:rStyle w:val="normaltextrun"/>
          <w:color w:val="000000"/>
          <w:bdr w:val="none" w:sz="0" w:space="0" w:color="auto" w:frame="1"/>
        </w:rPr>
        <w:t>47 CFR § 25.122(b).</w:t>
      </w:r>
    </w:p>
    <w:p w:rsidR="00940861" w:rsidRPr="00940861" w14:paraId="22378EAB" w14:textId="77777777">
      <w:pPr>
        <w:pStyle w:val="FootnoteText"/>
      </w:pPr>
    </w:p>
  </w:footnote>
  <w:footnote w:id="31">
    <w:p w:rsidR="00F362B1" w14:paraId="6E8FA1CC" w14:textId="58A3FE48">
      <w:pPr>
        <w:pStyle w:val="FootnoteText"/>
      </w:pPr>
      <w:r>
        <w:rPr>
          <w:rStyle w:val="FootnoteReference"/>
        </w:rPr>
        <w:footnoteRef/>
      </w:r>
      <w:r>
        <w:t xml:space="preserve"> OSK ODAR at 2-3.</w:t>
      </w:r>
    </w:p>
    <w:p w:rsidR="00F362B1" w14:paraId="265EF7EF" w14:textId="77777777">
      <w:pPr>
        <w:pStyle w:val="FootnoteText"/>
      </w:pPr>
    </w:p>
  </w:footnote>
  <w:footnote w:id="32">
    <w:p w:rsidR="00436B85" w:rsidP="00436B85" w14:paraId="69CF38A5" w14:textId="77777777">
      <w:pPr>
        <w:pStyle w:val="FootnoteText"/>
      </w:pPr>
      <w:r>
        <w:rPr>
          <w:rStyle w:val="FootnoteReference"/>
        </w:rPr>
        <w:footnoteRef/>
      </w:r>
      <w:r>
        <w:t xml:space="preserve"> OSK Legal Narrative at 6.</w:t>
      </w:r>
    </w:p>
    <w:p w:rsidR="00436B85" w14:paraId="1544A244" w14:textId="4DBD0ACD">
      <w:pPr>
        <w:pStyle w:val="FootnoteText"/>
      </w:pPr>
    </w:p>
  </w:footnote>
  <w:footnote w:id="33">
    <w:p w:rsidR="00EE2DCA" w14:paraId="2795445B" w14:textId="78AE0A6E">
      <w:pPr>
        <w:pStyle w:val="FootnoteText"/>
      </w:pPr>
      <w:r>
        <w:rPr>
          <w:rStyle w:val="FootnoteReference"/>
        </w:rPr>
        <w:footnoteRef/>
      </w:r>
      <w:r>
        <w:t xml:space="preserve"> </w:t>
      </w:r>
      <w:r w:rsidR="006F242E">
        <w:rPr>
          <w:i/>
          <w:iCs/>
        </w:rPr>
        <w:t>Id.</w:t>
      </w:r>
      <w:r>
        <w:t xml:space="preserve"> at 4.</w:t>
      </w:r>
    </w:p>
    <w:p w:rsidR="00EE2DCA" w14:paraId="46C0F480" w14:textId="77777777">
      <w:pPr>
        <w:pStyle w:val="FootnoteText"/>
      </w:pPr>
    </w:p>
  </w:footnote>
  <w:footnote w:id="34">
    <w:p w:rsidR="00B25907" w:rsidP="00B25907" w14:paraId="7F118F92" w14:textId="3ED33706">
      <w:pPr>
        <w:pStyle w:val="FootnoteText"/>
        <w:rPr>
          <w:rStyle w:val="normaltextrun"/>
          <w:color w:val="000000"/>
          <w:bdr w:val="none" w:sz="0" w:space="0" w:color="auto" w:frame="1"/>
        </w:rPr>
      </w:pPr>
      <w:r>
        <w:rPr>
          <w:rStyle w:val="FootnoteReference"/>
        </w:rPr>
        <w:footnoteRef/>
      </w:r>
      <w:r>
        <w:t xml:space="preserve"> </w:t>
      </w:r>
      <w:r>
        <w:rPr>
          <w:i/>
          <w:iCs/>
        </w:rPr>
        <w:t xml:space="preserve">See </w:t>
      </w:r>
      <w:r>
        <w:rPr>
          <w:rStyle w:val="normaltextrun"/>
          <w:color w:val="000000"/>
          <w:bdr w:val="none" w:sz="0" w:space="0" w:color="auto" w:frame="1"/>
        </w:rPr>
        <w:t>47 CFR § 25.122(c)(5).</w:t>
      </w:r>
      <w:r w:rsidR="00587119">
        <w:rPr>
          <w:rStyle w:val="normaltextrun"/>
          <w:color w:val="000000"/>
          <w:bdr w:val="none" w:sz="0" w:space="0" w:color="auto" w:frame="1"/>
        </w:rPr>
        <w:t xml:space="preserve">  </w:t>
      </w:r>
    </w:p>
    <w:p w:rsidR="00D40FE3" w:rsidP="00B25907" w14:paraId="702C9054" w14:textId="77777777">
      <w:pPr>
        <w:pStyle w:val="FootnoteText"/>
      </w:pPr>
    </w:p>
  </w:footnote>
  <w:footnote w:id="35">
    <w:p w:rsidR="0051491E" w14:paraId="77E8EE1C" w14:textId="57C043FA">
      <w:pPr>
        <w:pStyle w:val="FootnoteText"/>
      </w:pPr>
      <w:r>
        <w:rPr>
          <w:rStyle w:val="FootnoteReference"/>
        </w:rPr>
        <w:footnoteRef/>
      </w:r>
      <w:r>
        <w:t xml:space="preserve"> </w:t>
      </w:r>
      <w:r w:rsidR="006F242E">
        <w:t xml:space="preserve">OSK Revised </w:t>
      </w:r>
      <w:r w:rsidR="00226EAB">
        <w:t>Technical Annex</w:t>
      </w:r>
      <w:r>
        <w:t xml:space="preserve"> at 85.</w:t>
      </w:r>
    </w:p>
    <w:p w:rsidR="007D3FC3" w:rsidRPr="0051491E" w14:paraId="75A07F49" w14:textId="77777777">
      <w:pPr>
        <w:pStyle w:val="FootnoteText"/>
      </w:pPr>
    </w:p>
  </w:footnote>
  <w:footnote w:id="36">
    <w:p w:rsidR="00EA4529" w14:paraId="4E43DE98" w14:textId="3168B1A6">
      <w:pPr>
        <w:pStyle w:val="FootnoteText"/>
      </w:pPr>
      <w:r>
        <w:rPr>
          <w:rStyle w:val="FootnoteReference"/>
        </w:rPr>
        <w:footnoteRef/>
      </w:r>
      <w:r>
        <w:t xml:space="preserve"> OSK ODAR at 3.</w:t>
      </w:r>
    </w:p>
    <w:p w:rsidR="00EA4529" w14:paraId="1874075F" w14:textId="77777777">
      <w:pPr>
        <w:pStyle w:val="FootnoteText"/>
      </w:pPr>
    </w:p>
  </w:footnote>
  <w:footnote w:id="37">
    <w:p w:rsidR="005B00F3" w14:paraId="00FCA42E" w14:textId="5D291CE4">
      <w:pPr>
        <w:pStyle w:val="FootnoteText"/>
      </w:pPr>
      <w:r>
        <w:rPr>
          <w:rStyle w:val="FootnoteReference"/>
        </w:rPr>
        <w:footnoteRef/>
      </w:r>
      <w:r>
        <w:t xml:space="preserve"> </w:t>
      </w:r>
      <w:r w:rsidR="007D6BDB">
        <w:rPr>
          <w:i/>
          <w:iCs/>
        </w:rPr>
        <w:t>Id.</w:t>
      </w:r>
    </w:p>
    <w:p w:rsidR="005B00F3" w14:paraId="5EEB76C1"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1F5" w:rsidRPr="00A251F5" w:rsidP="00A251F5" w14:paraId="0625F8C7" w14:textId="27438FC1">
    <w:pPr>
      <w:widowControl w:val="0"/>
      <w:tabs>
        <w:tab w:val="center" w:pos="4680"/>
        <w:tab w:val="right" w:pos="9360"/>
      </w:tabs>
      <w:rPr>
        <w:b/>
        <w:snapToGrid w:val="0"/>
        <w:kern w:val="28"/>
        <w:sz w:val="22"/>
        <w:u w:val="single"/>
      </w:rPr>
    </w:pPr>
    <w:r w:rsidRPr="00A251F5">
      <w:rPr>
        <w:b/>
        <w:snapToGrid w:val="0"/>
        <w:kern w:val="28"/>
        <w:sz w:val="22"/>
        <w:u w:val="single"/>
      </w:rPr>
      <w:tab/>
      <w:t>Federal Communications Commission</w:t>
    </w:r>
    <w:r w:rsidRPr="00A251F5">
      <w:rPr>
        <w:b/>
        <w:snapToGrid w:val="0"/>
        <w:kern w:val="28"/>
        <w:sz w:val="22"/>
        <w:u w:val="single"/>
      </w:rPr>
      <w:tab/>
    </w:r>
    <w:r>
      <w:rPr>
        <w:b/>
        <w:snapToGrid w:val="0"/>
        <w:kern w:val="28"/>
        <w:sz w:val="22"/>
        <w:u w:val="single"/>
      </w:rPr>
      <w:t>DA 21-1136</w:t>
    </w:r>
  </w:p>
  <w:p w:rsidR="00A251F5" w14:paraId="37B539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B69D365" w14:textId="62F26F41">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-381635</wp:posOffset>
          </wp:positionH>
          <wp:positionV relativeFrom="paragraph">
            <wp:posOffset>47625</wp:posOffset>
          </wp:positionV>
          <wp:extent cx="734060" cy="734060"/>
          <wp:effectExtent l="0" t="0" r="0" b="0"/>
          <wp:wrapNone/>
          <wp:docPr id="3" name="Picture 3" descr="FC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CC Seal"/>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34060" cy="734060"/>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15DF8AF5" w14:textId="77777777">
    <w:pPr>
      <w:jc w:val="center"/>
    </w:pPr>
    <w:r>
      <w:rPr>
        <w:rFonts w:ascii="CG Times (W1)" w:hAnsi="CG Times (W1)"/>
        <w:sz w:val="28"/>
      </w:rPr>
      <w:t>Washington, D.C. 20554</w:t>
    </w:r>
  </w:p>
  <w:p w:rsidR="002B54DB" w14:paraId="3BE2947F" w14:textId="77777777">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3019F"/>
    <w:multiLevelType w:val="multilevel"/>
    <w:tmpl w:val="C15220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340B3"/>
    <w:multiLevelType w:val="multilevel"/>
    <w:tmpl w:val="943067B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B03F1"/>
    <w:multiLevelType w:val="multilevel"/>
    <w:tmpl w:val="80DE3C5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B1D9B"/>
    <w:multiLevelType w:val="multilevel"/>
    <w:tmpl w:val="1AEE9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C0B8A"/>
    <w:multiLevelType w:val="multilevel"/>
    <w:tmpl w:val="C2F84A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7B0C8D"/>
    <w:multiLevelType w:val="hybridMultilevel"/>
    <w:tmpl w:val="73A280A2"/>
    <w:lvl w:ilvl="0">
      <w:start w:val="1"/>
      <w:numFmt w:val="decimal"/>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62B0923"/>
    <w:multiLevelType w:val="multilevel"/>
    <w:tmpl w:val="F18624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C491F7A"/>
    <w:multiLevelType w:val="multilevel"/>
    <w:tmpl w:val="79760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4B5CD2"/>
    <w:multiLevelType w:val="hybridMultilevel"/>
    <w:tmpl w:val="65000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9E60F6"/>
    <w:multiLevelType w:val="multilevel"/>
    <w:tmpl w:val="F8B859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93E58"/>
    <w:multiLevelType w:val="hybridMultilevel"/>
    <w:tmpl w:val="724E9B9C"/>
    <w:lvl w:ilvl="0">
      <w:start w:val="1"/>
      <w:numFmt w:val="decimal"/>
      <w:lvlText w:val="%1."/>
      <w:lvlJc w:val="left"/>
      <w:pPr>
        <w:ind w:left="144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36A236B"/>
    <w:multiLevelType w:val="multilevel"/>
    <w:tmpl w:val="095092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96B7265"/>
    <w:multiLevelType w:val="multilevel"/>
    <w:tmpl w:val="DA0EC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BC705E"/>
    <w:multiLevelType w:val="multilevel"/>
    <w:tmpl w:val="3692E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46A34"/>
    <w:multiLevelType w:val="multilevel"/>
    <w:tmpl w:val="40C09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1D42EF"/>
    <w:multiLevelType w:val="multilevel"/>
    <w:tmpl w:val="357C1C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FB1F1D"/>
    <w:multiLevelType w:val="multilevel"/>
    <w:tmpl w:val="94E231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F62E62"/>
    <w:multiLevelType w:val="hybridMultilevel"/>
    <w:tmpl w:val="F002311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5331470F"/>
    <w:multiLevelType w:val="multilevel"/>
    <w:tmpl w:val="90163A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831E66"/>
    <w:multiLevelType w:val="multilevel"/>
    <w:tmpl w:val="B5389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E56B13"/>
    <w:multiLevelType w:val="hybridMultilevel"/>
    <w:tmpl w:val="1E04D3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7A0A1A"/>
    <w:multiLevelType w:val="multilevel"/>
    <w:tmpl w:val="53987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7"/>
  </w:num>
  <w:num w:numId="3">
    <w:abstractNumId w:val="20"/>
  </w:num>
  <w:num w:numId="4">
    <w:abstractNumId w:val="2"/>
  </w:num>
  <w:num w:numId="5">
    <w:abstractNumId w:val="12"/>
  </w:num>
  <w:num w:numId="6">
    <w:abstractNumId w:val="14"/>
  </w:num>
  <w:num w:numId="7">
    <w:abstractNumId w:val="7"/>
  </w:num>
  <w:num w:numId="8">
    <w:abstractNumId w:val="13"/>
  </w:num>
  <w:num w:numId="9">
    <w:abstractNumId w:val="18"/>
  </w:num>
  <w:num w:numId="10">
    <w:abstractNumId w:val="3"/>
  </w:num>
  <w:num w:numId="11">
    <w:abstractNumId w:val="9"/>
  </w:num>
  <w:num w:numId="12">
    <w:abstractNumId w:val="15"/>
  </w:num>
  <w:num w:numId="13">
    <w:abstractNumId w:val="0"/>
  </w:num>
  <w:num w:numId="14">
    <w:abstractNumId w:val="16"/>
  </w:num>
  <w:num w:numId="15">
    <w:abstractNumId w:val="21"/>
  </w:num>
  <w:num w:numId="16">
    <w:abstractNumId w:val="19"/>
  </w:num>
  <w:num w:numId="17">
    <w:abstractNumId w:val="4"/>
  </w:num>
  <w:num w:numId="18">
    <w:abstractNumId w:val="1"/>
  </w:num>
  <w:num w:numId="19">
    <w:abstractNumId w:val="5"/>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C7"/>
    <w:rsid w:val="00007DB5"/>
    <w:rsid w:val="00015E79"/>
    <w:rsid w:val="00015ED0"/>
    <w:rsid w:val="00023B8B"/>
    <w:rsid w:val="00034820"/>
    <w:rsid w:val="00067268"/>
    <w:rsid w:val="00070EF6"/>
    <w:rsid w:val="000A0C55"/>
    <w:rsid w:val="000A4867"/>
    <w:rsid w:val="000B5625"/>
    <w:rsid w:val="000B7D93"/>
    <w:rsid w:val="000C5CD6"/>
    <w:rsid w:val="000C6E65"/>
    <w:rsid w:val="000D0664"/>
    <w:rsid w:val="000D0FD3"/>
    <w:rsid w:val="000D5257"/>
    <w:rsid w:val="000F12D4"/>
    <w:rsid w:val="000F733C"/>
    <w:rsid w:val="00101195"/>
    <w:rsid w:val="00105856"/>
    <w:rsid w:val="001141B9"/>
    <w:rsid w:val="001153A3"/>
    <w:rsid w:val="00131379"/>
    <w:rsid w:val="0013221C"/>
    <w:rsid w:val="001350CC"/>
    <w:rsid w:val="00145E58"/>
    <w:rsid w:val="0015075B"/>
    <w:rsid w:val="00150851"/>
    <w:rsid w:val="00150E5E"/>
    <w:rsid w:val="00153200"/>
    <w:rsid w:val="001537A6"/>
    <w:rsid w:val="00167CAD"/>
    <w:rsid w:val="00174C34"/>
    <w:rsid w:val="00174E6B"/>
    <w:rsid w:val="00176AB1"/>
    <w:rsid w:val="001A0437"/>
    <w:rsid w:val="001A1A50"/>
    <w:rsid w:val="001A1AD5"/>
    <w:rsid w:val="001A7B14"/>
    <w:rsid w:val="001B0219"/>
    <w:rsid w:val="001C1065"/>
    <w:rsid w:val="001D0DF2"/>
    <w:rsid w:val="001D167F"/>
    <w:rsid w:val="001D4882"/>
    <w:rsid w:val="001F4280"/>
    <w:rsid w:val="001F50CB"/>
    <w:rsid w:val="001F5810"/>
    <w:rsid w:val="00204CE3"/>
    <w:rsid w:val="002153C8"/>
    <w:rsid w:val="00221B7B"/>
    <w:rsid w:val="00226C60"/>
    <w:rsid w:val="00226EAB"/>
    <w:rsid w:val="002351BA"/>
    <w:rsid w:val="002355D6"/>
    <w:rsid w:val="00235D8B"/>
    <w:rsid w:val="00260CE9"/>
    <w:rsid w:val="0026165D"/>
    <w:rsid w:val="002622A2"/>
    <w:rsid w:val="00266518"/>
    <w:rsid w:val="0028773C"/>
    <w:rsid w:val="002A15C2"/>
    <w:rsid w:val="002A7295"/>
    <w:rsid w:val="002B2407"/>
    <w:rsid w:val="002B54DB"/>
    <w:rsid w:val="002C051D"/>
    <w:rsid w:val="002C3AE4"/>
    <w:rsid w:val="002C5AF1"/>
    <w:rsid w:val="002D4C1C"/>
    <w:rsid w:val="002E2CF4"/>
    <w:rsid w:val="002E33F7"/>
    <w:rsid w:val="002F1595"/>
    <w:rsid w:val="002F507E"/>
    <w:rsid w:val="002F5EA5"/>
    <w:rsid w:val="00313989"/>
    <w:rsid w:val="003224A9"/>
    <w:rsid w:val="003233DC"/>
    <w:rsid w:val="00324291"/>
    <w:rsid w:val="00337BAF"/>
    <w:rsid w:val="00361D18"/>
    <w:rsid w:val="00365C82"/>
    <w:rsid w:val="003750BB"/>
    <w:rsid w:val="00383B0E"/>
    <w:rsid w:val="00390088"/>
    <w:rsid w:val="0039130C"/>
    <w:rsid w:val="003A138C"/>
    <w:rsid w:val="003A31AB"/>
    <w:rsid w:val="003A426C"/>
    <w:rsid w:val="003A6C7F"/>
    <w:rsid w:val="003B4F31"/>
    <w:rsid w:val="003C3CD0"/>
    <w:rsid w:val="003D6D8E"/>
    <w:rsid w:val="00401EED"/>
    <w:rsid w:val="00406697"/>
    <w:rsid w:val="00410A09"/>
    <w:rsid w:val="00415056"/>
    <w:rsid w:val="00433C8B"/>
    <w:rsid w:val="00436B85"/>
    <w:rsid w:val="004374CF"/>
    <w:rsid w:val="00443374"/>
    <w:rsid w:val="00446692"/>
    <w:rsid w:val="00446787"/>
    <w:rsid w:val="00447342"/>
    <w:rsid w:val="00463863"/>
    <w:rsid w:val="004A24B2"/>
    <w:rsid w:val="004B3C50"/>
    <w:rsid w:val="004C27CE"/>
    <w:rsid w:val="004D3B53"/>
    <w:rsid w:val="004D4C09"/>
    <w:rsid w:val="004E5410"/>
    <w:rsid w:val="004F2011"/>
    <w:rsid w:val="004F4873"/>
    <w:rsid w:val="00501471"/>
    <w:rsid w:val="0050251E"/>
    <w:rsid w:val="00503422"/>
    <w:rsid w:val="00504C35"/>
    <w:rsid w:val="00510B70"/>
    <w:rsid w:val="005120B4"/>
    <w:rsid w:val="0051491E"/>
    <w:rsid w:val="005201B7"/>
    <w:rsid w:val="0052583A"/>
    <w:rsid w:val="005434D7"/>
    <w:rsid w:val="00545BBF"/>
    <w:rsid w:val="0054740D"/>
    <w:rsid w:val="00550F6A"/>
    <w:rsid w:val="005547D6"/>
    <w:rsid w:val="005601ED"/>
    <w:rsid w:val="00563076"/>
    <w:rsid w:val="00567898"/>
    <w:rsid w:val="005726AF"/>
    <w:rsid w:val="00572B3C"/>
    <w:rsid w:val="0057565E"/>
    <w:rsid w:val="005829DF"/>
    <w:rsid w:val="00587119"/>
    <w:rsid w:val="005912B6"/>
    <w:rsid w:val="005A135C"/>
    <w:rsid w:val="005B00F3"/>
    <w:rsid w:val="005C48A0"/>
    <w:rsid w:val="005E3A74"/>
    <w:rsid w:val="005F659E"/>
    <w:rsid w:val="005F747F"/>
    <w:rsid w:val="006014CD"/>
    <w:rsid w:val="006050CC"/>
    <w:rsid w:val="00617A37"/>
    <w:rsid w:val="006257E1"/>
    <w:rsid w:val="00633F36"/>
    <w:rsid w:val="006429FF"/>
    <w:rsid w:val="00654984"/>
    <w:rsid w:val="00665D0F"/>
    <w:rsid w:val="00682762"/>
    <w:rsid w:val="0069348F"/>
    <w:rsid w:val="006948EF"/>
    <w:rsid w:val="006A1D67"/>
    <w:rsid w:val="006A2CB1"/>
    <w:rsid w:val="006C1478"/>
    <w:rsid w:val="006C48BE"/>
    <w:rsid w:val="006E36E9"/>
    <w:rsid w:val="006F0440"/>
    <w:rsid w:val="006F242E"/>
    <w:rsid w:val="0070425A"/>
    <w:rsid w:val="007129CA"/>
    <w:rsid w:val="007147F9"/>
    <w:rsid w:val="007231E5"/>
    <w:rsid w:val="007351AF"/>
    <w:rsid w:val="00735861"/>
    <w:rsid w:val="007376A2"/>
    <w:rsid w:val="00742B6A"/>
    <w:rsid w:val="0074331B"/>
    <w:rsid w:val="00756736"/>
    <w:rsid w:val="00770D0D"/>
    <w:rsid w:val="007737D0"/>
    <w:rsid w:val="00777FE5"/>
    <w:rsid w:val="0079047D"/>
    <w:rsid w:val="00791ADB"/>
    <w:rsid w:val="00791C2F"/>
    <w:rsid w:val="00794E9C"/>
    <w:rsid w:val="007B3C0A"/>
    <w:rsid w:val="007D3FC3"/>
    <w:rsid w:val="007D6BDB"/>
    <w:rsid w:val="007E37DB"/>
    <w:rsid w:val="007E6181"/>
    <w:rsid w:val="00805A47"/>
    <w:rsid w:val="008112E0"/>
    <w:rsid w:val="00831E36"/>
    <w:rsid w:val="00837465"/>
    <w:rsid w:val="00841784"/>
    <w:rsid w:val="008437FD"/>
    <w:rsid w:val="00860DDE"/>
    <w:rsid w:val="00877FDB"/>
    <w:rsid w:val="00883158"/>
    <w:rsid w:val="0089729C"/>
    <w:rsid w:val="00897534"/>
    <w:rsid w:val="008F09EE"/>
    <w:rsid w:val="008F7E1E"/>
    <w:rsid w:val="0090495F"/>
    <w:rsid w:val="009100A5"/>
    <w:rsid w:val="00940861"/>
    <w:rsid w:val="00944DFD"/>
    <w:rsid w:val="0094753A"/>
    <w:rsid w:val="00947F36"/>
    <w:rsid w:val="00965A5D"/>
    <w:rsid w:val="00970016"/>
    <w:rsid w:val="00974836"/>
    <w:rsid w:val="00990F8B"/>
    <w:rsid w:val="00991F7E"/>
    <w:rsid w:val="00995061"/>
    <w:rsid w:val="00995AE9"/>
    <w:rsid w:val="009A0A94"/>
    <w:rsid w:val="009F1A67"/>
    <w:rsid w:val="009F49C3"/>
    <w:rsid w:val="009F79C7"/>
    <w:rsid w:val="00A07689"/>
    <w:rsid w:val="00A12223"/>
    <w:rsid w:val="00A204E4"/>
    <w:rsid w:val="00A21D3B"/>
    <w:rsid w:val="00A251F5"/>
    <w:rsid w:val="00A27E60"/>
    <w:rsid w:val="00A33738"/>
    <w:rsid w:val="00A40128"/>
    <w:rsid w:val="00A40F82"/>
    <w:rsid w:val="00A50D7D"/>
    <w:rsid w:val="00A626A8"/>
    <w:rsid w:val="00A70CE0"/>
    <w:rsid w:val="00A7337D"/>
    <w:rsid w:val="00A74EFB"/>
    <w:rsid w:val="00A837E3"/>
    <w:rsid w:val="00A850E2"/>
    <w:rsid w:val="00A86059"/>
    <w:rsid w:val="00A86B15"/>
    <w:rsid w:val="00AA23EF"/>
    <w:rsid w:val="00AB7CCB"/>
    <w:rsid w:val="00AF2548"/>
    <w:rsid w:val="00AF3E69"/>
    <w:rsid w:val="00B0717F"/>
    <w:rsid w:val="00B234EB"/>
    <w:rsid w:val="00B25907"/>
    <w:rsid w:val="00B25BC4"/>
    <w:rsid w:val="00B26918"/>
    <w:rsid w:val="00B353D5"/>
    <w:rsid w:val="00B354A2"/>
    <w:rsid w:val="00B53C1D"/>
    <w:rsid w:val="00B64750"/>
    <w:rsid w:val="00B702BD"/>
    <w:rsid w:val="00B71418"/>
    <w:rsid w:val="00B916C2"/>
    <w:rsid w:val="00BA7247"/>
    <w:rsid w:val="00BA7453"/>
    <w:rsid w:val="00BB0483"/>
    <w:rsid w:val="00BB21EF"/>
    <w:rsid w:val="00BB479E"/>
    <w:rsid w:val="00BB4FDF"/>
    <w:rsid w:val="00BB5506"/>
    <w:rsid w:val="00BB73A3"/>
    <w:rsid w:val="00BC528E"/>
    <w:rsid w:val="00BE5554"/>
    <w:rsid w:val="00BF1F7A"/>
    <w:rsid w:val="00C03104"/>
    <w:rsid w:val="00C20DAF"/>
    <w:rsid w:val="00C40195"/>
    <w:rsid w:val="00C42339"/>
    <w:rsid w:val="00C550B9"/>
    <w:rsid w:val="00C67158"/>
    <w:rsid w:val="00C779BC"/>
    <w:rsid w:val="00C80E86"/>
    <w:rsid w:val="00CA2570"/>
    <w:rsid w:val="00CA3DE6"/>
    <w:rsid w:val="00CC044F"/>
    <w:rsid w:val="00CE5DDD"/>
    <w:rsid w:val="00CF4FBA"/>
    <w:rsid w:val="00D02882"/>
    <w:rsid w:val="00D079ED"/>
    <w:rsid w:val="00D40FE3"/>
    <w:rsid w:val="00D54A54"/>
    <w:rsid w:val="00D55327"/>
    <w:rsid w:val="00D57432"/>
    <w:rsid w:val="00D608C2"/>
    <w:rsid w:val="00D95011"/>
    <w:rsid w:val="00DA30F6"/>
    <w:rsid w:val="00DA4CBC"/>
    <w:rsid w:val="00DA5242"/>
    <w:rsid w:val="00DA7B91"/>
    <w:rsid w:val="00DB14F9"/>
    <w:rsid w:val="00DC029C"/>
    <w:rsid w:val="00DC1830"/>
    <w:rsid w:val="00DC2BAA"/>
    <w:rsid w:val="00DC33D2"/>
    <w:rsid w:val="00DD140B"/>
    <w:rsid w:val="00DD5A93"/>
    <w:rsid w:val="00DD6164"/>
    <w:rsid w:val="00DE34B5"/>
    <w:rsid w:val="00DF611B"/>
    <w:rsid w:val="00E05E5C"/>
    <w:rsid w:val="00E34258"/>
    <w:rsid w:val="00E374ED"/>
    <w:rsid w:val="00E42998"/>
    <w:rsid w:val="00E6559F"/>
    <w:rsid w:val="00E67E52"/>
    <w:rsid w:val="00E85EF0"/>
    <w:rsid w:val="00E946D6"/>
    <w:rsid w:val="00E9483D"/>
    <w:rsid w:val="00EA0495"/>
    <w:rsid w:val="00EA1366"/>
    <w:rsid w:val="00EA4529"/>
    <w:rsid w:val="00EC420A"/>
    <w:rsid w:val="00EC6D3D"/>
    <w:rsid w:val="00EC7019"/>
    <w:rsid w:val="00ED29CB"/>
    <w:rsid w:val="00ED4178"/>
    <w:rsid w:val="00EE2DCA"/>
    <w:rsid w:val="00EE71EC"/>
    <w:rsid w:val="00EF6EF0"/>
    <w:rsid w:val="00F0194D"/>
    <w:rsid w:val="00F04508"/>
    <w:rsid w:val="00F23FF2"/>
    <w:rsid w:val="00F252CE"/>
    <w:rsid w:val="00F270C9"/>
    <w:rsid w:val="00F362B1"/>
    <w:rsid w:val="00F42C2E"/>
    <w:rsid w:val="00F44581"/>
    <w:rsid w:val="00F45898"/>
    <w:rsid w:val="00F6021C"/>
    <w:rsid w:val="00F7329A"/>
    <w:rsid w:val="00F84425"/>
    <w:rsid w:val="00F858E0"/>
    <w:rsid w:val="00F860B6"/>
    <w:rsid w:val="00FA5875"/>
    <w:rsid w:val="00FB5B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29CF62"/>
  <w15:chartTrackingRefBased/>
  <w15:docId w15:val="{D9B939A7-BA5D-4F2E-AA5B-57D96465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semiHidden/>
    <w:unhideWhenUsed/>
    <w:rsid w:val="00837465"/>
    <w:rPr>
      <w:sz w:val="16"/>
      <w:szCs w:val="16"/>
    </w:rPr>
  </w:style>
  <w:style w:type="paragraph" w:styleId="CommentText">
    <w:name w:val="annotation text"/>
    <w:basedOn w:val="Normal"/>
    <w:link w:val="CommentTextChar"/>
    <w:uiPriority w:val="99"/>
    <w:unhideWhenUsed/>
    <w:rsid w:val="00837465"/>
  </w:style>
  <w:style w:type="character" w:customStyle="1" w:styleId="CommentTextChar">
    <w:name w:val="Comment Text Char"/>
    <w:basedOn w:val="DefaultParagraphFont"/>
    <w:link w:val="CommentText"/>
    <w:uiPriority w:val="99"/>
    <w:rsid w:val="00837465"/>
  </w:style>
  <w:style w:type="paragraph" w:styleId="BalloonText">
    <w:name w:val="Balloon Text"/>
    <w:basedOn w:val="Normal"/>
    <w:link w:val="BalloonTextChar"/>
    <w:uiPriority w:val="99"/>
    <w:semiHidden/>
    <w:unhideWhenUsed/>
    <w:rsid w:val="00837465"/>
    <w:rPr>
      <w:rFonts w:ascii="Segoe UI" w:hAnsi="Segoe UI" w:cs="Segoe UI"/>
      <w:sz w:val="18"/>
      <w:szCs w:val="18"/>
    </w:rPr>
  </w:style>
  <w:style w:type="character" w:customStyle="1" w:styleId="BalloonTextChar">
    <w:name w:val="Balloon Text Char"/>
    <w:link w:val="BalloonText"/>
    <w:uiPriority w:val="99"/>
    <w:semiHidden/>
    <w:rsid w:val="00837465"/>
    <w:rPr>
      <w:rFonts w:ascii="Segoe UI" w:hAnsi="Segoe UI" w:cs="Segoe UI"/>
      <w:sz w:val="18"/>
      <w:szCs w:val="18"/>
    </w:rPr>
  </w:style>
  <w:style w:type="paragraph" w:styleId="ListParagraph">
    <w:name w:val="List Paragraph"/>
    <w:basedOn w:val="Normal"/>
    <w:uiPriority w:val="34"/>
    <w:qFormat/>
    <w:rsid w:val="00015ED0"/>
    <w:pPr>
      <w:ind w:left="720"/>
    </w:pPr>
  </w:style>
  <w:style w:type="paragraph" w:styleId="CommentSubject">
    <w:name w:val="annotation subject"/>
    <w:basedOn w:val="CommentText"/>
    <w:next w:val="CommentText"/>
    <w:link w:val="CommentSubjectChar"/>
    <w:uiPriority w:val="99"/>
    <w:semiHidden/>
    <w:unhideWhenUsed/>
    <w:rsid w:val="004374CF"/>
    <w:rPr>
      <w:b/>
      <w:bCs/>
    </w:rPr>
  </w:style>
  <w:style w:type="character" w:customStyle="1" w:styleId="CommentSubjectChar">
    <w:name w:val="Comment Subject Char"/>
    <w:link w:val="CommentSubject"/>
    <w:uiPriority w:val="99"/>
    <w:semiHidden/>
    <w:rsid w:val="004374CF"/>
    <w:rPr>
      <w:b/>
      <w:bCs/>
    </w:rPr>
  </w:style>
  <w:style w:type="paragraph" w:styleId="FootnoteText">
    <w:name w:val="footnote text"/>
    <w:basedOn w:val="Normal"/>
    <w:link w:val="FootnoteTextChar"/>
    <w:uiPriority w:val="99"/>
    <w:semiHidden/>
    <w:unhideWhenUsed/>
    <w:rsid w:val="00510B70"/>
  </w:style>
  <w:style w:type="character" w:customStyle="1" w:styleId="FootnoteTextChar">
    <w:name w:val="Footnote Text Char"/>
    <w:basedOn w:val="DefaultParagraphFont"/>
    <w:link w:val="FootnoteText"/>
    <w:uiPriority w:val="99"/>
    <w:semiHidden/>
    <w:rsid w:val="00510B70"/>
  </w:style>
  <w:style w:type="character" w:styleId="FootnoteReference">
    <w:name w:val="footnote reference"/>
    <w:uiPriority w:val="99"/>
    <w:semiHidden/>
    <w:unhideWhenUsed/>
    <w:rsid w:val="00510B70"/>
    <w:rPr>
      <w:vertAlign w:val="superscript"/>
    </w:rPr>
  </w:style>
  <w:style w:type="paragraph" w:styleId="Revision">
    <w:name w:val="Revision"/>
    <w:hidden/>
    <w:uiPriority w:val="99"/>
    <w:semiHidden/>
    <w:rsid w:val="003A31AB"/>
  </w:style>
  <w:style w:type="character" w:styleId="Hyperlink">
    <w:name w:val="Hyperlink"/>
    <w:basedOn w:val="DefaultParagraphFont"/>
    <w:uiPriority w:val="99"/>
    <w:unhideWhenUsed/>
    <w:rsid w:val="005726AF"/>
    <w:rPr>
      <w:color w:val="0563C1" w:themeColor="hyperlink"/>
      <w:u w:val="single"/>
    </w:rPr>
  </w:style>
  <w:style w:type="character" w:customStyle="1" w:styleId="UnresolvedMention">
    <w:name w:val="Unresolved Mention"/>
    <w:basedOn w:val="DefaultParagraphFont"/>
    <w:uiPriority w:val="99"/>
    <w:semiHidden/>
    <w:unhideWhenUsed/>
    <w:rsid w:val="000A4867"/>
    <w:rPr>
      <w:color w:val="605E5C"/>
      <w:shd w:val="clear" w:color="auto" w:fill="E1DFDD"/>
    </w:rPr>
  </w:style>
  <w:style w:type="character" w:customStyle="1" w:styleId="normaltextrun">
    <w:name w:val="normaltextrun"/>
    <w:basedOn w:val="DefaultParagraphFont"/>
    <w:rsid w:val="00361D18"/>
  </w:style>
  <w:style w:type="paragraph" w:customStyle="1" w:styleId="paragraph">
    <w:name w:val="paragraph"/>
    <w:basedOn w:val="Normal"/>
    <w:rsid w:val="00DD6164"/>
    <w:pPr>
      <w:spacing w:before="100" w:beforeAutospacing="1" w:after="100" w:afterAutospacing="1"/>
    </w:pPr>
    <w:rPr>
      <w:sz w:val="24"/>
      <w:szCs w:val="24"/>
    </w:rPr>
  </w:style>
  <w:style w:type="character" w:customStyle="1" w:styleId="eop">
    <w:name w:val="eop"/>
    <w:basedOn w:val="DefaultParagraphFont"/>
    <w:rsid w:val="00DD6164"/>
  </w:style>
  <w:style w:type="character" w:customStyle="1" w:styleId="superscript">
    <w:name w:val="superscript"/>
    <w:basedOn w:val="DefaultParagraphFont"/>
    <w:rsid w:val="00DD6164"/>
  </w:style>
  <w:style w:type="paragraph" w:customStyle="1" w:styleId="Default">
    <w:name w:val="Default"/>
    <w:rsid w:val="00EE2DCA"/>
    <w:pPr>
      <w:autoSpaceDE w:val="0"/>
      <w:autoSpaceDN w:val="0"/>
      <w:adjustRightInd w:val="0"/>
    </w:pPr>
    <w:rPr>
      <w:color w:val="000000"/>
      <w:sz w:val="24"/>
      <w:szCs w:val="24"/>
    </w:rPr>
  </w:style>
  <w:style w:type="paragraph" w:styleId="NormalWeb">
    <w:name w:val="Normal (Web)"/>
    <w:basedOn w:val="Normal"/>
    <w:uiPriority w:val="99"/>
    <w:semiHidden/>
    <w:unhideWhenUsed/>
    <w:rsid w:val="00B6475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B5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weimer@sheppardmullin.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