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E721B" w:rsidP="00AE721B" w14:paraId="0581204C" w14:textId="77777777">
      <w:pPr>
        <w:suppressAutoHyphens/>
        <w:jc w:val="right"/>
        <w:rPr>
          <w:b/>
          <w:szCs w:val="22"/>
        </w:rPr>
      </w:pPr>
    </w:p>
    <w:p w:rsidR="00AE721B" w:rsidP="00AE721B" w14:paraId="45C0C22D" w14:textId="1A5D8530">
      <w:pPr>
        <w:suppressAutoHyphens/>
        <w:jc w:val="right"/>
        <w:rPr>
          <w:b/>
          <w:szCs w:val="22"/>
        </w:rPr>
      </w:pPr>
      <w:r>
        <w:rPr>
          <w:b/>
          <w:szCs w:val="22"/>
        </w:rPr>
        <w:t>DA 21-</w:t>
      </w:r>
      <w:r w:rsidR="005772A0">
        <w:rPr>
          <w:b/>
          <w:szCs w:val="22"/>
        </w:rPr>
        <w:t>1148</w:t>
      </w:r>
    </w:p>
    <w:p w:rsidR="00AE721B" w:rsidP="00AE721B" w14:paraId="0EE60587" w14:textId="04A034AE">
      <w:pPr>
        <w:jc w:val="right"/>
        <w:rPr>
          <w:b/>
          <w:bCs/>
        </w:rPr>
      </w:pPr>
      <w:r>
        <w:rPr>
          <w:b/>
          <w:szCs w:val="22"/>
        </w:rPr>
        <w:t xml:space="preserve">Released: </w:t>
      </w:r>
      <w:r w:rsidR="006111A6">
        <w:rPr>
          <w:b/>
          <w:szCs w:val="22"/>
        </w:rPr>
        <w:t>September</w:t>
      </w:r>
      <w:r>
        <w:rPr>
          <w:b/>
          <w:szCs w:val="22"/>
        </w:rPr>
        <w:t xml:space="preserve"> </w:t>
      </w:r>
      <w:r w:rsidR="006111A6">
        <w:rPr>
          <w:b/>
          <w:szCs w:val="22"/>
        </w:rPr>
        <w:t>13</w:t>
      </w:r>
      <w:r>
        <w:rPr>
          <w:b/>
          <w:szCs w:val="22"/>
        </w:rPr>
        <w:t>, 2021</w:t>
      </w:r>
    </w:p>
    <w:p w:rsidR="00AE721B" w:rsidRPr="002169E1" w:rsidP="00AE721B" w14:paraId="296EC2F8" w14:textId="77777777">
      <w:pPr>
        <w:jc w:val="center"/>
      </w:pPr>
    </w:p>
    <w:p w:rsidR="00AE721B" w:rsidP="00AE721B" w14:paraId="193A5D0B" w14:textId="3002BE15">
      <w:pPr>
        <w:jc w:val="center"/>
        <w:rPr>
          <w:b/>
          <w:bCs/>
        </w:rPr>
      </w:pPr>
      <w:r>
        <w:rPr>
          <w:b/>
          <w:bCs/>
        </w:rPr>
        <w:t xml:space="preserve">Office Of Engineering And Technology </w:t>
      </w:r>
    </w:p>
    <w:p w:rsidR="00AE721B" w:rsidRPr="002169E1" w:rsidP="00AE721B" w14:paraId="594C4A86" w14:textId="2A554221">
      <w:pPr>
        <w:jc w:val="center"/>
      </w:pPr>
      <w:r>
        <w:rPr>
          <w:b/>
          <w:bCs/>
        </w:rPr>
        <w:t>Opens E</w:t>
      </w:r>
      <w:r w:rsidR="008F1673">
        <w:rPr>
          <w:b/>
          <w:bCs/>
        </w:rPr>
        <w:t>T</w:t>
      </w:r>
      <w:r>
        <w:rPr>
          <w:b/>
          <w:bCs/>
        </w:rPr>
        <w:t xml:space="preserve"> Docket No. 21-353</w:t>
      </w:r>
    </w:p>
    <w:p w:rsidR="00AE721B" w:rsidP="00AE721B" w14:paraId="5ED3E067" w14:textId="77777777">
      <w:pPr>
        <w:jc w:val="center"/>
        <w:rPr>
          <w:b/>
          <w:bCs/>
        </w:rPr>
      </w:pPr>
    </w:p>
    <w:p w:rsidR="00AE721B" w:rsidP="00AE721B" w14:paraId="0154B493" w14:textId="248D2495">
      <w:pPr>
        <w:jc w:val="center"/>
        <w:rPr>
          <w:b/>
          <w:bCs/>
        </w:rPr>
      </w:pPr>
      <w:r>
        <w:rPr>
          <w:b/>
          <w:bCs/>
        </w:rPr>
        <w:t>ET Docket No. 21-</w:t>
      </w:r>
      <w:r w:rsidR="005270C6">
        <w:rPr>
          <w:b/>
          <w:bCs/>
        </w:rPr>
        <w:t>35</w:t>
      </w:r>
      <w:r w:rsidR="00A95F1F">
        <w:rPr>
          <w:b/>
          <w:bCs/>
        </w:rPr>
        <w:t>3</w:t>
      </w:r>
    </w:p>
    <w:p w:rsidR="00AE721B" w:rsidRPr="002169E1" w:rsidP="00AE721B" w14:paraId="29A0271F" w14:textId="77777777">
      <w:pPr>
        <w:rPr>
          <w:b/>
          <w:bCs/>
        </w:rPr>
      </w:pPr>
    </w:p>
    <w:p w:rsidR="00EB01AD" w:rsidP="00AE721B" w14:paraId="7FC9D6EA" w14:textId="2ED5475B">
      <w:pPr>
        <w:ind w:firstLine="720"/>
      </w:pPr>
      <w:r w:rsidRPr="00EB01AD">
        <w:t xml:space="preserve">By this Public Notice, the Office of Engineering and Technology </w:t>
      </w:r>
      <w:r w:rsidR="00150F82">
        <w:t>opens</w:t>
      </w:r>
      <w:r w:rsidRPr="00EB01AD">
        <w:t xml:space="preserve"> ET Docket No. 21-</w:t>
      </w:r>
      <w:r w:rsidR="006754FF">
        <w:t>35</w:t>
      </w:r>
      <w:r w:rsidR="00A95F1F">
        <w:t>3</w:t>
      </w:r>
      <w:r w:rsidRPr="00EB01AD">
        <w:t xml:space="preserve">, which </w:t>
      </w:r>
      <w:r>
        <w:t>is</w:t>
      </w:r>
      <w:r w:rsidRPr="00EB01AD">
        <w:t xml:space="preserve"> captioned “</w:t>
      </w:r>
      <w:r w:rsidR="00A95F1F">
        <w:t>Spectrum Requirements for the Internet of Things</w:t>
      </w:r>
      <w:r w:rsidRPr="00EB01AD">
        <w:t>.”</w:t>
      </w:r>
    </w:p>
    <w:p w:rsidR="00EB01AD" w:rsidP="00AE721B" w14:paraId="44282870" w14:textId="77777777">
      <w:pPr>
        <w:ind w:firstLine="720"/>
      </w:pPr>
    </w:p>
    <w:p w:rsidR="00AE721B" w:rsidRPr="002169E1" w:rsidP="00AE721B" w14:paraId="2A645073" w14:textId="7D46CF0F">
      <w:pPr>
        <w:ind w:firstLine="720"/>
      </w:pPr>
      <w:r>
        <w:t>P</w:t>
      </w:r>
      <w:r w:rsidRPr="002169E1">
        <w:t xml:space="preserve">resentations are subject to “permit-but-disclose” </w:t>
      </w:r>
      <w:r w:rsidRPr="002169E1">
        <w:rPr>
          <w:i/>
          <w:iCs/>
        </w:rPr>
        <w:t xml:space="preserve">ex parte </w:t>
      </w:r>
      <w:r w:rsidRPr="002169E1">
        <w:t xml:space="preserve">rules.  </w:t>
      </w:r>
      <w:r w:rsidRPr="002169E1">
        <w:rPr>
          <w:i/>
          <w:iCs/>
        </w:rPr>
        <w:t>See</w:t>
      </w:r>
      <w:r w:rsidRPr="002169E1">
        <w:t xml:space="preserve"> 47 C.F.R. §§ 1.1206, 1.1200(a).  </w:t>
      </w:r>
      <w:r w:rsidRPr="00A7224B">
        <w:rPr>
          <w:sz w:val="23"/>
          <w:szCs w:val="23"/>
        </w:rPr>
        <w:t xml:space="preserve">Persons making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presentations must file a copy of any written presentation or a memorandum summarizing any oral presentation within two business days after the presentation (unless a different deadline applicable to the Sunshine period applies).</w:t>
      </w:r>
      <w:r>
        <w:rPr>
          <w:sz w:val="23"/>
          <w:szCs w:val="23"/>
        </w:rPr>
        <w:t xml:space="preserve">  </w:t>
      </w:r>
      <w:r w:rsidRPr="00A7224B">
        <w:rPr>
          <w:sz w:val="23"/>
          <w:szCs w:val="23"/>
        </w:rPr>
        <w:t xml:space="preserve">Participants in this proceeding should familiarize themselves with the Commission’s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rules</w:t>
      </w:r>
      <w:r w:rsidRPr="00E47B3D">
        <w:rPr>
          <w:sz w:val="23"/>
          <w:szCs w:val="23"/>
        </w:rPr>
        <w:t xml:space="preserve">, including the general prohibition on presentations (written and oral) on matters listed on the Sunshine Agenda, which is typically released a week prior to the Commission’s meeting.  </w:t>
      </w:r>
      <w:r w:rsidRPr="00A95F1F">
        <w:rPr>
          <w:i/>
          <w:iCs/>
          <w:sz w:val="23"/>
          <w:szCs w:val="23"/>
        </w:rPr>
        <w:t>See</w:t>
      </w:r>
      <w:r w:rsidRPr="00E47B3D">
        <w:rPr>
          <w:sz w:val="23"/>
          <w:szCs w:val="23"/>
        </w:rPr>
        <w:t xml:space="preserve"> 47 CFR §§ 1.1200(a), 1.1203.</w:t>
      </w:r>
    </w:p>
    <w:p w:rsidR="00AE721B" w:rsidP="00AE721B" w14:paraId="656F21D9" w14:textId="00F37F28">
      <w:pPr>
        <w:ind w:firstLine="720"/>
      </w:pPr>
    </w:p>
    <w:p w:rsidR="005E0988" w:rsidRPr="00342B07" w:rsidP="005E0988" w14:paraId="3A879566" w14:textId="77777777">
      <w:pPr>
        <w:spacing w:after="120"/>
        <w:ind w:firstLine="720"/>
        <w:rPr>
          <w:szCs w:val="22"/>
        </w:rPr>
      </w:pPr>
      <w:r w:rsidRPr="00342B07">
        <w:rPr>
          <w:i/>
          <w:iCs/>
          <w:szCs w:val="22"/>
        </w:rPr>
        <w:t xml:space="preserve">Accessibility Information.  </w:t>
      </w:r>
      <w:r w:rsidRPr="00342B07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342B07">
          <w:rPr>
            <w:color w:val="0000FF"/>
            <w:szCs w:val="22"/>
            <w:u w:val="single"/>
          </w:rPr>
          <w:t xml:space="preserve">fcc504@fcc.gov </w:t>
        </w:r>
      </w:hyperlink>
      <w:r w:rsidRPr="00342B07">
        <w:rPr>
          <w:szCs w:val="22"/>
        </w:rPr>
        <w:t>or call the Consumer and Governmental Affairs Bureau at (202) 418-0530 (voice)</w:t>
      </w:r>
      <w:r>
        <w:rPr>
          <w:szCs w:val="22"/>
        </w:rPr>
        <w:t>.</w:t>
      </w:r>
    </w:p>
    <w:p w:rsidR="005E0988" w:rsidRPr="002169E1" w:rsidP="005E0988" w14:paraId="34E7C544" w14:textId="77777777"/>
    <w:p w:rsidR="00AE721B" w:rsidP="00AE721B" w14:paraId="73727E96" w14:textId="77777777">
      <w:pPr>
        <w:ind w:firstLine="720"/>
      </w:pPr>
      <w:r w:rsidRPr="002169E1">
        <w:t>Action</w:t>
      </w:r>
      <w:r>
        <w:t xml:space="preserve"> by Acting Chief, Office of Engineering and Technology.</w:t>
      </w:r>
    </w:p>
    <w:p w:rsidR="00AE721B" w:rsidRPr="002169E1" w:rsidP="00AE721B" w14:paraId="0A6F2AE5" w14:textId="77777777"/>
    <w:p w:rsidR="00AE721B" w:rsidRPr="00AE721B" w:rsidP="00AE721B" w14:paraId="31BD72D1" w14:textId="404E3E2B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79F2CA9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53465" w14:paraId="7251F0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491F836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1314E8C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0595CC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2D7190DD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53465" w14:paraId="78CF4499" w14:textId="64B4A0C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F53465" w14:paraId="4287AB60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33FB6A4D" w14:textId="0AA481D0">
    <w:pPr>
      <w:pStyle w:val="Header"/>
    </w:pPr>
    <w:r>
      <w:rPr>
        <w:noProof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B"/>
    <w:rsid w:val="00150F82"/>
    <w:rsid w:val="0018337D"/>
    <w:rsid w:val="002169E1"/>
    <w:rsid w:val="00342B07"/>
    <w:rsid w:val="005270C6"/>
    <w:rsid w:val="005772A0"/>
    <w:rsid w:val="005E0988"/>
    <w:rsid w:val="00604B05"/>
    <w:rsid w:val="006111A6"/>
    <w:rsid w:val="00654200"/>
    <w:rsid w:val="006754FF"/>
    <w:rsid w:val="008838D2"/>
    <w:rsid w:val="008F1673"/>
    <w:rsid w:val="00A7224B"/>
    <w:rsid w:val="00A85A24"/>
    <w:rsid w:val="00A95F1F"/>
    <w:rsid w:val="00AE721B"/>
    <w:rsid w:val="00DC1CA7"/>
    <w:rsid w:val="00DC779F"/>
    <w:rsid w:val="00E47B3D"/>
    <w:rsid w:val="00EB01AD"/>
    <w:rsid w:val="00F534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C09E2D"/>
  <w15:chartTrackingRefBased/>
  <w15:docId w15:val="{F7EFE7DC-71F8-467B-AE0F-7123F57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721B"/>
    <w:rPr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